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D3CD" w14:textId="08D38B15" w:rsidR="001A415C" w:rsidRPr="00B130AC" w:rsidRDefault="00675796" w:rsidP="004B5FF2">
      <w:pPr>
        <w:jc w:val="center"/>
        <w:rPr>
          <w:rFonts w:ascii="Times New Roman" w:hAnsi="Times New Roman" w:cs="Times New Roman"/>
          <w:b/>
          <w:bCs/>
          <w:sz w:val="24"/>
          <w:szCs w:val="28"/>
        </w:rPr>
      </w:pPr>
      <w:bookmarkStart w:id="0" w:name="_Hlk149050861"/>
      <w:bookmarkEnd w:id="0"/>
      <w:r w:rsidRPr="00B130AC">
        <w:rPr>
          <w:rFonts w:ascii="Times New Roman" w:hAnsi="Times New Roman" w:cs="Times New Roman"/>
          <w:b/>
          <w:bCs/>
          <w:sz w:val="24"/>
          <w:szCs w:val="28"/>
        </w:rPr>
        <w:t>FFR projection based on the factors of FFR and Treasury Yields</w:t>
      </w:r>
      <w:r w:rsidR="00A2020A">
        <w:rPr>
          <w:rFonts w:ascii="Times New Roman" w:hAnsi="Times New Roman" w:cs="Times New Roman"/>
          <w:b/>
          <w:bCs/>
          <w:sz w:val="24"/>
          <w:szCs w:val="28"/>
        </w:rPr>
        <w:t xml:space="preserve"> </w:t>
      </w:r>
      <w:r w:rsidR="00A2020A">
        <w:rPr>
          <w:rFonts w:ascii="Times New Roman" w:hAnsi="Times New Roman" w:cs="Times New Roman" w:hint="eastAsia"/>
          <w:b/>
          <w:bCs/>
          <w:sz w:val="24"/>
          <w:szCs w:val="28"/>
        </w:rPr>
        <w:t>with</w:t>
      </w:r>
      <w:r w:rsidR="00A2020A">
        <w:rPr>
          <w:rFonts w:ascii="Times New Roman" w:hAnsi="Times New Roman" w:cs="Times New Roman"/>
          <w:b/>
          <w:bCs/>
          <w:sz w:val="24"/>
          <w:szCs w:val="28"/>
        </w:rPr>
        <w:t xml:space="preserve"> HMM</w:t>
      </w:r>
    </w:p>
    <w:p w14:paraId="16B5DE17" w14:textId="77777777" w:rsidR="00617749" w:rsidRDefault="00617749" w:rsidP="004B5FF2">
      <w:pPr>
        <w:rPr>
          <w:rFonts w:ascii="Times New Roman" w:hAnsi="Times New Roman" w:cs="Times New Roman"/>
        </w:rPr>
      </w:pPr>
    </w:p>
    <w:p w14:paraId="68749101" w14:textId="062804DC" w:rsidR="0070170D" w:rsidRPr="00043005" w:rsidRDefault="003D2CBC" w:rsidP="004B5FF2">
      <w:pPr>
        <w:rPr>
          <w:rFonts w:ascii="Times New Roman" w:hAnsi="Times New Roman" w:cs="Times New Roman"/>
          <w:b/>
          <w:bCs/>
        </w:rPr>
      </w:pPr>
      <w:r w:rsidRPr="00043005">
        <w:rPr>
          <w:rFonts w:ascii="Times New Roman" w:hAnsi="Times New Roman" w:cs="Times New Roman"/>
          <w:b/>
          <w:bCs/>
        </w:rPr>
        <w:t>Abstract</w:t>
      </w:r>
    </w:p>
    <w:p w14:paraId="013682D0" w14:textId="668A8C7D" w:rsidR="00A60EC4" w:rsidRDefault="0074222B" w:rsidP="004B5FF2">
      <w:pPr>
        <w:rPr>
          <w:rFonts w:ascii="Times New Roman" w:hAnsi="Times New Roman" w:cs="Times New Roman"/>
        </w:rPr>
      </w:pPr>
      <w:r w:rsidRPr="0074222B">
        <w:rPr>
          <w:rFonts w:ascii="Times New Roman" w:hAnsi="Times New Roman" w:cs="Times New Roman"/>
        </w:rPr>
        <w:t xml:space="preserve">As we all know, in the last two years the Federal Reserve has raised interest rates </w:t>
      </w:r>
      <w:r>
        <w:rPr>
          <w:rFonts w:ascii="Times New Roman" w:hAnsi="Times New Roman" w:cs="Times New Roman"/>
        </w:rPr>
        <w:t>multiple</w:t>
      </w:r>
      <w:r w:rsidRPr="0074222B">
        <w:rPr>
          <w:rFonts w:ascii="Times New Roman" w:hAnsi="Times New Roman" w:cs="Times New Roman"/>
        </w:rPr>
        <w:t xml:space="preserve"> times (increasing the Federal Funds Rate), which has had a significant impact on financial markets around the world. The rate hikes have not only brought about the strength of the US dollar, which affects the </w:t>
      </w:r>
      <w:r w:rsidR="00E708FF">
        <w:rPr>
          <w:rFonts w:ascii="Times New Roman" w:hAnsi="Times New Roman" w:cs="Times New Roman"/>
        </w:rPr>
        <w:t>Currency</w:t>
      </w:r>
      <w:r w:rsidRPr="0074222B">
        <w:rPr>
          <w:rFonts w:ascii="Times New Roman" w:hAnsi="Times New Roman" w:cs="Times New Roman"/>
        </w:rPr>
        <w:t xml:space="preserve"> </w:t>
      </w:r>
      <w:r w:rsidR="00E708FF">
        <w:rPr>
          <w:rFonts w:ascii="Times New Roman" w:hAnsi="Times New Roman" w:cs="Times New Roman"/>
        </w:rPr>
        <w:t>M</w:t>
      </w:r>
      <w:r w:rsidRPr="0074222B">
        <w:rPr>
          <w:rFonts w:ascii="Times New Roman" w:hAnsi="Times New Roman" w:cs="Times New Roman"/>
        </w:rPr>
        <w:t>arket</w:t>
      </w:r>
      <w:r w:rsidR="00E708FF">
        <w:rPr>
          <w:rFonts w:ascii="Times New Roman" w:hAnsi="Times New Roman" w:cs="Times New Roman"/>
        </w:rPr>
        <w:t>s</w:t>
      </w:r>
      <w:r w:rsidRPr="0074222B">
        <w:rPr>
          <w:rFonts w:ascii="Times New Roman" w:hAnsi="Times New Roman" w:cs="Times New Roman"/>
        </w:rPr>
        <w:t xml:space="preserve">, but also the pricing of global assets and the anchoring of sovereigns' credits, which makes the </w:t>
      </w:r>
      <w:r w:rsidR="008E3E72">
        <w:rPr>
          <w:rFonts w:ascii="Times New Roman" w:hAnsi="Times New Roman" w:cs="Times New Roman"/>
        </w:rPr>
        <w:t>projection</w:t>
      </w:r>
      <w:r w:rsidRPr="0074222B">
        <w:rPr>
          <w:rFonts w:ascii="Times New Roman" w:hAnsi="Times New Roman" w:cs="Times New Roman"/>
        </w:rPr>
        <w:t xml:space="preserve"> of the FFR very important.</w:t>
      </w:r>
      <w:r w:rsidR="00AC119F">
        <w:rPr>
          <w:rFonts w:ascii="Times New Roman" w:hAnsi="Times New Roman" w:cs="Times New Roman"/>
        </w:rPr>
        <w:t xml:space="preserve"> </w:t>
      </w:r>
      <w:r w:rsidR="008F3354" w:rsidRPr="008F3354">
        <w:rPr>
          <w:rFonts w:ascii="Times New Roman" w:hAnsi="Times New Roman" w:cs="Times New Roman"/>
        </w:rPr>
        <w:t>However, there are a number of obstacles to FFR forecasting: 1) lagging and insufficient publicly available data due to the low frequency of macro data releases; and 2) the susceptibility of market participants to historical data bias (e.g., being overly optimistic about FFR reductions).</w:t>
      </w:r>
      <w:r w:rsidR="00156403">
        <w:rPr>
          <w:rFonts w:ascii="Times New Roman" w:hAnsi="Times New Roman" w:cs="Times New Roman"/>
        </w:rPr>
        <w:t xml:space="preserve"> </w:t>
      </w:r>
      <w:r w:rsidR="002D505D" w:rsidRPr="002D505D">
        <w:rPr>
          <w:rFonts w:ascii="Times New Roman" w:hAnsi="Times New Roman" w:cs="Times New Roman"/>
        </w:rPr>
        <w:t xml:space="preserve">This study hopes to combine the Taylor Rule, commonly used by the FOMC, with the </w:t>
      </w:r>
      <w:r w:rsidR="001E6603">
        <w:rPr>
          <w:rFonts w:ascii="Times New Roman" w:hAnsi="Times New Roman" w:cs="Times New Roman"/>
        </w:rPr>
        <w:t>treasury yields</w:t>
      </w:r>
      <w:r w:rsidR="002D505D" w:rsidRPr="002D505D">
        <w:rPr>
          <w:rFonts w:ascii="Times New Roman" w:hAnsi="Times New Roman" w:cs="Times New Roman"/>
        </w:rPr>
        <w:t xml:space="preserve"> to make a more forward-looking judgement on FFR.</w:t>
      </w:r>
    </w:p>
    <w:p w14:paraId="39091C59" w14:textId="77777777" w:rsidR="0010724F" w:rsidRDefault="0010724F" w:rsidP="004B5FF2">
      <w:pPr>
        <w:rPr>
          <w:rFonts w:ascii="Times New Roman" w:hAnsi="Times New Roman" w:cs="Times New Roman"/>
        </w:rPr>
      </w:pPr>
    </w:p>
    <w:p w14:paraId="66EB8E85" w14:textId="519138CD" w:rsidR="00625CBC" w:rsidRPr="00043005" w:rsidRDefault="00625CBC" w:rsidP="004B5FF2">
      <w:pPr>
        <w:rPr>
          <w:rFonts w:ascii="Times New Roman" w:hAnsi="Times New Roman" w:cs="Times New Roman"/>
          <w:b/>
          <w:bCs/>
        </w:rPr>
      </w:pPr>
      <w:r w:rsidRPr="00043005">
        <w:rPr>
          <w:rFonts w:ascii="Times New Roman" w:hAnsi="Times New Roman" w:cs="Times New Roman"/>
          <w:b/>
          <w:bCs/>
        </w:rPr>
        <w:t>Introduction</w:t>
      </w:r>
    </w:p>
    <w:p w14:paraId="00C0E4AD" w14:textId="77777777" w:rsidR="00625CBC" w:rsidRDefault="00625CBC" w:rsidP="004B5FF2">
      <w:pPr>
        <w:rPr>
          <w:rFonts w:ascii="Times New Roman" w:hAnsi="Times New Roman" w:cs="Times New Roman"/>
        </w:rPr>
      </w:pPr>
    </w:p>
    <w:p w14:paraId="4F1143C3" w14:textId="77777777" w:rsidR="00EA22C9" w:rsidRDefault="00EA22C9" w:rsidP="004B5FF2">
      <w:pPr>
        <w:rPr>
          <w:rFonts w:ascii="Times New Roman" w:hAnsi="Times New Roman" w:cs="Times New Roman"/>
        </w:rPr>
      </w:pPr>
    </w:p>
    <w:p w14:paraId="665A0F6D" w14:textId="77777777" w:rsidR="00776C08" w:rsidRPr="00043005" w:rsidRDefault="00776C08" w:rsidP="00776C08">
      <w:pPr>
        <w:rPr>
          <w:rFonts w:ascii="Times New Roman" w:hAnsi="Times New Roman" w:cs="Times New Roman"/>
          <w:b/>
          <w:bCs/>
        </w:rPr>
      </w:pPr>
      <w:r w:rsidRPr="00043005">
        <w:rPr>
          <w:rFonts w:ascii="Times New Roman" w:hAnsi="Times New Roman" w:cs="Times New Roman"/>
          <w:b/>
          <w:bCs/>
        </w:rPr>
        <w:t>Literature Review</w:t>
      </w:r>
    </w:p>
    <w:p w14:paraId="280EB2B3"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Federal Reserve Rate</w:t>
      </w:r>
    </w:p>
    <w:p w14:paraId="56EA384B"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Monetary Policy</w:t>
      </w:r>
    </w:p>
    <w:p w14:paraId="727E8915" w14:textId="77777777" w:rsidR="00776C08" w:rsidRPr="004825BD" w:rsidRDefault="00776C08" w:rsidP="00776C08">
      <w:pPr>
        <w:pStyle w:val="ListParagraph"/>
        <w:ind w:left="1080"/>
        <w:rPr>
          <w:rFonts w:ascii="Times New Roman" w:hAnsi="Times New Roman" w:cs="Times New Roman"/>
        </w:rPr>
      </w:pPr>
      <w:bookmarkStart w:id="1" w:name="OLE_LINK26"/>
      <w:bookmarkStart w:id="2" w:name="OLE_LINK27"/>
      <w:r w:rsidRPr="004825BD">
        <w:rPr>
          <w:rFonts w:ascii="Times New Roman" w:hAnsi="Times New Roman" w:cs="Times New Roman"/>
        </w:rPr>
        <w:t>The Federal Reserve, through its monetary policy adjustments, creates a favorable economic environment characterized by appropriate employment rate and stable price</w:t>
      </w:r>
      <w:r>
        <w:rPr>
          <w:rFonts w:ascii="Times New Roman" w:hAnsi="Times New Roman" w:cs="Times New Roman"/>
        </w:rPr>
        <w:t xml:space="preserve"> [7]</w:t>
      </w:r>
      <w:r w:rsidRPr="004825BD">
        <w:rPr>
          <w:rFonts w:ascii="Times New Roman" w:hAnsi="Times New Roman" w:cs="Times New Roman"/>
        </w:rPr>
        <w:t xml:space="preserve">. </w:t>
      </w:r>
      <w:bookmarkStart w:id="3" w:name="OLE_LINK22"/>
      <w:bookmarkStart w:id="4" w:name="OLE_LINK23"/>
      <w:r w:rsidRPr="004825BD">
        <w:rPr>
          <w:rFonts w:ascii="Times New Roman" w:hAnsi="Times New Roman" w:cs="Times New Roman"/>
        </w:rPr>
        <w:t>When the aggregate demand lags the economy's capacity to produce, it results in increased unemployment rate and reduced inflation. To counter this, the Federal Open Market Committee (FOMC) intervenes by reducing interest rates and implementing an expansionary monetary policy to stimulate aggregate demand, thereby helping stabilize the economy.</w:t>
      </w:r>
    </w:p>
    <w:p w14:paraId="7B5DE3C9" w14:textId="77777777" w:rsidR="00776C08" w:rsidRPr="0087720A" w:rsidRDefault="00776C08" w:rsidP="00776C08">
      <w:pPr>
        <w:ind w:left="1080"/>
        <w:rPr>
          <w:rFonts w:ascii="Times New Roman" w:hAnsi="Times New Roman" w:cs="Times New Roman"/>
        </w:rPr>
      </w:pPr>
      <w:r w:rsidRPr="0087720A">
        <w:rPr>
          <w:rFonts w:ascii="Times New Roman" w:hAnsi="Times New Roman" w:cs="Times New Roman"/>
        </w:rPr>
        <w:t>Conversely, if demand for goods and services becomes excessively strong, it can lead to unsustainably</w:t>
      </w:r>
      <w:r>
        <w:rPr>
          <w:rFonts w:ascii="Times New Roman" w:hAnsi="Times New Roman" w:cs="Times New Roman"/>
        </w:rPr>
        <w:t xml:space="preserve"> </w:t>
      </w:r>
      <w:r w:rsidRPr="0087720A">
        <w:rPr>
          <w:rFonts w:ascii="Times New Roman" w:hAnsi="Times New Roman" w:cs="Times New Roman"/>
        </w:rPr>
        <w:t>employment rate and increased inflation</w:t>
      </w:r>
      <w:r>
        <w:rPr>
          <w:rFonts w:ascii="Times New Roman" w:hAnsi="Times New Roman" w:cs="Times New Roman"/>
        </w:rPr>
        <w:t xml:space="preserve">, leading </w:t>
      </w:r>
      <w:r w:rsidRPr="0087720A">
        <w:rPr>
          <w:rFonts w:ascii="Times New Roman" w:hAnsi="Times New Roman" w:cs="Times New Roman"/>
        </w:rPr>
        <w:t xml:space="preserve">the Federal Reserve employs a contractionary monetary policy by elevating interest rates to guide economic activity back to </w:t>
      </w:r>
      <w:r>
        <w:rPr>
          <w:rFonts w:ascii="Times New Roman" w:hAnsi="Times New Roman" w:cs="Times New Roman"/>
        </w:rPr>
        <w:t xml:space="preserve">normal level. </w:t>
      </w:r>
      <w:r w:rsidRPr="0087720A">
        <w:rPr>
          <w:rFonts w:ascii="Times New Roman" w:hAnsi="Times New Roman" w:cs="Times New Roman"/>
        </w:rPr>
        <w:t>The procedure through which the FOMC enacts expansionary and contractionary monetary policies to achieve its goals can be summarized as shown in Fig.</w:t>
      </w:r>
      <w:r>
        <w:rPr>
          <w:rFonts w:ascii="Times New Roman" w:hAnsi="Times New Roman" w:cs="Times New Roman"/>
        </w:rPr>
        <w:t>1</w:t>
      </w:r>
      <w:commentRangeStart w:id="5"/>
      <w:r>
        <w:rPr>
          <w:rFonts w:ascii="Times New Roman" w:hAnsi="Times New Roman" w:cs="Times New Roman"/>
        </w:rPr>
        <w:t>[8].</w:t>
      </w:r>
      <w:commentRangeEnd w:id="5"/>
      <w:r>
        <w:rPr>
          <w:rStyle w:val="CommentReference"/>
        </w:rPr>
        <w:commentReference w:id="5"/>
      </w:r>
    </w:p>
    <w:bookmarkEnd w:id="3"/>
    <w:bookmarkEnd w:id="4"/>
    <w:p w14:paraId="69042D55" w14:textId="77777777" w:rsidR="00776C08" w:rsidRPr="0087720A" w:rsidRDefault="00776C08" w:rsidP="00776C08">
      <w:pPr>
        <w:ind w:left="1080"/>
        <w:rPr>
          <w:rFonts w:ascii="Times New Roman" w:hAnsi="Times New Roman" w:cs="Times New Roman"/>
        </w:rPr>
      </w:pPr>
    </w:p>
    <w:bookmarkEnd w:id="1"/>
    <w:bookmarkEnd w:id="2"/>
    <w:p w14:paraId="4EC920F3" w14:textId="77777777" w:rsidR="00E97185" w:rsidRDefault="00776C08" w:rsidP="00E97185">
      <w:pPr>
        <w:pStyle w:val="ListParagraph"/>
        <w:keepNext/>
        <w:ind w:left="1440" w:hanging="360"/>
      </w:pPr>
      <w:r w:rsidRPr="007A353C">
        <w:rPr>
          <w:rFonts w:ascii="Times New Roman" w:hAnsi="Times New Roman" w:cs="Times New Roman"/>
          <w:noProof/>
        </w:rPr>
        <w:drawing>
          <wp:inline distT="0" distB="0" distL="0" distR="0" wp14:anchorId="5FA94F3D" wp14:editId="7E6D3172">
            <wp:extent cx="4572000" cy="1601796"/>
            <wp:effectExtent l="0" t="0" r="0" b="0"/>
            <wp:docPr id="960300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00505" name=""/>
                    <pic:cNvPicPr/>
                  </pic:nvPicPr>
                  <pic:blipFill>
                    <a:blip r:embed="rId12"/>
                    <a:stretch>
                      <a:fillRect/>
                    </a:stretch>
                  </pic:blipFill>
                  <pic:spPr>
                    <a:xfrm>
                      <a:off x="0" y="0"/>
                      <a:ext cx="4580939" cy="1604928"/>
                    </a:xfrm>
                    <a:prstGeom prst="rect">
                      <a:avLst/>
                    </a:prstGeom>
                  </pic:spPr>
                </pic:pic>
              </a:graphicData>
            </a:graphic>
          </wp:inline>
        </w:drawing>
      </w:r>
    </w:p>
    <w:p w14:paraId="604C1076" w14:textId="0474F426" w:rsidR="00776C08" w:rsidRPr="00E97185" w:rsidRDefault="00E97185" w:rsidP="00E97185">
      <w:pPr>
        <w:pStyle w:val="Caption"/>
        <w:ind w:left="1260"/>
        <w:jc w:val="center"/>
        <w:rPr>
          <w:rFonts w:ascii="Times New Roman" w:hAnsi="Times New Roman" w:cs="Times New Roman"/>
        </w:rPr>
      </w:pPr>
      <w:r w:rsidRPr="00E97185">
        <w:rPr>
          <w:rFonts w:ascii="Times New Roman" w:hAnsi="Times New Roman" w:cs="Times New Roman"/>
        </w:rPr>
        <w:t xml:space="preserve">Figure </w:t>
      </w:r>
      <w:r w:rsidRPr="00E97185">
        <w:rPr>
          <w:rFonts w:ascii="Times New Roman" w:hAnsi="Times New Roman" w:cs="Times New Roman"/>
        </w:rPr>
        <w:fldChar w:fldCharType="begin"/>
      </w:r>
      <w:r w:rsidRPr="00E97185">
        <w:rPr>
          <w:rFonts w:ascii="Times New Roman" w:hAnsi="Times New Roman" w:cs="Times New Roman"/>
        </w:rPr>
        <w:instrText xml:space="preserve"> SEQ Figure \* ARABIC </w:instrText>
      </w:r>
      <w:r w:rsidRPr="00E97185">
        <w:rPr>
          <w:rFonts w:ascii="Times New Roman" w:hAnsi="Times New Roman" w:cs="Times New Roman"/>
        </w:rPr>
        <w:fldChar w:fldCharType="separate"/>
      </w:r>
      <w:r w:rsidR="004451D6">
        <w:rPr>
          <w:rFonts w:ascii="Times New Roman" w:hAnsi="Times New Roman" w:cs="Times New Roman"/>
          <w:noProof/>
        </w:rPr>
        <w:t>1</w:t>
      </w:r>
      <w:r w:rsidRPr="00E97185">
        <w:rPr>
          <w:rFonts w:ascii="Times New Roman" w:hAnsi="Times New Roman" w:cs="Times New Roman"/>
        </w:rPr>
        <w:fldChar w:fldCharType="end"/>
      </w:r>
      <w:r w:rsidRPr="00E97185">
        <w:rPr>
          <w:rFonts w:ascii="Times New Roman" w:hAnsi="Times New Roman" w:cs="Times New Roman"/>
        </w:rPr>
        <w:t>. Federal Reserve Monetary Policy</w:t>
      </w:r>
    </w:p>
    <w:p w14:paraId="31E95E90"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lastRenderedPageBreak/>
        <w:t>FFR</w:t>
      </w:r>
    </w:p>
    <w:p w14:paraId="3F364231" w14:textId="08618C01" w:rsidR="00C553DB" w:rsidRPr="00C553DB" w:rsidRDefault="00C553DB" w:rsidP="00C553DB">
      <w:pPr>
        <w:pStyle w:val="ListParagraph"/>
        <w:ind w:left="1080"/>
        <w:rPr>
          <w:rFonts w:ascii="Times New Roman" w:hAnsi="Times New Roman" w:cs="Times New Roman"/>
        </w:rPr>
      </w:pPr>
      <w:r w:rsidRPr="00C553DB">
        <w:rPr>
          <w:rFonts w:ascii="Times New Roman" w:hAnsi="Times New Roman" w:cs="Times New Roman"/>
        </w:rPr>
        <w:t xml:space="preserve">The primary method to exert monetary policy is the adjustment of the federal funds rate (FFR) </w:t>
      </w:r>
      <w:commentRangeStart w:id="6"/>
      <w:r w:rsidRPr="00C553DB">
        <w:rPr>
          <w:rFonts w:ascii="Times New Roman" w:hAnsi="Times New Roman" w:cs="Times New Roman"/>
        </w:rPr>
        <w:t>[9]</w:t>
      </w:r>
      <w:commentRangeEnd w:id="6"/>
      <w:r>
        <w:rPr>
          <w:rStyle w:val="CommentReference"/>
        </w:rPr>
        <w:commentReference w:id="6"/>
      </w:r>
      <w:r w:rsidRPr="00C553DB">
        <w:rPr>
          <w:rFonts w:ascii="Times New Roman" w:hAnsi="Times New Roman" w:cs="Times New Roman"/>
        </w:rPr>
        <w:t>. Banks maintain reserve balances at the Federal Reserve to fulfill unforeseen liquidity requirements, so they engage in borrowing and lending of reserves among one another based on their specific needs. The federal funds rate represents the interest rate at which banks engage in overnight borrowing, which plays a pivotal role in determining the expense of short-term credit.</w:t>
      </w:r>
    </w:p>
    <w:p w14:paraId="60DD92CD" w14:textId="77777777" w:rsidR="00776C08" w:rsidRPr="004E354D" w:rsidRDefault="00776C08" w:rsidP="00776C08">
      <w:pPr>
        <w:pStyle w:val="ListParagraph"/>
        <w:ind w:left="1080"/>
        <w:rPr>
          <w:rFonts w:ascii="Times New Roman" w:hAnsi="Times New Roman" w:cs="Times New Roman"/>
        </w:rPr>
      </w:pPr>
      <w:r w:rsidRPr="004E354D">
        <w:rPr>
          <w:rFonts w:ascii="Times New Roman" w:hAnsi="Times New Roman" w:cs="Times New Roman"/>
        </w:rPr>
        <w:t>To impact the federal funds rate, the FOMC can modify the interest rate applied to bank reserves. This adjustment leads to changes in the federal funds rate, aligning it with the FOMC's desired objectives and influencing the cost of short-term interbank credit.</w:t>
      </w:r>
      <w:r>
        <w:rPr>
          <w:rFonts w:ascii="Times New Roman" w:hAnsi="Times New Roman" w:cs="Times New Roman"/>
        </w:rPr>
        <w:t xml:space="preserve"> </w:t>
      </w:r>
    </w:p>
    <w:p w14:paraId="2F55B02B" w14:textId="77777777" w:rsidR="00776C08" w:rsidRPr="00E709C4" w:rsidRDefault="00776C08" w:rsidP="00776C08">
      <w:pPr>
        <w:pStyle w:val="ListParagraph"/>
        <w:ind w:left="1080"/>
        <w:rPr>
          <w:rFonts w:ascii="Times New Roman" w:hAnsi="Times New Roman" w:cs="Times New Roman"/>
        </w:rPr>
      </w:pPr>
      <w:bookmarkStart w:id="7" w:name="OLE_LINK24"/>
      <w:r w:rsidRPr="004E354D">
        <w:rPr>
          <w:rFonts w:ascii="Times New Roman" w:hAnsi="Times New Roman" w:cs="Times New Roman"/>
        </w:rPr>
        <w:t>In response to the 2008 economic crisis and subsequent economic recession, Federal Open Market Committee lower the target for the federal funds rate from 5.25% in mid-September 2007 to near zero by the end of December 2008</w:t>
      </w:r>
      <w:r>
        <w:rPr>
          <w:rFonts w:ascii="Times New Roman" w:hAnsi="Times New Roman" w:cs="Times New Roman"/>
        </w:rPr>
        <w:t xml:space="preserve"> (See Fig. 2)</w:t>
      </w:r>
      <w:commentRangeStart w:id="8"/>
      <w:r>
        <w:rPr>
          <w:rFonts w:ascii="Times New Roman" w:hAnsi="Times New Roman" w:cs="Times New Roman"/>
        </w:rPr>
        <w:t xml:space="preserve"> [10]</w:t>
      </w:r>
      <w:commentRangeEnd w:id="8"/>
      <w:r>
        <w:rPr>
          <w:rStyle w:val="CommentReference"/>
        </w:rPr>
        <w:commentReference w:id="8"/>
      </w:r>
      <w:r w:rsidRPr="004E354D">
        <w:rPr>
          <w:rFonts w:ascii="Times New Roman" w:hAnsi="Times New Roman" w:cs="Times New Roman"/>
        </w:rPr>
        <w:t>. This rate reduction was part of the Fed's strategy to stimulate economic activity and provide liquidity to the financial system. The goal was to make borrowing cheaper for banks, businesses, and consumers to encourage spending, investment, and lending. Together with various monetary policies such as buying back government securities, the market responded by purchasing large-scale asset, consequently fostering economic growth, job generation, and a gradual resurgence of inflation toward 2%</w:t>
      </w:r>
      <w:r>
        <w:rPr>
          <w:rFonts w:ascii="Times New Roman" w:hAnsi="Times New Roman" w:cs="Times New Roman"/>
        </w:rPr>
        <w:t xml:space="preserve"> [8]</w:t>
      </w:r>
      <w:r w:rsidRPr="004E354D">
        <w:rPr>
          <w:rFonts w:ascii="Times New Roman" w:hAnsi="Times New Roman" w:cs="Times New Roman"/>
        </w:rPr>
        <w:t xml:space="preserve">. </w:t>
      </w:r>
      <w:bookmarkStart w:id="9" w:name="OLE_LINK25"/>
      <w:r w:rsidRPr="004E354D">
        <w:rPr>
          <w:rFonts w:ascii="Times New Roman" w:hAnsi="Times New Roman" w:cs="Times New Roman"/>
        </w:rPr>
        <w:t>Notably, in December 2015, the Federal Open Market Committee initiated the process of increasing the target for the federal funds rate, transitioning from its near-zero level to a more conventional rate. Subsequently, in October 2017, the Federal Open Market Committee embarked on the gradual reduction of its securities holdings, marking another substantial step toward the normalization of monetary policy</w:t>
      </w:r>
      <w:r>
        <w:rPr>
          <w:rFonts w:ascii="Times New Roman" w:hAnsi="Times New Roman" w:cs="Times New Roman"/>
        </w:rPr>
        <w:t xml:space="preserve"> [11]</w:t>
      </w:r>
      <w:r w:rsidRPr="004E354D">
        <w:rPr>
          <w:rFonts w:ascii="Times New Roman" w:hAnsi="Times New Roman" w:cs="Times New Roman"/>
        </w:rPr>
        <w:t>.</w:t>
      </w:r>
      <w:bookmarkEnd w:id="7"/>
      <w:bookmarkEnd w:id="9"/>
      <w:r w:rsidRPr="004E354D">
        <w:rPr>
          <w:rFonts w:ascii="Times New Roman" w:hAnsi="Times New Roman" w:cs="Times New Roman"/>
        </w:rPr>
        <w:t xml:space="preserve"> As part of this shift, the Committee conveyed that future adjustments in the federal funds rate would serve as the primary mechanism for altering the overall stance of monetary policy.</w:t>
      </w:r>
    </w:p>
    <w:p w14:paraId="05543878" w14:textId="77777777" w:rsidR="00776C08" w:rsidRPr="009A12AD" w:rsidRDefault="00776C08" w:rsidP="00776C08">
      <w:pPr>
        <w:pStyle w:val="ListParagraph"/>
        <w:ind w:left="1080"/>
        <w:rPr>
          <w:rFonts w:ascii="Times New Roman" w:hAnsi="Times New Roman" w:cs="Times New Roman"/>
        </w:rPr>
      </w:pPr>
      <w:r w:rsidRPr="004E354D">
        <w:rPr>
          <w:rFonts w:ascii="Times New Roman" w:hAnsi="Times New Roman" w:cs="Times New Roman"/>
        </w:rPr>
        <w:t>In the recent context, the U.S. economy has been experiencing a robust recovery after a period of economic disruption, possibly due to the COVID-19 pandemic. Annual inflation rates have risen above the Federal Reserve's target of 2%. Inflation, as measured by the Consumer Price Index (CPI), is at 3.5%, and core inflation (excluding food and energy) is at 2.8%. To address these economic conditions, the Federal Reserve announces an increase in the target FFR from 0.25% to 0.50%</w:t>
      </w:r>
      <w:r>
        <w:rPr>
          <w:rFonts w:ascii="Times New Roman" w:hAnsi="Times New Roman" w:cs="Times New Roman"/>
        </w:rPr>
        <w:t xml:space="preserve"> </w:t>
      </w:r>
      <w:commentRangeStart w:id="10"/>
      <w:r>
        <w:rPr>
          <w:rFonts w:ascii="Times New Roman" w:hAnsi="Times New Roman" w:cs="Times New Roman"/>
        </w:rPr>
        <w:t>[11]</w:t>
      </w:r>
      <w:commentRangeEnd w:id="10"/>
      <w:r>
        <w:rPr>
          <w:rStyle w:val="CommentReference"/>
        </w:rPr>
        <w:commentReference w:id="10"/>
      </w:r>
      <w:r w:rsidRPr="004E354D">
        <w:rPr>
          <w:rFonts w:ascii="Times New Roman" w:hAnsi="Times New Roman" w:cs="Times New Roman"/>
        </w:rPr>
        <w:t>. This is the first-rate hike in several years, signaling the central bank's confidence in the strength of the economic recovery.</w:t>
      </w:r>
    </w:p>
    <w:p w14:paraId="6856C5F9" w14:textId="77777777" w:rsidR="00CF3007" w:rsidRDefault="00776C08" w:rsidP="00CF3007">
      <w:pPr>
        <w:keepNext/>
        <w:ind w:left="720" w:firstLine="360"/>
        <w:jc w:val="center"/>
      </w:pPr>
      <w:r w:rsidRPr="0011772B">
        <w:rPr>
          <w:rFonts w:ascii="Times New Roman" w:hAnsi="Times New Roman" w:cs="Times New Roman"/>
          <w:i/>
          <w:iCs/>
          <w:noProof/>
        </w:rPr>
        <w:lastRenderedPageBreak/>
        <w:drawing>
          <wp:inline distT="0" distB="0" distL="0" distR="0" wp14:anchorId="42C395E1" wp14:editId="6459A696">
            <wp:extent cx="4597400" cy="1966358"/>
            <wp:effectExtent l="0" t="0" r="0" b="0"/>
            <wp:docPr id="18249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1288" cy="1972298"/>
                    </a:xfrm>
                    <a:prstGeom prst="rect">
                      <a:avLst/>
                    </a:prstGeom>
                    <a:noFill/>
                    <a:ln>
                      <a:noFill/>
                    </a:ln>
                  </pic:spPr>
                </pic:pic>
              </a:graphicData>
            </a:graphic>
          </wp:inline>
        </w:drawing>
      </w:r>
    </w:p>
    <w:p w14:paraId="0B06F4B7" w14:textId="23EC3889" w:rsidR="00776C08" w:rsidRPr="00CF3007" w:rsidRDefault="00CF3007" w:rsidP="00CF3007">
      <w:pPr>
        <w:pStyle w:val="Caption"/>
        <w:ind w:left="1080"/>
        <w:jc w:val="center"/>
        <w:rPr>
          <w:rFonts w:ascii="Times New Roman" w:hAnsi="Times New Roman" w:cs="Times New Roman"/>
          <w:i w:val="0"/>
          <w:iCs w:val="0"/>
        </w:rPr>
      </w:pPr>
      <w:r w:rsidRPr="00CF3007">
        <w:rPr>
          <w:rFonts w:ascii="Times New Roman" w:hAnsi="Times New Roman" w:cs="Times New Roman"/>
        </w:rPr>
        <w:t xml:space="preserve">Figure </w:t>
      </w:r>
      <w:r w:rsidRPr="00CF3007">
        <w:rPr>
          <w:rFonts w:ascii="Times New Roman" w:hAnsi="Times New Roman" w:cs="Times New Roman"/>
        </w:rPr>
        <w:fldChar w:fldCharType="begin"/>
      </w:r>
      <w:r w:rsidRPr="00CF3007">
        <w:rPr>
          <w:rFonts w:ascii="Times New Roman" w:hAnsi="Times New Roman" w:cs="Times New Roman"/>
        </w:rPr>
        <w:instrText xml:space="preserve"> SEQ Figure \* ARABIC </w:instrText>
      </w:r>
      <w:r w:rsidRPr="00CF3007">
        <w:rPr>
          <w:rFonts w:ascii="Times New Roman" w:hAnsi="Times New Roman" w:cs="Times New Roman"/>
        </w:rPr>
        <w:fldChar w:fldCharType="separate"/>
      </w:r>
      <w:r w:rsidR="004451D6">
        <w:rPr>
          <w:rFonts w:ascii="Times New Roman" w:hAnsi="Times New Roman" w:cs="Times New Roman"/>
          <w:noProof/>
        </w:rPr>
        <w:t>2</w:t>
      </w:r>
      <w:r w:rsidRPr="00CF3007">
        <w:rPr>
          <w:rFonts w:ascii="Times New Roman" w:hAnsi="Times New Roman" w:cs="Times New Roman"/>
        </w:rPr>
        <w:fldChar w:fldCharType="end"/>
      </w:r>
      <w:r w:rsidRPr="00CF3007">
        <w:rPr>
          <w:rFonts w:ascii="Times New Roman" w:hAnsi="Times New Roman" w:cs="Times New Roman"/>
        </w:rPr>
        <w:t>. US FFR Diagram</w:t>
      </w:r>
    </w:p>
    <w:p w14:paraId="459C0CCB" w14:textId="77777777" w:rsidR="00776C08" w:rsidRDefault="00776C08" w:rsidP="00776C08">
      <w:pPr>
        <w:ind w:left="720"/>
        <w:rPr>
          <w:rFonts w:ascii="Times New Roman" w:hAnsi="Times New Roman" w:cs="Times New Roman"/>
        </w:rPr>
      </w:pPr>
    </w:p>
    <w:p w14:paraId="0EA3AD47"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Taylor Rule</w:t>
      </w:r>
    </w:p>
    <w:p w14:paraId="383B34FD" w14:textId="77777777" w:rsidR="00776C08" w:rsidRDefault="00776C08" w:rsidP="00B51ADA">
      <w:pPr>
        <w:ind w:left="360"/>
        <w:rPr>
          <w:rFonts w:ascii="Times New Roman" w:hAnsi="Times New Roman" w:cs="Times New Roman"/>
        </w:rPr>
      </w:pPr>
      <w:r w:rsidRPr="00314052">
        <w:rPr>
          <w:rFonts w:ascii="Times New Roman" w:hAnsi="Times New Roman" w:cs="Times New Roman"/>
        </w:rPr>
        <w:t xml:space="preserve">In a paper published in 1993, John Taylor showed how monetary policy in the United States from 1987 to 1992 was approximated by a formula that related the federal funds rate to three variables. The first variable is the inflation-adjusted long-run federal funds rate, the second is the deviation of current inflation from the 2% target set by the Federal Open Market Committee (FOMC), and the third is the percentage difference between actual GDP and its potential level. </w:t>
      </w:r>
    </w:p>
    <w:p w14:paraId="526CB097" w14:textId="77777777" w:rsidR="00776C08" w:rsidRPr="00314052" w:rsidRDefault="00776C08" w:rsidP="00776C08">
      <w:pPr>
        <w:ind w:left="360"/>
        <w:rPr>
          <w:rFonts w:ascii="Times New Roman" w:hAnsi="Times New Roman" w:cs="Times New Roman"/>
        </w:rPr>
      </w:pPr>
      <w:r w:rsidRPr="00314052">
        <w:rPr>
          <w:rFonts w:ascii="Times New Roman" w:hAnsi="Times New Roman" w:cs="Times New Roman"/>
        </w:rPr>
        <w:t xml:space="preserve">Taylor </w:t>
      </w:r>
      <w:r w:rsidRPr="00314052">
        <w:rPr>
          <w:rFonts w:ascii="Times New Roman" w:hAnsi="Times New Roman" w:cs="Times New Roman" w:hint="eastAsia"/>
        </w:rPr>
        <w:t>Rule</w:t>
      </w:r>
      <w:r w:rsidRPr="00314052">
        <w:rPr>
          <w:rFonts w:ascii="Times New Roman" w:hAnsi="Times New Roman" w:cs="Times New Roman"/>
        </w:rPr>
        <w:t xml:space="preserve"> takes the following general form, with the specific meanings of the indicators shown in the table below</w:t>
      </w:r>
      <w:r>
        <w:rPr>
          <w:rFonts w:ascii="Times New Roman" w:hAnsi="Times New Roman" w:cs="Times New Roman"/>
        </w:rPr>
        <w:t xml:space="preserve"> </w:t>
      </w:r>
      <w:commentRangeStart w:id="11"/>
      <w:r>
        <w:rPr>
          <w:rFonts w:ascii="Times New Roman" w:hAnsi="Times New Roman" w:cs="Times New Roman"/>
        </w:rPr>
        <w:t>[12]</w:t>
      </w:r>
      <w:commentRangeEnd w:id="11"/>
      <w:r>
        <w:rPr>
          <w:rStyle w:val="CommentReference"/>
        </w:rPr>
        <w:commentReference w:id="11"/>
      </w:r>
      <w:r w:rsidRPr="00314052">
        <w:rPr>
          <w:rFonts w:ascii="Times New Roman" w:hAnsi="Times New Roman" w:cs="Times New Roman"/>
        </w:rPr>
        <w:t>.</w:t>
      </w:r>
    </w:p>
    <w:p w14:paraId="2EBF732A" w14:textId="77777777" w:rsidR="00776C08" w:rsidRPr="007C3705" w:rsidRDefault="00000000" w:rsidP="00776C08">
      <w:pPr>
        <w:pStyle w:val="ListParagrap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LR</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+0.5</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e>
          </m:d>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oMath>
      </m:oMathPara>
    </w:p>
    <w:p w14:paraId="01B1D1BA" w14:textId="77777777" w:rsidR="00776C08" w:rsidRDefault="00776C08" w:rsidP="00776C08">
      <w:pPr>
        <w:pStyle w:val="ListParagraph"/>
        <w:rPr>
          <w:rFonts w:ascii="Times New Roman" w:hAnsi="Times New Roman" w:cs="Times New Roman"/>
        </w:rPr>
      </w:pPr>
    </w:p>
    <w:p w14:paraId="7F8C9CD6" w14:textId="2CF44C7A" w:rsidR="00C30BA5" w:rsidRDefault="00C30BA5" w:rsidP="00C30BA5">
      <w:pPr>
        <w:pStyle w:val="Caption"/>
        <w:keepNext/>
      </w:pPr>
    </w:p>
    <w:tbl>
      <w:tblPr>
        <w:tblStyle w:val="TableGrid"/>
        <w:tblW w:w="0" w:type="auto"/>
        <w:tblLook w:val="04A0" w:firstRow="1" w:lastRow="0" w:firstColumn="1" w:lastColumn="0" w:noHBand="0" w:noVBand="1"/>
      </w:tblPr>
      <w:tblGrid>
        <w:gridCol w:w="4148"/>
        <w:gridCol w:w="4148"/>
      </w:tblGrid>
      <w:tr w:rsidR="00776C08" w14:paraId="1AC72FB8" w14:textId="77777777" w:rsidTr="00A26A01">
        <w:tc>
          <w:tcPr>
            <w:tcW w:w="4148" w:type="dxa"/>
          </w:tcPr>
          <w:p w14:paraId="1DC77A47" w14:textId="77777777" w:rsidR="00776C08" w:rsidRDefault="00776C08" w:rsidP="00A26A01">
            <w:pPr>
              <w:rPr>
                <w:rFonts w:ascii="Times New Roman" w:hAnsi="Times New Roman" w:cs="Times New Roman"/>
              </w:rPr>
            </w:pPr>
            <w:r>
              <w:rPr>
                <w:rFonts w:ascii="Times New Roman" w:hAnsi="Times New Roman" w:cs="Times New Roman" w:hint="eastAsia"/>
              </w:rPr>
              <w:t>Variable</w:t>
            </w:r>
          </w:p>
        </w:tc>
        <w:tc>
          <w:tcPr>
            <w:tcW w:w="4148" w:type="dxa"/>
          </w:tcPr>
          <w:p w14:paraId="08AAC7FF" w14:textId="77777777" w:rsidR="00776C08" w:rsidRDefault="00776C08" w:rsidP="00A26A01">
            <w:pPr>
              <w:rPr>
                <w:rFonts w:ascii="Times New Roman" w:hAnsi="Times New Roman" w:cs="Times New Roman"/>
              </w:rPr>
            </w:pPr>
            <w:r>
              <w:rPr>
                <w:rFonts w:ascii="Times New Roman" w:hAnsi="Times New Roman" w:cs="Times New Roman" w:hint="eastAsia"/>
              </w:rPr>
              <w:t>Implication</w:t>
            </w:r>
          </w:p>
        </w:tc>
      </w:tr>
      <w:tr w:rsidR="00776C08" w14:paraId="33005E92" w14:textId="77777777" w:rsidTr="00A26A01">
        <w:tc>
          <w:tcPr>
            <w:tcW w:w="4148" w:type="dxa"/>
          </w:tcPr>
          <w:p w14:paraId="667E7484" w14:textId="77777777" w:rsidR="00776C08" w:rsidRPr="005D74D7" w:rsidRDefault="00000000" w:rsidP="00A26A01">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FFR</m:t>
                    </m:r>
                  </m:e>
                  <m:sub>
                    <m:r>
                      <w:rPr>
                        <w:rFonts w:ascii="Cambria Math" w:hAnsi="Cambria Math" w:cs="Times New Roman" w:hint="eastAsia"/>
                      </w:rPr>
                      <m:t>t</m:t>
                    </m:r>
                  </m:sub>
                </m:sSub>
              </m:oMath>
            </m:oMathPara>
          </w:p>
        </w:tc>
        <w:tc>
          <w:tcPr>
            <w:tcW w:w="4148" w:type="dxa"/>
          </w:tcPr>
          <w:p w14:paraId="1C48E185" w14:textId="77777777" w:rsidR="00776C08" w:rsidRDefault="00776C08" w:rsidP="00A26A01">
            <w:pPr>
              <w:rPr>
                <w:rFonts w:ascii="Times New Roman" w:hAnsi="Times New Roman" w:cs="Times New Roman"/>
              </w:rPr>
            </w:pPr>
            <w:r>
              <w:rPr>
                <w:rFonts w:ascii="Times New Roman" w:hAnsi="Times New Roman" w:cs="Times New Roman" w:hint="eastAsia"/>
              </w:rPr>
              <w:t>Federal</w:t>
            </w:r>
            <w:r>
              <w:rPr>
                <w:rFonts w:ascii="Times New Roman" w:hAnsi="Times New Roman" w:cs="Times New Roman"/>
              </w:rPr>
              <w:t xml:space="preserve"> </w:t>
            </w:r>
            <w:r>
              <w:rPr>
                <w:rFonts w:ascii="Times New Roman" w:hAnsi="Times New Roman" w:cs="Times New Roman" w:hint="eastAsia"/>
              </w:rPr>
              <w:t>fund</w:t>
            </w:r>
            <w:r>
              <w:rPr>
                <w:rFonts w:ascii="Times New Roman" w:hAnsi="Times New Roman" w:cs="Times New Roman"/>
              </w:rPr>
              <w:t xml:space="preserve"> Rate </w:t>
            </w:r>
          </w:p>
        </w:tc>
      </w:tr>
      <w:tr w:rsidR="00776C08" w14:paraId="3AA9BCF5" w14:textId="77777777" w:rsidTr="00A26A01">
        <w:tc>
          <w:tcPr>
            <w:tcW w:w="4148" w:type="dxa"/>
          </w:tcPr>
          <w:p w14:paraId="3038C3CF" w14:textId="77777777" w:rsidR="00776C08" w:rsidRPr="003030F7" w:rsidRDefault="00000000" w:rsidP="001C55F7">
            <w:pPr>
              <w:ind w:left="-20"/>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r</m:t>
                    </m:r>
                    <m:r>
                      <w:rPr>
                        <w:rFonts w:ascii="Cambria Math" w:hAnsi="Cambria Math"/>
                        <w:position w:val="8"/>
                        <w:sz w:val="16"/>
                        <w:szCs w:val="16"/>
                      </w:rPr>
                      <m:t>LR</m:t>
                    </m:r>
                  </m:e>
                  <m:sub>
                    <m:r>
                      <w:rPr>
                        <w:rFonts w:ascii="Cambria Math" w:hAnsi="Cambria Math" w:hint="eastAsia"/>
                        <w:sz w:val="22"/>
                      </w:rPr>
                      <m:t>t</m:t>
                    </m:r>
                  </m:sub>
                </m:sSub>
              </m:oMath>
            </m:oMathPara>
          </w:p>
        </w:tc>
        <w:tc>
          <w:tcPr>
            <w:tcW w:w="4148" w:type="dxa"/>
          </w:tcPr>
          <w:p w14:paraId="0CBC9B98" w14:textId="77777777" w:rsidR="00776C08" w:rsidRDefault="00776C08" w:rsidP="00A26A01">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Neutral Rate</w:t>
            </w:r>
          </w:p>
        </w:tc>
      </w:tr>
      <w:tr w:rsidR="00776C08" w14:paraId="0619F99C" w14:textId="77777777" w:rsidTr="00A26A01">
        <w:tc>
          <w:tcPr>
            <w:tcW w:w="4148" w:type="dxa"/>
          </w:tcPr>
          <w:p w14:paraId="1CC2D953" w14:textId="77777777" w:rsidR="00776C08" w:rsidRPr="003030F7" w:rsidRDefault="00000000" w:rsidP="00A26A01">
            <w:pPr>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π</m:t>
                    </m:r>
                  </m:e>
                  <m:sub>
                    <m:r>
                      <w:rPr>
                        <w:rFonts w:ascii="Cambria Math" w:hAnsi="Cambria Math" w:hint="eastAsia"/>
                        <w:sz w:val="22"/>
                      </w:rPr>
                      <m:t>t</m:t>
                    </m:r>
                  </m:sub>
                </m:sSub>
              </m:oMath>
            </m:oMathPara>
          </w:p>
        </w:tc>
        <w:tc>
          <w:tcPr>
            <w:tcW w:w="4148" w:type="dxa"/>
          </w:tcPr>
          <w:p w14:paraId="7A180237" w14:textId="77777777" w:rsidR="00776C08" w:rsidRDefault="00776C08" w:rsidP="00A26A01">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xpected Inflation</w:t>
            </w:r>
          </w:p>
        </w:tc>
      </w:tr>
      <w:tr w:rsidR="00776C08" w14:paraId="1C879428" w14:textId="77777777" w:rsidTr="00A26A01">
        <w:tc>
          <w:tcPr>
            <w:tcW w:w="4148" w:type="dxa"/>
          </w:tcPr>
          <w:p w14:paraId="2D899271" w14:textId="77777777" w:rsidR="00776C08" w:rsidRDefault="00776C08" w:rsidP="00A26A01">
            <w:pPr>
              <w:jc w:val="left"/>
              <w:rPr>
                <w:rFonts w:ascii="Times New Roman" w:hAnsi="Times New Roman" w:cs="Times New Roman"/>
              </w:rPr>
            </w:pPr>
            <w:r w:rsidRPr="003030F7">
              <w:rPr>
                <w:rFonts w:ascii="Cambria Math" w:hAnsi="Cambria Math"/>
                <w:sz w:val="22"/>
              </w:rPr>
              <w:t>𝜋</w:t>
            </w:r>
            <w:r w:rsidRPr="003030F7">
              <w:rPr>
                <w:rFonts w:ascii="Cambria Math" w:hAnsi="Cambria Math"/>
                <w:position w:val="8"/>
                <w:sz w:val="16"/>
                <w:szCs w:val="16"/>
              </w:rPr>
              <w:t>∗</w:t>
            </w:r>
          </w:p>
        </w:tc>
        <w:tc>
          <w:tcPr>
            <w:tcW w:w="4148" w:type="dxa"/>
          </w:tcPr>
          <w:p w14:paraId="11C3B871" w14:textId="77777777" w:rsidR="00776C08" w:rsidRDefault="00776C08" w:rsidP="00A26A0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arget Inflation</w:t>
            </w:r>
          </w:p>
        </w:tc>
      </w:tr>
      <w:tr w:rsidR="00776C08" w14:paraId="75C43D94" w14:textId="77777777" w:rsidTr="00A26A01">
        <w:tc>
          <w:tcPr>
            <w:tcW w:w="4148" w:type="dxa"/>
          </w:tcPr>
          <w:p w14:paraId="184B727D" w14:textId="77777777" w:rsidR="00776C08" w:rsidRDefault="00000000" w:rsidP="00A26A01">
            <w:pPr>
              <w:rPr>
                <w:rFonts w:ascii="Times New Roman" w:hAnsi="Times New Roman" w:cs="Times New Roman"/>
              </w:rPr>
            </w:pPr>
            <m:oMath>
              <m:sSub>
                <m:sSubPr>
                  <m:ctrlPr>
                    <w:rPr>
                      <w:rFonts w:ascii="Cambria Math" w:eastAsia="宋体" w:hAnsi="Cambria Math" w:cs="宋体"/>
                      <w:i/>
                      <w:kern w:val="0"/>
                      <w:sz w:val="22"/>
                    </w:rPr>
                  </m:ctrlPr>
                </m:sSubPr>
                <m:e>
                  <m:r>
                    <w:rPr>
                      <w:rFonts w:ascii="Cambria Math" w:hAnsi="Cambria Math"/>
                      <w:sz w:val="22"/>
                    </w:rPr>
                    <m:t>y</m:t>
                  </m:r>
                </m:e>
                <m:sub>
                  <m:r>
                    <w:rPr>
                      <w:rFonts w:ascii="Cambria Math" w:hAnsi="Cambria Math" w:hint="eastAsia"/>
                      <w:sz w:val="22"/>
                    </w:rPr>
                    <m:t>t</m:t>
                  </m:r>
                </m:sub>
              </m:sSub>
            </m:oMath>
            <w:r w:rsidR="00776C08" w:rsidRPr="003030F7">
              <w:rPr>
                <w:rFonts w:ascii="Cambria Math" w:hAnsi="Cambria Math"/>
                <w:sz w:val="22"/>
              </w:rPr>
              <w:t xml:space="preserve"> −</w:t>
            </w:r>
            <m:oMath>
              <m:sSub>
                <m:sSubPr>
                  <m:ctrlPr>
                    <w:rPr>
                      <w:rFonts w:ascii="Cambria Math" w:eastAsia="宋体" w:hAnsi="Cambria Math" w:cs="宋体"/>
                      <w:i/>
                      <w:kern w:val="0"/>
                      <w:sz w:val="22"/>
                    </w:rPr>
                  </m:ctrlPr>
                </m:sSubPr>
                <m:e>
                  <m:r>
                    <w:rPr>
                      <w:rFonts w:ascii="Cambria Math" w:hAnsi="Cambria Math"/>
                      <w:sz w:val="22"/>
                    </w:rPr>
                    <m:t>y</m:t>
                  </m:r>
                  <m:r>
                    <w:rPr>
                      <w:rFonts w:ascii="Cambria Math" w:hAnsi="Cambria Math"/>
                      <w:position w:val="10"/>
                      <w:sz w:val="16"/>
                      <w:szCs w:val="16"/>
                    </w:rPr>
                    <m:t>p</m:t>
                  </m:r>
                </m:e>
                <m:sub>
                  <m:r>
                    <w:rPr>
                      <w:rFonts w:ascii="Cambria Math" w:hAnsi="Cambria Math" w:hint="eastAsia"/>
                      <w:sz w:val="22"/>
                    </w:rPr>
                    <m:t>t</m:t>
                  </m:r>
                </m:sub>
              </m:sSub>
            </m:oMath>
          </w:p>
        </w:tc>
        <w:tc>
          <w:tcPr>
            <w:tcW w:w="4148" w:type="dxa"/>
          </w:tcPr>
          <w:p w14:paraId="2173E27B" w14:textId="77777777" w:rsidR="00776C08" w:rsidRDefault="00776C08" w:rsidP="00A26A01">
            <w:pPr>
              <w:rPr>
                <w:rFonts w:ascii="Times New Roman" w:hAnsi="Times New Roman" w:cs="Times New Roman"/>
              </w:rPr>
            </w:pPr>
            <w:r>
              <w:rPr>
                <w:rFonts w:ascii="Times New Roman" w:hAnsi="Times New Roman" w:cs="Times New Roman"/>
              </w:rPr>
              <w:t>P</w:t>
            </w:r>
            <w:r w:rsidRPr="003030F7">
              <w:rPr>
                <w:rFonts w:ascii="Times New Roman" w:hAnsi="Times New Roman" w:cs="Times New Roman"/>
              </w:rPr>
              <w:t>ercent deviation between the current real GDP and the long-term linear trend in GDP</w:t>
            </w:r>
          </w:p>
        </w:tc>
      </w:tr>
    </w:tbl>
    <w:p w14:paraId="047B601D" w14:textId="4E1BF368" w:rsidR="00776C08" w:rsidRPr="00C30BA5" w:rsidRDefault="00C30BA5" w:rsidP="00C30BA5">
      <w:pPr>
        <w:pStyle w:val="Caption"/>
        <w:ind w:left="1080"/>
        <w:jc w:val="center"/>
        <w:rPr>
          <w:rFonts w:ascii="Times New Roman" w:hAnsi="Times New Roman" w:cs="Times New Roman"/>
        </w:rPr>
      </w:pPr>
      <w:r w:rsidRPr="00C30BA5">
        <w:rPr>
          <w:rFonts w:ascii="Times New Roman" w:hAnsi="Times New Roman" w:cs="Times New Roman"/>
        </w:rPr>
        <w:t xml:space="preserve">Table </w:t>
      </w:r>
      <w:r w:rsidRPr="00C30BA5">
        <w:rPr>
          <w:rFonts w:ascii="Times New Roman" w:hAnsi="Times New Roman" w:cs="Times New Roman"/>
        </w:rPr>
        <w:fldChar w:fldCharType="begin"/>
      </w:r>
      <w:r w:rsidRPr="00C30BA5">
        <w:rPr>
          <w:rFonts w:ascii="Times New Roman" w:hAnsi="Times New Roman" w:cs="Times New Roman"/>
        </w:rPr>
        <w:instrText xml:space="preserve"> SEQ Table \* ARABIC </w:instrText>
      </w:r>
      <w:r w:rsidRPr="00C30BA5">
        <w:rPr>
          <w:rFonts w:ascii="Times New Roman" w:hAnsi="Times New Roman" w:cs="Times New Roman"/>
        </w:rPr>
        <w:fldChar w:fldCharType="separate"/>
      </w:r>
      <w:r w:rsidR="00D74301">
        <w:rPr>
          <w:rFonts w:ascii="Times New Roman" w:hAnsi="Times New Roman" w:cs="Times New Roman"/>
          <w:noProof/>
        </w:rPr>
        <w:t>1</w:t>
      </w:r>
      <w:r w:rsidRPr="00C30BA5">
        <w:rPr>
          <w:rFonts w:ascii="Times New Roman" w:hAnsi="Times New Roman" w:cs="Times New Roman"/>
        </w:rPr>
        <w:fldChar w:fldCharType="end"/>
      </w:r>
      <w:r w:rsidRPr="00C30BA5">
        <w:rPr>
          <w:rFonts w:ascii="Times New Roman" w:hAnsi="Times New Roman" w:cs="Times New Roman"/>
        </w:rPr>
        <w:t xml:space="preserve">. Variables Explanation in Taylor Rule </w:t>
      </w:r>
    </w:p>
    <w:p w14:paraId="0C22EA11" w14:textId="77777777" w:rsidR="00776C08" w:rsidRPr="00C90CCA" w:rsidRDefault="00776C08" w:rsidP="00776C08">
      <w:pPr>
        <w:ind w:left="420"/>
        <w:rPr>
          <w:rFonts w:ascii="Times New Roman" w:hAnsi="Times New Roman" w:cs="Times New Roman"/>
        </w:rPr>
      </w:pPr>
      <w:r w:rsidRPr="00C90CCA">
        <w:rPr>
          <w:rFonts w:ascii="Times New Roman" w:hAnsi="Times New Roman" w:cs="Times New Roman"/>
        </w:rPr>
        <w:t>The Taylor formula illustrates that when inflation surpasses the 2% target, the federal funds rate increases at a rate 1.5 times that of the inflation increase. Furthermore, if the GDP exceeds its potential level, the federal funds rate increases by 0.5 times the difference between the GDP and its potential level.</w:t>
      </w:r>
    </w:p>
    <w:p w14:paraId="327A4420" w14:textId="77777777" w:rsidR="00776C08" w:rsidRDefault="00776C08" w:rsidP="00776C08">
      <w:pPr>
        <w:ind w:left="420"/>
        <w:rPr>
          <w:rFonts w:ascii="Times New Roman" w:hAnsi="Times New Roman" w:cs="Times New Roman"/>
        </w:rPr>
      </w:pPr>
      <w:r w:rsidRPr="00C90CCA">
        <w:rPr>
          <w:rFonts w:ascii="Times New Roman" w:hAnsi="Times New Roman" w:cs="Times New Roman"/>
        </w:rPr>
        <w:t xml:space="preserve">The Taylor rule embodies the fundamental principles of monetary policy discussed earlier. Firstly, when the real long-term neutral federal funds rate, the actual and target inflation rates, and the real GDP level and its potential are all known, the adjustment based on the difference between the GDP and its potential level is zero, making </w:t>
      </w:r>
      <w:r>
        <w:rPr>
          <w:rFonts w:ascii="Times New Roman" w:hAnsi="Times New Roman" w:cs="Times New Roman"/>
        </w:rPr>
        <w:t>FFR</w:t>
      </w:r>
      <w:r w:rsidRPr="00C90CCA">
        <w:rPr>
          <w:rFonts w:ascii="Times New Roman" w:hAnsi="Times New Roman" w:cs="Times New Roman"/>
        </w:rPr>
        <w:t xml:space="preserve"> prediction feasible. Secondly, it advocates for higher </w:t>
      </w:r>
      <w:r>
        <w:rPr>
          <w:rFonts w:ascii="Times New Roman" w:hAnsi="Times New Roman" w:cs="Times New Roman"/>
        </w:rPr>
        <w:t>FFR</w:t>
      </w:r>
      <w:r w:rsidRPr="00C90CCA">
        <w:rPr>
          <w:rFonts w:ascii="Times New Roman" w:hAnsi="Times New Roman" w:cs="Times New Roman"/>
        </w:rPr>
        <w:t xml:space="preserve"> in response to rising inflation or increased resource utilization, and lower </w:t>
      </w:r>
      <w:r>
        <w:rPr>
          <w:rFonts w:ascii="Times New Roman" w:hAnsi="Times New Roman" w:cs="Times New Roman"/>
        </w:rPr>
        <w:t>FFR</w:t>
      </w:r>
      <w:r w:rsidRPr="00C90CCA">
        <w:rPr>
          <w:rFonts w:ascii="Times New Roman" w:hAnsi="Times New Roman" w:cs="Times New Roman"/>
        </w:rPr>
        <w:t xml:space="preserve"> when inflation subsides or resource utilization declines. This alignment corresponds with the Federal Reserve's dual mandate. Lastly, the equation dictates that the federal funds rate should be adjusted by more than a one-to-one ratio when inflation experiences upward or </w:t>
      </w:r>
      <w:r w:rsidRPr="00C90CCA">
        <w:rPr>
          <w:rFonts w:ascii="Times New Roman" w:hAnsi="Times New Roman" w:cs="Times New Roman"/>
        </w:rPr>
        <w:lastRenderedPageBreak/>
        <w:t>downward movements, a characteristic often referred to as the Taylor principle.</w:t>
      </w:r>
    </w:p>
    <w:p w14:paraId="17945113" w14:textId="388D64C1" w:rsidR="00776C08" w:rsidRDefault="00776C08" w:rsidP="00776C08">
      <w:pPr>
        <w:ind w:left="420"/>
        <w:rPr>
          <w:rFonts w:ascii="Times New Roman" w:hAnsi="Times New Roman" w:cs="Times New Roman"/>
        </w:rPr>
      </w:pPr>
      <w:r w:rsidRPr="00956C78">
        <w:rPr>
          <w:rFonts w:ascii="Times New Roman" w:hAnsi="Times New Roman" w:cs="Times New Roman"/>
        </w:rPr>
        <w:t>Federal Reserve officials and economists later introduced several alterations to the variables used in the Taylor Rule</w:t>
      </w:r>
      <w:r>
        <w:rPr>
          <w:rFonts w:ascii="Times New Roman" w:hAnsi="Times New Roman" w:cs="Times New Roman"/>
        </w:rPr>
        <w:t>,</w:t>
      </w:r>
      <w:r w:rsidRPr="00956C78">
        <w:rPr>
          <w:rFonts w:ascii="Times New Roman" w:hAnsi="Times New Roman" w:cs="Times New Roman"/>
        </w:rPr>
        <w:t xml:space="preserve"> aiming to provide a more accurate representation and interpretation of shifts in the real-world scenario and policy structure. As a result, numerous revised iterations emerged</w:t>
      </w:r>
      <w:r>
        <w:rPr>
          <w:rFonts w:ascii="Times New Roman" w:hAnsi="Times New Roman" w:cs="Times New Roman"/>
        </w:rPr>
        <w:t xml:space="preserve"> (</w:t>
      </w:r>
      <w:r>
        <w:rPr>
          <w:rFonts w:ascii="Times New Roman" w:hAnsi="Times New Roman" w:cs="Times New Roman" w:hint="eastAsia"/>
        </w:rPr>
        <w:t>Table</w:t>
      </w:r>
      <w:r>
        <w:rPr>
          <w:rFonts w:ascii="Times New Roman" w:hAnsi="Times New Roman" w:cs="Times New Roman"/>
        </w:rPr>
        <w:t>.</w:t>
      </w:r>
      <w:r w:rsidR="00D74301">
        <w:rPr>
          <w:rFonts w:ascii="Times New Roman" w:hAnsi="Times New Roman" w:cs="Times New Roman"/>
        </w:rPr>
        <w:t xml:space="preserve"> </w:t>
      </w:r>
      <w:r>
        <w:rPr>
          <w:rFonts w:ascii="Times New Roman" w:hAnsi="Times New Roman" w:cs="Times New Roman"/>
        </w:rPr>
        <w:t>2)</w:t>
      </w:r>
      <w:r w:rsidR="00FF6A71">
        <w:rPr>
          <w:rFonts w:ascii="Times New Roman" w:hAnsi="Times New Roman" w:cs="Times New Roman"/>
        </w:rPr>
        <w:t xml:space="preserve"> </w:t>
      </w:r>
      <w:commentRangeStart w:id="12"/>
      <w:r>
        <w:rPr>
          <w:rFonts w:ascii="Times New Roman" w:hAnsi="Times New Roman" w:cs="Times New Roman"/>
        </w:rPr>
        <w:t>[13]</w:t>
      </w:r>
      <w:commentRangeEnd w:id="12"/>
      <w:r>
        <w:rPr>
          <w:rStyle w:val="CommentReference"/>
        </w:rPr>
        <w:commentReference w:id="12"/>
      </w:r>
      <w:r>
        <w:rPr>
          <w:rFonts w:ascii="Times New Roman" w:hAnsi="Times New Roman" w:cs="Times New Roman"/>
        </w:rPr>
        <w:t>.</w:t>
      </w:r>
    </w:p>
    <w:p w14:paraId="460C3930" w14:textId="153C7033" w:rsidR="00D74301" w:rsidRDefault="00D74301" w:rsidP="00D74301">
      <w:pPr>
        <w:pStyle w:val="Caption"/>
        <w:keepNext/>
      </w:pPr>
    </w:p>
    <w:tbl>
      <w:tblPr>
        <w:tblStyle w:val="TableGrid"/>
        <w:tblW w:w="8359" w:type="dxa"/>
        <w:tblLayout w:type="fixed"/>
        <w:tblLook w:val="04A0" w:firstRow="1" w:lastRow="0" w:firstColumn="1" w:lastColumn="0" w:noHBand="0" w:noVBand="1"/>
      </w:tblPr>
      <w:tblGrid>
        <w:gridCol w:w="1129"/>
        <w:gridCol w:w="3119"/>
        <w:gridCol w:w="2126"/>
        <w:gridCol w:w="1985"/>
      </w:tblGrid>
      <w:tr w:rsidR="00776C08" w14:paraId="7C8AE6A6" w14:textId="77777777" w:rsidTr="00A26A01">
        <w:trPr>
          <w:trHeight w:val="354"/>
        </w:trPr>
        <w:tc>
          <w:tcPr>
            <w:tcW w:w="1129" w:type="dxa"/>
          </w:tcPr>
          <w:p w14:paraId="2FF70A6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R</w:t>
            </w:r>
            <w:r w:rsidRPr="007A353C">
              <w:rPr>
                <w:rFonts w:ascii="Times New Roman" w:hAnsi="Times New Roman" w:cs="Times New Roman"/>
                <w:sz w:val="15"/>
                <w:szCs w:val="15"/>
              </w:rPr>
              <w:t>ule</w:t>
            </w:r>
            <w:r>
              <w:rPr>
                <w:rFonts w:ascii="Times New Roman" w:hAnsi="Times New Roman" w:cs="Times New Roman" w:hint="eastAsia"/>
                <w:sz w:val="15"/>
                <w:szCs w:val="15"/>
              </w:rPr>
              <w:t>s</w:t>
            </w:r>
          </w:p>
        </w:tc>
        <w:tc>
          <w:tcPr>
            <w:tcW w:w="3119" w:type="dxa"/>
          </w:tcPr>
          <w:p w14:paraId="3356528E"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F</w:t>
            </w:r>
            <w:r w:rsidRPr="007A353C">
              <w:rPr>
                <w:rFonts w:ascii="Times New Roman" w:hAnsi="Times New Roman" w:cs="Times New Roman"/>
                <w:sz w:val="15"/>
                <w:szCs w:val="15"/>
              </w:rPr>
              <w:t>ormula</w:t>
            </w:r>
          </w:p>
        </w:tc>
        <w:tc>
          <w:tcPr>
            <w:tcW w:w="2126" w:type="dxa"/>
          </w:tcPr>
          <w:p w14:paraId="11A9DC38"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Pr="007A353C">
              <w:rPr>
                <w:rFonts w:ascii="Times New Roman" w:hAnsi="Times New Roman" w:cs="Times New Roman" w:hint="eastAsia"/>
                <w:sz w:val="15"/>
                <w:szCs w:val="15"/>
              </w:rPr>
              <w:t>O</w:t>
            </w:r>
            <w:r w:rsidRPr="007A353C">
              <w:rPr>
                <w:rFonts w:ascii="Times New Roman" w:hAnsi="Times New Roman" w:cs="Times New Roman"/>
                <w:sz w:val="15"/>
                <w:szCs w:val="15"/>
              </w:rPr>
              <w:t xml:space="preserve">utput gap </w:t>
            </w:r>
          </w:p>
        </w:tc>
        <w:tc>
          <w:tcPr>
            <w:tcW w:w="1985" w:type="dxa"/>
          </w:tcPr>
          <w:p w14:paraId="3C720086"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Pr="007A353C">
              <w:rPr>
                <w:rFonts w:ascii="Times New Roman" w:hAnsi="Times New Roman" w:cs="Times New Roman" w:hint="eastAsia"/>
                <w:sz w:val="15"/>
                <w:szCs w:val="15"/>
              </w:rPr>
              <w:t>I</w:t>
            </w:r>
            <w:r w:rsidRPr="007A353C">
              <w:rPr>
                <w:rFonts w:ascii="Times New Roman" w:hAnsi="Times New Roman" w:cs="Times New Roman"/>
                <w:sz w:val="15"/>
                <w:szCs w:val="15"/>
              </w:rPr>
              <w:t>nflation gap</w:t>
            </w:r>
          </w:p>
        </w:tc>
      </w:tr>
      <w:tr w:rsidR="00776C08" w14:paraId="542BBB0D" w14:textId="77777777" w:rsidTr="00A26A01">
        <w:tc>
          <w:tcPr>
            <w:tcW w:w="1129" w:type="dxa"/>
          </w:tcPr>
          <w:p w14:paraId="77BF6390"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Bernanke Rule</w:t>
            </w:r>
          </w:p>
        </w:tc>
        <w:tc>
          <w:tcPr>
            <w:tcW w:w="3119" w:type="dxa"/>
          </w:tcPr>
          <w:p w14:paraId="045B95DC"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noProof/>
                <w:sz w:val="15"/>
                <w:szCs w:val="15"/>
              </w:rPr>
              <w:drawing>
                <wp:inline distT="0" distB="0" distL="0" distR="0" wp14:anchorId="5E58BE21" wp14:editId="0D82D893">
                  <wp:extent cx="1304290" cy="169736"/>
                  <wp:effectExtent l="0" t="0" r="3810" b="0"/>
                  <wp:docPr id="1178989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89193" name=""/>
                          <pic:cNvPicPr/>
                        </pic:nvPicPr>
                        <pic:blipFill>
                          <a:blip r:embed="rId14"/>
                          <a:stretch>
                            <a:fillRect/>
                          </a:stretch>
                        </pic:blipFill>
                        <pic:spPr>
                          <a:xfrm>
                            <a:off x="0" y="0"/>
                            <a:ext cx="1331754" cy="173310"/>
                          </a:xfrm>
                          <a:prstGeom prst="rect">
                            <a:avLst/>
                          </a:prstGeom>
                        </pic:spPr>
                      </pic:pic>
                    </a:graphicData>
                  </a:graphic>
                </wp:inline>
              </w:drawing>
            </w:r>
          </w:p>
        </w:tc>
        <w:tc>
          <w:tcPr>
            <w:tcW w:w="2126" w:type="dxa"/>
          </w:tcPr>
          <w:p w14:paraId="4890C6DA"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1</w:t>
            </w:r>
          </w:p>
        </w:tc>
        <w:tc>
          <w:tcPr>
            <w:tcW w:w="1985" w:type="dxa"/>
          </w:tcPr>
          <w:p w14:paraId="7529804B"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9FD46D5" w14:textId="77777777" w:rsidTr="00A26A01">
        <w:tc>
          <w:tcPr>
            <w:tcW w:w="1129" w:type="dxa"/>
          </w:tcPr>
          <w:p w14:paraId="2CB3BAAA"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E</w:t>
            </w:r>
            <w:r w:rsidRPr="007A353C">
              <w:rPr>
                <w:rFonts w:ascii="Times New Roman" w:hAnsi="Times New Roman" w:cs="Times New Roman"/>
                <w:sz w:val="15"/>
                <w:szCs w:val="15"/>
              </w:rPr>
              <w:t>vans Rule</w:t>
            </w:r>
          </w:p>
        </w:tc>
        <w:tc>
          <w:tcPr>
            <w:tcW w:w="3119" w:type="dxa"/>
          </w:tcPr>
          <w:p w14:paraId="060CD68A"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noProof/>
                <w:sz w:val="15"/>
                <w:szCs w:val="15"/>
              </w:rPr>
              <w:drawing>
                <wp:inline distT="0" distB="0" distL="0" distR="0" wp14:anchorId="6FBB380C" wp14:editId="7C620A7C">
                  <wp:extent cx="1304459" cy="178135"/>
                  <wp:effectExtent l="0" t="0" r="3810" b="0"/>
                  <wp:docPr id="1253641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41890" name=""/>
                          <pic:cNvPicPr/>
                        </pic:nvPicPr>
                        <pic:blipFill>
                          <a:blip r:embed="rId15"/>
                          <a:stretch>
                            <a:fillRect/>
                          </a:stretch>
                        </pic:blipFill>
                        <pic:spPr>
                          <a:xfrm>
                            <a:off x="0" y="0"/>
                            <a:ext cx="1364444" cy="186326"/>
                          </a:xfrm>
                          <a:prstGeom prst="rect">
                            <a:avLst/>
                          </a:prstGeom>
                        </pic:spPr>
                      </pic:pic>
                    </a:graphicData>
                  </a:graphic>
                </wp:inline>
              </w:drawing>
            </w:r>
          </w:p>
        </w:tc>
        <w:tc>
          <w:tcPr>
            <w:tcW w:w="2126" w:type="dxa"/>
          </w:tcPr>
          <w:p w14:paraId="358F2A40"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2</w:t>
            </w:r>
          </w:p>
        </w:tc>
        <w:tc>
          <w:tcPr>
            <w:tcW w:w="1985" w:type="dxa"/>
          </w:tcPr>
          <w:p w14:paraId="5054A2FB"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620D448" w14:textId="77777777" w:rsidTr="00A26A01">
        <w:tc>
          <w:tcPr>
            <w:tcW w:w="1129" w:type="dxa"/>
          </w:tcPr>
          <w:p w14:paraId="64933670"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Yellen</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119" w:type="dxa"/>
          </w:tcPr>
          <w:p w14:paraId="7E9C577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noProof/>
                <w:sz w:val="15"/>
                <w:szCs w:val="15"/>
              </w:rPr>
              <w:drawing>
                <wp:inline distT="0" distB="0" distL="0" distR="0" wp14:anchorId="58392710" wp14:editId="239C7FEF">
                  <wp:extent cx="1349220" cy="177316"/>
                  <wp:effectExtent l="0" t="0" r="0" b="635"/>
                  <wp:docPr id="2090762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62533" name=""/>
                          <pic:cNvPicPr/>
                        </pic:nvPicPr>
                        <pic:blipFill>
                          <a:blip r:embed="rId16"/>
                          <a:stretch>
                            <a:fillRect/>
                          </a:stretch>
                        </pic:blipFill>
                        <pic:spPr>
                          <a:xfrm>
                            <a:off x="0" y="0"/>
                            <a:ext cx="1378228" cy="181128"/>
                          </a:xfrm>
                          <a:prstGeom prst="rect">
                            <a:avLst/>
                          </a:prstGeom>
                        </pic:spPr>
                      </pic:pic>
                    </a:graphicData>
                  </a:graphic>
                </wp:inline>
              </w:drawing>
            </w:r>
          </w:p>
        </w:tc>
        <w:tc>
          <w:tcPr>
            <w:tcW w:w="2126" w:type="dxa"/>
          </w:tcPr>
          <w:p w14:paraId="4ED3E524"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c>
          <w:tcPr>
            <w:tcW w:w="1985" w:type="dxa"/>
          </w:tcPr>
          <w:p w14:paraId="320A746A"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2</w:t>
            </w:r>
          </w:p>
        </w:tc>
      </w:tr>
      <w:tr w:rsidR="00776C08" w14:paraId="4BBAFDD9" w14:textId="77777777" w:rsidTr="00A26A01">
        <w:tc>
          <w:tcPr>
            <w:tcW w:w="1129" w:type="dxa"/>
          </w:tcPr>
          <w:p w14:paraId="447CBCD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Bullard</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119" w:type="dxa"/>
          </w:tcPr>
          <w:p w14:paraId="0064CF5C"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noProof/>
                <w:sz w:val="15"/>
                <w:szCs w:val="15"/>
              </w:rPr>
              <w:drawing>
                <wp:inline distT="0" distB="0" distL="0" distR="0" wp14:anchorId="45E4B59C" wp14:editId="72180DF1">
                  <wp:extent cx="1927394" cy="179043"/>
                  <wp:effectExtent l="0" t="0" r="0" b="0"/>
                  <wp:docPr id="690770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70675" name=""/>
                          <pic:cNvPicPr/>
                        </pic:nvPicPr>
                        <pic:blipFill>
                          <a:blip r:embed="rId17"/>
                          <a:stretch>
                            <a:fillRect/>
                          </a:stretch>
                        </pic:blipFill>
                        <pic:spPr>
                          <a:xfrm>
                            <a:off x="0" y="0"/>
                            <a:ext cx="2501113" cy="232338"/>
                          </a:xfrm>
                          <a:prstGeom prst="rect">
                            <a:avLst/>
                          </a:prstGeom>
                        </pic:spPr>
                      </pic:pic>
                    </a:graphicData>
                  </a:graphic>
                </wp:inline>
              </w:drawing>
            </w:r>
          </w:p>
        </w:tc>
        <w:tc>
          <w:tcPr>
            <w:tcW w:w="2126" w:type="dxa"/>
          </w:tcPr>
          <w:p w14:paraId="3673B4B2"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.1</w:t>
            </w:r>
          </w:p>
        </w:tc>
        <w:tc>
          <w:tcPr>
            <w:tcW w:w="1985" w:type="dxa"/>
          </w:tcPr>
          <w:p w14:paraId="0FE7D3F4"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1</w:t>
            </w:r>
            <w:r w:rsidRPr="007A353C">
              <w:rPr>
                <w:rFonts w:ascii="Times New Roman" w:hAnsi="Times New Roman" w:cs="Times New Roman"/>
                <w:sz w:val="15"/>
                <w:szCs w:val="15"/>
              </w:rPr>
              <w:t>.5</w:t>
            </w:r>
          </w:p>
        </w:tc>
      </w:tr>
    </w:tbl>
    <w:p w14:paraId="107E3EF7" w14:textId="4AA900E2" w:rsidR="00ED5AD0" w:rsidRPr="00F33B43" w:rsidRDefault="00D74301" w:rsidP="00D74301">
      <w:pPr>
        <w:pStyle w:val="Caption"/>
        <w:ind w:left="1080"/>
        <w:jc w:val="center"/>
        <w:rPr>
          <w:rFonts w:ascii="Times New Roman" w:hAnsi="Times New Roman" w:cs="Times New Roman"/>
          <w:noProof/>
        </w:rPr>
      </w:pPr>
      <w:r w:rsidRPr="00D74301">
        <w:rPr>
          <w:rFonts w:ascii="Times New Roman" w:hAnsi="Times New Roman" w:cs="Times New Roman"/>
          <w:noProof/>
        </w:rPr>
        <w:t xml:space="preserve">Table </w:t>
      </w:r>
      <w:r w:rsidRPr="00D74301">
        <w:rPr>
          <w:rFonts w:ascii="Times New Roman" w:hAnsi="Times New Roman" w:cs="Times New Roman"/>
          <w:noProof/>
        </w:rPr>
        <w:fldChar w:fldCharType="begin"/>
      </w:r>
      <w:r w:rsidRPr="00D74301">
        <w:rPr>
          <w:rFonts w:ascii="Times New Roman" w:hAnsi="Times New Roman" w:cs="Times New Roman"/>
          <w:noProof/>
        </w:rPr>
        <w:instrText xml:space="preserve"> SEQ Table \* ARABIC </w:instrText>
      </w:r>
      <w:r w:rsidRPr="00D74301">
        <w:rPr>
          <w:rFonts w:ascii="Times New Roman" w:hAnsi="Times New Roman" w:cs="Times New Roman"/>
          <w:noProof/>
        </w:rPr>
        <w:fldChar w:fldCharType="separate"/>
      </w:r>
      <w:r w:rsidRPr="00D74301">
        <w:rPr>
          <w:rFonts w:ascii="Times New Roman" w:hAnsi="Times New Roman" w:cs="Times New Roman"/>
          <w:noProof/>
        </w:rPr>
        <w:t>2</w:t>
      </w:r>
      <w:r w:rsidRPr="00D74301">
        <w:rPr>
          <w:rFonts w:ascii="Times New Roman" w:hAnsi="Times New Roman" w:cs="Times New Roman"/>
          <w:noProof/>
        </w:rPr>
        <w:fldChar w:fldCharType="end"/>
      </w:r>
      <w:r w:rsidRPr="00D74301">
        <w:rPr>
          <w:rFonts w:ascii="Times New Roman" w:hAnsi="Times New Roman" w:cs="Times New Roman"/>
          <w:noProof/>
        </w:rPr>
        <w:t>. Adjusted versions of Taylor Rule</w:t>
      </w:r>
    </w:p>
    <w:p w14:paraId="4109EDDE" w14:textId="77777777" w:rsidR="00ED5AD0" w:rsidRDefault="00ED5AD0" w:rsidP="00ED5AD0">
      <w:pPr>
        <w:pStyle w:val="ListParagraph"/>
        <w:numPr>
          <w:ilvl w:val="0"/>
          <w:numId w:val="3"/>
        </w:numPr>
        <w:rPr>
          <w:rFonts w:ascii="Times New Roman" w:hAnsi="Times New Roman" w:cs="Times New Roman"/>
        </w:rPr>
      </w:pPr>
      <w:r>
        <w:rPr>
          <w:rFonts w:ascii="Times New Roman" w:hAnsi="Times New Roman" w:cs="Times New Roman" w:hint="eastAsia"/>
        </w:rPr>
        <w:t>Treasury</w:t>
      </w:r>
      <w:r>
        <w:rPr>
          <w:rFonts w:ascii="Times New Roman" w:hAnsi="Times New Roman" w:cs="Times New Roman"/>
        </w:rPr>
        <w:t xml:space="preserve"> Yield</w:t>
      </w:r>
    </w:p>
    <w:p w14:paraId="34F72E7F" w14:textId="77777777" w:rsidR="00ED5AD0" w:rsidRPr="006D2D83" w:rsidRDefault="00ED5AD0" w:rsidP="00314052">
      <w:pPr>
        <w:ind w:left="420"/>
        <w:rPr>
          <w:rFonts w:ascii="Times New Roman" w:hAnsi="Times New Roman" w:cs="Times New Roman"/>
        </w:rPr>
      </w:pPr>
      <w:r w:rsidRPr="006D2D83">
        <w:rPr>
          <w:rFonts w:ascii="Times New Roman" w:hAnsi="Times New Roman" w:cs="Times New Roman"/>
        </w:rPr>
        <w:t>U.S. Treasury yield is the yield on U.S. government bonds</w:t>
      </w:r>
      <w:r>
        <w:rPr>
          <w:rFonts w:ascii="Times New Roman" w:hAnsi="Times New Roman" w:cs="Times New Roman"/>
        </w:rPr>
        <w:t>, whose</w:t>
      </w:r>
      <w:r w:rsidRPr="006D2D83">
        <w:rPr>
          <w:rFonts w:ascii="Times New Roman" w:hAnsi="Times New Roman" w:cs="Times New Roman"/>
        </w:rPr>
        <w:t xml:space="preserve"> metric measures the return an investor can earn by purchasing U.S. government bonds. U.S. government bonds are bonds issued by the government to raise funds and are usually classified as having different maturities, including short-term, intermediate-term, and long-term bonds.</w:t>
      </w:r>
      <w:r>
        <w:rPr>
          <w:rFonts w:ascii="Times New Roman" w:hAnsi="Times New Roman" w:cs="Times New Roman"/>
        </w:rPr>
        <w:t xml:space="preserve"> </w:t>
      </w:r>
    </w:p>
    <w:p w14:paraId="09BF979B" w14:textId="0A17C5EB" w:rsidR="00ED5AD0" w:rsidRDefault="00ED5AD0" w:rsidP="00314052">
      <w:pPr>
        <w:ind w:left="420"/>
        <w:rPr>
          <w:rFonts w:ascii="Times New Roman" w:hAnsi="Times New Roman" w:cs="Times New Roman"/>
        </w:rPr>
      </w:pPr>
      <w:r w:rsidRPr="006D2D83">
        <w:rPr>
          <w:rFonts w:ascii="Times New Roman" w:hAnsi="Times New Roman" w:cs="Times New Roman"/>
        </w:rPr>
        <w:t xml:space="preserve">Treasury yield is often used by investors and economic observers as an indicator of risk and market expectations. </w:t>
      </w:r>
      <w:r>
        <w:rPr>
          <w:rFonts w:ascii="Times New Roman" w:hAnsi="Times New Roman" w:cs="Times New Roman"/>
        </w:rPr>
        <w:t xml:space="preserve">Based on the risk-neutral interpretation, treasury </w:t>
      </w:r>
      <w:r w:rsidRPr="0045499B">
        <w:rPr>
          <w:rFonts w:ascii="Times New Roman" w:hAnsi="Times New Roman" w:cs="Times New Roman"/>
        </w:rPr>
        <w:t>yields are equal to the average value of expected</w:t>
      </w:r>
      <w:r>
        <w:rPr>
          <w:rFonts w:ascii="Times New Roman" w:hAnsi="Times New Roman" w:cs="Times New Roman"/>
        </w:rPr>
        <w:t xml:space="preserve"> </w:t>
      </w:r>
      <w:r w:rsidRPr="0045499B">
        <w:rPr>
          <w:rFonts w:ascii="Times New Roman" w:hAnsi="Times New Roman" w:cs="Times New Roman"/>
        </w:rPr>
        <w:t>future short rates</w:t>
      </w:r>
      <w:r>
        <w:rPr>
          <w:rFonts w:ascii="Times New Roman" w:hAnsi="Times New Roman" w:cs="Times New Roman"/>
        </w:rPr>
        <w:t xml:space="preserve"> [5]. A</w:t>
      </w:r>
      <w:r w:rsidRPr="006D2D83">
        <w:rPr>
          <w:rFonts w:ascii="Times New Roman" w:hAnsi="Times New Roman" w:cs="Times New Roman"/>
        </w:rPr>
        <w:t xml:space="preserve"> low Treasury yield may indicate market concerns about future economic uncertainty, while a high Treasury yield may reflect investor optimism about economic growth and inflation. In addition, Treasury yield is used to determine the pricing of other financial instruments, such as mortgage rates and corporate bonds.</w:t>
      </w:r>
      <w:r w:rsidRPr="00314052">
        <w:rPr>
          <w:rFonts w:ascii="Times New Roman" w:hAnsi="Times New Roman" w:cs="Times New Roman"/>
        </w:rPr>
        <w:t xml:space="preserve"> </w:t>
      </w:r>
      <w:r w:rsidRPr="00375E1A">
        <w:rPr>
          <w:rFonts w:ascii="Times New Roman" w:hAnsi="Times New Roman" w:cs="Times New Roman"/>
        </w:rPr>
        <w:t xml:space="preserve">Treasury yields </w:t>
      </w:r>
      <w:r>
        <w:rPr>
          <w:rFonts w:ascii="Times New Roman" w:hAnsi="Times New Roman" w:cs="Times New Roman"/>
        </w:rPr>
        <w:t xml:space="preserve">can </w:t>
      </w:r>
      <w:r w:rsidRPr="00375E1A">
        <w:rPr>
          <w:rFonts w:ascii="Times New Roman" w:hAnsi="Times New Roman" w:cs="Times New Roman"/>
        </w:rPr>
        <w:t>reflect economic conditions, monetary and fiscal policies, and expectations about future economic activity, real interest rates, and inflation</w:t>
      </w:r>
      <w:r>
        <w:rPr>
          <w:rFonts w:ascii="Times New Roman" w:hAnsi="Times New Roman" w:cs="Times New Roman"/>
        </w:rPr>
        <w:t xml:space="preserve"> [6].</w:t>
      </w:r>
      <w:r w:rsidRPr="00314052">
        <w:rPr>
          <w:rFonts w:ascii="Times New Roman" w:hAnsi="Times New Roman" w:cs="Times New Roman"/>
        </w:rPr>
        <w:t xml:space="preserve"> </w:t>
      </w:r>
      <w:r w:rsidRPr="008978FD">
        <w:rPr>
          <w:rFonts w:ascii="Times New Roman" w:hAnsi="Times New Roman" w:cs="Times New Roman"/>
        </w:rPr>
        <w:t xml:space="preserve">What can be agreed upon is that whenever macroeconomic data is released differently than the </w:t>
      </w:r>
      <w:r>
        <w:rPr>
          <w:rFonts w:ascii="Times New Roman" w:hAnsi="Times New Roman" w:cs="Times New Roman"/>
        </w:rPr>
        <w:t>consensus</w:t>
      </w:r>
      <w:r w:rsidRPr="008978FD">
        <w:rPr>
          <w:rFonts w:ascii="Times New Roman" w:hAnsi="Times New Roman" w:cs="Times New Roman"/>
        </w:rPr>
        <w:t xml:space="preserve">, </w:t>
      </w:r>
      <w:r>
        <w:rPr>
          <w:rFonts w:ascii="Times New Roman" w:hAnsi="Times New Roman" w:cs="Times New Roman"/>
        </w:rPr>
        <w:t xml:space="preserve">treasury yields always </w:t>
      </w:r>
      <w:r w:rsidRPr="008978FD">
        <w:rPr>
          <w:rFonts w:ascii="Times New Roman" w:hAnsi="Times New Roman" w:cs="Times New Roman"/>
        </w:rPr>
        <w:t xml:space="preserve">have a noticeable </w:t>
      </w:r>
      <w:r>
        <w:rPr>
          <w:rFonts w:ascii="Times New Roman" w:hAnsi="Times New Roman" w:cs="Times New Roman"/>
        </w:rPr>
        <w:t>jump, indicating the influence of macro economy situations to the treasury yields</w:t>
      </w:r>
      <w:r w:rsidRPr="008978FD">
        <w:rPr>
          <w:rFonts w:ascii="Times New Roman" w:hAnsi="Times New Roman" w:cs="Times New Roman"/>
        </w:rPr>
        <w:t>.</w:t>
      </w:r>
      <w:r>
        <w:rPr>
          <w:rFonts w:ascii="Times New Roman" w:hAnsi="Times New Roman" w:cs="Times New Roman"/>
        </w:rPr>
        <w:t xml:space="preserve"> In this research, we take 6 U.S. treasury yields from Bloomberg into consideration according to the dataset coverage [1], and the remained NAN values are forward filled based on the previous dates’ yield data. A visualization of the Treasury Yields is shown in Fig. </w:t>
      </w:r>
      <w:r w:rsidR="00314052">
        <w:rPr>
          <w:rFonts w:ascii="Times New Roman" w:hAnsi="Times New Roman" w:cs="Times New Roman"/>
        </w:rPr>
        <w:t>3</w:t>
      </w:r>
      <w:r>
        <w:rPr>
          <w:rFonts w:ascii="Times New Roman" w:hAnsi="Times New Roman" w:cs="Times New Roman"/>
        </w:rPr>
        <w:t>:</w:t>
      </w:r>
    </w:p>
    <w:p w14:paraId="6D265A83" w14:textId="77777777" w:rsidR="00F336C0" w:rsidRDefault="00ED5AD0" w:rsidP="00900095">
      <w:pPr>
        <w:keepNext/>
        <w:ind w:left="450" w:hanging="90"/>
      </w:pPr>
      <w:r>
        <w:rPr>
          <w:rFonts w:ascii="Times New Roman" w:hAnsi="Times New Roman" w:cs="Times New Roman"/>
          <w:noProof/>
        </w:rPr>
        <w:drawing>
          <wp:inline distT="0" distB="0" distL="0" distR="0" wp14:anchorId="2036F279" wp14:editId="7700C2F4">
            <wp:extent cx="5269230" cy="1699895"/>
            <wp:effectExtent l="0" t="0" r="0" b="0"/>
            <wp:docPr id="14088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9230" cy="1699895"/>
                    </a:xfrm>
                    <a:prstGeom prst="rect">
                      <a:avLst/>
                    </a:prstGeom>
                    <a:noFill/>
                    <a:ln>
                      <a:noFill/>
                    </a:ln>
                  </pic:spPr>
                </pic:pic>
              </a:graphicData>
            </a:graphic>
          </wp:inline>
        </w:drawing>
      </w:r>
    </w:p>
    <w:p w14:paraId="62C967F3" w14:textId="30305713" w:rsidR="002C375D" w:rsidRPr="00F336C0" w:rsidRDefault="00F336C0" w:rsidP="00900095">
      <w:pPr>
        <w:pStyle w:val="Caption"/>
        <w:ind w:left="360" w:hanging="360"/>
        <w:jc w:val="center"/>
        <w:rPr>
          <w:rFonts w:ascii="Times New Roman" w:hAnsi="Times New Roman" w:cs="Times New Roman"/>
        </w:rPr>
      </w:pPr>
      <w:r w:rsidRPr="00F336C0">
        <w:rPr>
          <w:rFonts w:ascii="Times New Roman" w:hAnsi="Times New Roman" w:cs="Times New Roman"/>
        </w:rPr>
        <w:t xml:space="preserve">Figure </w:t>
      </w:r>
      <w:r w:rsidRPr="00F336C0">
        <w:rPr>
          <w:rFonts w:ascii="Times New Roman" w:hAnsi="Times New Roman" w:cs="Times New Roman"/>
        </w:rPr>
        <w:fldChar w:fldCharType="begin"/>
      </w:r>
      <w:r w:rsidRPr="00F336C0">
        <w:rPr>
          <w:rFonts w:ascii="Times New Roman" w:hAnsi="Times New Roman" w:cs="Times New Roman"/>
        </w:rPr>
        <w:instrText xml:space="preserve"> SEQ Figure \* ARABIC </w:instrText>
      </w:r>
      <w:r w:rsidRPr="00F336C0">
        <w:rPr>
          <w:rFonts w:ascii="Times New Roman" w:hAnsi="Times New Roman" w:cs="Times New Roman"/>
        </w:rPr>
        <w:fldChar w:fldCharType="separate"/>
      </w:r>
      <w:r w:rsidR="004451D6">
        <w:rPr>
          <w:rFonts w:ascii="Times New Roman" w:hAnsi="Times New Roman" w:cs="Times New Roman"/>
          <w:noProof/>
        </w:rPr>
        <w:t>3</w:t>
      </w:r>
      <w:r w:rsidRPr="00F336C0">
        <w:rPr>
          <w:rFonts w:ascii="Times New Roman" w:hAnsi="Times New Roman" w:cs="Times New Roman"/>
        </w:rPr>
        <w:fldChar w:fldCharType="end"/>
      </w:r>
      <w:r w:rsidRPr="00F336C0">
        <w:rPr>
          <w:rFonts w:ascii="Times New Roman" w:hAnsi="Times New Roman" w:cs="Times New Roman"/>
        </w:rPr>
        <w:t>. US Treasury Yields Diagram (Maturities including 3</w:t>
      </w:r>
      <w:r w:rsidR="00A04EFA">
        <w:rPr>
          <w:rFonts w:ascii="Times New Roman" w:hAnsi="Times New Roman" w:cs="Times New Roman"/>
        </w:rPr>
        <w:t xml:space="preserve">, </w:t>
      </w:r>
      <w:r w:rsidRPr="00F336C0">
        <w:rPr>
          <w:rFonts w:ascii="Times New Roman" w:hAnsi="Times New Roman" w:cs="Times New Roman"/>
        </w:rPr>
        <w:t>6 Months, 2</w:t>
      </w:r>
      <w:r w:rsidR="00A04EFA">
        <w:rPr>
          <w:rFonts w:ascii="Times New Roman" w:hAnsi="Times New Roman" w:cs="Times New Roman"/>
        </w:rPr>
        <w:t xml:space="preserve">, </w:t>
      </w:r>
      <w:r w:rsidRPr="00F336C0">
        <w:rPr>
          <w:rFonts w:ascii="Times New Roman" w:hAnsi="Times New Roman" w:cs="Times New Roman"/>
        </w:rPr>
        <w:t>5, 10, and 30 Year)</w:t>
      </w:r>
    </w:p>
    <w:p w14:paraId="34A5244E" w14:textId="59F69828" w:rsidR="00837C1C" w:rsidRDefault="00021C6B" w:rsidP="00900095">
      <w:pPr>
        <w:ind w:left="420"/>
        <w:rPr>
          <w:rFonts w:ascii="Times New Roman" w:hAnsi="Times New Roman" w:cs="Times New Roman"/>
        </w:rPr>
      </w:pPr>
      <w:r>
        <w:rPr>
          <w:rFonts w:ascii="Times New Roman" w:hAnsi="Times New Roman" w:cs="Times New Roman"/>
        </w:rPr>
        <w:t xml:space="preserve">Additionally, the term structure of the treasury yields is also an important dimension to </w:t>
      </w:r>
      <w:r>
        <w:rPr>
          <w:rFonts w:ascii="Times New Roman" w:hAnsi="Times New Roman" w:cs="Times New Roman"/>
        </w:rPr>
        <w:lastRenderedPageBreak/>
        <w:t xml:space="preserve">understand the economic situation at that point of time. </w:t>
      </w:r>
      <w:r w:rsidR="003075CB" w:rsidRPr="003075CB">
        <w:rPr>
          <w:rFonts w:ascii="Times New Roman" w:hAnsi="Times New Roman" w:cs="Times New Roman"/>
        </w:rPr>
        <w:t>First, regarding the shape of the yield curve at a given point in time, broadly speaking the curve should show a</w:t>
      </w:r>
      <w:r w:rsidR="00D40E54">
        <w:rPr>
          <w:rFonts w:ascii="Times New Roman" w:hAnsi="Times New Roman" w:cs="Times New Roman"/>
        </w:rPr>
        <w:t>n upward</w:t>
      </w:r>
      <w:r w:rsidR="003075CB" w:rsidRPr="003075CB">
        <w:rPr>
          <w:rFonts w:ascii="Times New Roman" w:hAnsi="Times New Roman" w:cs="Times New Roman"/>
        </w:rPr>
        <w:t xml:space="preserve"> sloping trend, but the rate of increase in interest rates decays as maturity increases.</w:t>
      </w:r>
      <w:r w:rsidR="003075CB">
        <w:rPr>
          <w:rFonts w:ascii="Times New Roman" w:hAnsi="Times New Roman" w:cs="Times New Roman"/>
        </w:rPr>
        <w:t xml:space="preserve"> </w:t>
      </w:r>
      <w:r w:rsidR="0026324F">
        <w:rPr>
          <w:rFonts w:ascii="Times New Roman" w:hAnsi="Times New Roman" w:cs="Times New Roman"/>
        </w:rPr>
        <w:t xml:space="preserve">This shape is supported by the principles of Expectation, Bond Risk Premiums, and Convexity Bias as stated by </w:t>
      </w:r>
      <w:proofErr w:type="spellStart"/>
      <w:r w:rsidR="0026324F">
        <w:rPr>
          <w:rFonts w:ascii="Times New Roman" w:hAnsi="Times New Roman" w:cs="Times New Roman"/>
        </w:rPr>
        <w:t>Ilmanen</w:t>
      </w:r>
      <w:proofErr w:type="spellEnd"/>
      <w:r w:rsidR="0026324F">
        <w:rPr>
          <w:rFonts w:ascii="Times New Roman" w:hAnsi="Times New Roman" w:cs="Times New Roman"/>
        </w:rPr>
        <w:t xml:space="preserve">. </w:t>
      </w:r>
      <w:commentRangeStart w:id="13"/>
      <w:r w:rsidR="0026324F">
        <w:rPr>
          <w:rFonts w:ascii="Times New Roman" w:hAnsi="Times New Roman" w:cs="Times New Roman"/>
        </w:rPr>
        <w:t>[14]</w:t>
      </w:r>
      <w:commentRangeEnd w:id="13"/>
      <w:r w:rsidR="0026324F">
        <w:rPr>
          <w:rFonts w:ascii="Times New Roman" w:hAnsi="Times New Roman" w:cs="Times New Roman"/>
        </w:rPr>
        <w:t xml:space="preserve"> </w:t>
      </w:r>
      <w:r w:rsidR="0026324F">
        <w:rPr>
          <w:rStyle w:val="CommentReference"/>
        </w:rPr>
        <w:commentReference w:id="13"/>
      </w:r>
      <w:r w:rsidR="005E07B1">
        <w:rPr>
          <w:rFonts w:ascii="Times New Roman" w:hAnsi="Times New Roman" w:cs="Times New Roman"/>
        </w:rPr>
        <w:t xml:space="preserve">In the history, researchers were interested in proposing models to fit the treasury yield curve better or analyzing the components from the yield curve, and </w:t>
      </w:r>
      <w:r w:rsidR="003A124E">
        <w:rPr>
          <w:rFonts w:ascii="Times New Roman" w:hAnsi="Times New Roman" w:cs="Times New Roman"/>
        </w:rPr>
        <w:t xml:space="preserve">there </w:t>
      </w:r>
      <w:r w:rsidR="00F96235">
        <w:rPr>
          <w:rFonts w:ascii="Times New Roman" w:hAnsi="Times New Roman" w:cs="Times New Roman"/>
        </w:rPr>
        <w:t>are</w:t>
      </w:r>
      <w:r w:rsidR="003A124E">
        <w:rPr>
          <w:rFonts w:ascii="Times New Roman" w:hAnsi="Times New Roman" w:cs="Times New Roman"/>
        </w:rPr>
        <w:t xml:space="preserve"> indeed the components named level, slope, and curvature that is economically explainable to the structure of yield curve </w:t>
      </w:r>
      <w:commentRangeStart w:id="14"/>
      <w:r w:rsidR="003A124E">
        <w:rPr>
          <w:rFonts w:ascii="Times New Roman" w:hAnsi="Times New Roman" w:cs="Times New Roman"/>
        </w:rPr>
        <w:t>[15].</w:t>
      </w:r>
      <w:commentRangeEnd w:id="14"/>
      <w:r w:rsidR="003A124E">
        <w:rPr>
          <w:rStyle w:val="CommentReference"/>
        </w:rPr>
        <w:commentReference w:id="14"/>
      </w:r>
      <w:r w:rsidR="003A124E">
        <w:rPr>
          <w:rFonts w:ascii="Times New Roman" w:hAnsi="Times New Roman" w:cs="Times New Roman"/>
        </w:rPr>
        <w:t xml:space="preserve"> </w:t>
      </w:r>
      <w:r w:rsidR="003723AE">
        <w:rPr>
          <w:rFonts w:ascii="Times New Roman" w:hAnsi="Times New Roman" w:cs="Times New Roman"/>
        </w:rPr>
        <w:t>By reviewing the yield curve in Fig</w:t>
      </w:r>
      <w:r w:rsidR="00686B85">
        <w:rPr>
          <w:rFonts w:ascii="Times New Roman" w:hAnsi="Times New Roman" w:cs="Times New Roman"/>
        </w:rPr>
        <w:t>.</w:t>
      </w:r>
      <w:r w:rsidR="003723AE">
        <w:rPr>
          <w:rFonts w:ascii="Times New Roman" w:hAnsi="Times New Roman" w:cs="Times New Roman"/>
        </w:rPr>
        <w:t xml:space="preserve"> 3, w</w:t>
      </w:r>
      <w:r w:rsidR="003723AE" w:rsidRPr="003723AE">
        <w:rPr>
          <w:rFonts w:ascii="Times New Roman" w:hAnsi="Times New Roman" w:cs="Times New Roman"/>
        </w:rPr>
        <w:t>e can visuali</w:t>
      </w:r>
      <w:r w:rsidR="003723AE">
        <w:rPr>
          <w:rFonts w:ascii="Times New Roman" w:hAnsi="Times New Roman" w:cs="Times New Roman"/>
        </w:rPr>
        <w:t>z</w:t>
      </w:r>
      <w:r w:rsidR="003723AE" w:rsidRPr="003723AE">
        <w:rPr>
          <w:rFonts w:ascii="Times New Roman" w:hAnsi="Times New Roman" w:cs="Times New Roman"/>
        </w:rPr>
        <w:t xml:space="preserve">e that the up and down shifts in the interest rate curve are essentially joint (as measured by </w:t>
      </w:r>
      <w:r w:rsidR="000977B0">
        <w:rPr>
          <w:rFonts w:ascii="Times New Roman" w:hAnsi="Times New Roman" w:cs="Times New Roman"/>
        </w:rPr>
        <w:t>l</w:t>
      </w:r>
      <w:r w:rsidR="003723AE" w:rsidRPr="003723AE">
        <w:rPr>
          <w:rFonts w:ascii="Times New Roman" w:hAnsi="Times New Roman" w:cs="Times New Roman"/>
        </w:rPr>
        <w:t>evel)</w:t>
      </w:r>
      <w:r w:rsidR="000977B0">
        <w:rPr>
          <w:rFonts w:ascii="Times New Roman" w:hAnsi="Times New Roman" w:cs="Times New Roman"/>
        </w:rPr>
        <w:t>,</w:t>
      </w:r>
      <w:r w:rsidR="003723AE" w:rsidRPr="003723AE">
        <w:rPr>
          <w:rFonts w:ascii="Times New Roman" w:hAnsi="Times New Roman" w:cs="Times New Roman"/>
        </w:rPr>
        <w:t xml:space="preserve"> and that in most cases the curve with high maturity lies on top</w:t>
      </w:r>
      <w:r w:rsidR="000977B0">
        <w:rPr>
          <w:rFonts w:ascii="Times New Roman" w:hAnsi="Times New Roman" w:cs="Times New Roman"/>
        </w:rPr>
        <w:t xml:space="preserve"> (can be illustrated by slope)</w:t>
      </w:r>
      <w:r w:rsidR="003723AE">
        <w:rPr>
          <w:rFonts w:ascii="Times New Roman" w:hAnsi="Times New Roman" w:cs="Times New Roman"/>
        </w:rPr>
        <w:t xml:space="preserve">. </w:t>
      </w:r>
      <w:r w:rsidR="00F96235">
        <w:rPr>
          <w:rFonts w:ascii="Times New Roman" w:hAnsi="Times New Roman" w:cs="Times New Roman"/>
        </w:rPr>
        <w:t xml:space="preserve">Various experimented models can prove the existence and significance of these three components, such as the </w:t>
      </w:r>
      <w:r w:rsidR="00F96235" w:rsidRPr="00F96235">
        <w:rPr>
          <w:rFonts w:ascii="Times New Roman" w:hAnsi="Times New Roman" w:cs="Times New Roman"/>
        </w:rPr>
        <w:t>Nelson</w:t>
      </w:r>
      <w:r w:rsidR="00F96235">
        <w:rPr>
          <w:rFonts w:ascii="Times New Roman" w:hAnsi="Times New Roman" w:cs="Times New Roman"/>
        </w:rPr>
        <w:t>-</w:t>
      </w:r>
      <w:r w:rsidR="00F96235" w:rsidRPr="00F96235">
        <w:rPr>
          <w:rFonts w:ascii="Times New Roman" w:hAnsi="Times New Roman" w:cs="Times New Roman"/>
        </w:rPr>
        <w:t>Siegel</w:t>
      </w:r>
      <w:r w:rsidR="00F96235">
        <w:rPr>
          <w:rFonts w:ascii="Times New Roman" w:hAnsi="Times New Roman" w:cs="Times New Roman"/>
        </w:rPr>
        <w:t xml:space="preserve"> Model </w:t>
      </w:r>
      <w:commentRangeStart w:id="15"/>
      <w:r w:rsidR="00F96235">
        <w:rPr>
          <w:rFonts w:ascii="Times New Roman" w:hAnsi="Times New Roman" w:cs="Times New Roman"/>
        </w:rPr>
        <w:t>[16, 17]</w:t>
      </w:r>
      <w:commentRangeEnd w:id="15"/>
      <w:r w:rsidR="00F96235">
        <w:rPr>
          <w:rFonts w:ascii="Times New Roman" w:hAnsi="Times New Roman" w:cs="Times New Roman"/>
        </w:rPr>
        <w:t xml:space="preserve">. However, this model required some essential tricks to determine the parameters </w:t>
      </w:r>
      <w:r w:rsidR="00F96235">
        <w:rPr>
          <w:rStyle w:val="CommentReference"/>
        </w:rPr>
        <w:commentReference w:id="15"/>
      </w:r>
      <w:r w:rsidR="00F96235">
        <w:rPr>
          <w:rFonts w:ascii="Times New Roman" w:hAnsi="Times New Roman" w:cs="Times New Roman"/>
        </w:rPr>
        <w:t xml:space="preserve">in the model so as to provide a better simulation result. </w:t>
      </w:r>
      <w:r w:rsidR="009945CA">
        <w:rPr>
          <w:rFonts w:ascii="Times New Roman" w:hAnsi="Times New Roman" w:cs="Times New Roman"/>
        </w:rPr>
        <w:t>There is another easier method, which is named the Principal Component Analysis that is frequently used in Statistics and Data Science to reduce the dimensionally of the features and get the important ones, that is proved to be useful to model these three factors</w:t>
      </w:r>
      <w:r w:rsidR="00D847B9">
        <w:rPr>
          <w:rFonts w:ascii="Times New Roman" w:hAnsi="Times New Roman" w:cs="Times New Roman"/>
        </w:rPr>
        <w:t xml:space="preserve"> </w:t>
      </w:r>
      <w:commentRangeStart w:id="16"/>
      <w:r w:rsidR="00D847B9">
        <w:rPr>
          <w:rFonts w:ascii="Times New Roman" w:hAnsi="Times New Roman" w:cs="Times New Roman"/>
        </w:rPr>
        <w:t>[18]</w:t>
      </w:r>
      <w:commentRangeEnd w:id="16"/>
      <w:r w:rsidR="00D847B9">
        <w:rPr>
          <w:rStyle w:val="CommentReference"/>
        </w:rPr>
        <w:commentReference w:id="16"/>
      </w:r>
      <w:r w:rsidR="009945CA">
        <w:rPr>
          <w:rFonts w:ascii="Times New Roman" w:hAnsi="Times New Roman" w:cs="Times New Roman"/>
        </w:rPr>
        <w:t xml:space="preserve">. </w:t>
      </w:r>
      <w:r w:rsidR="007652CD">
        <w:rPr>
          <w:rFonts w:ascii="Times New Roman" w:hAnsi="Times New Roman" w:cs="Times New Roman"/>
        </w:rPr>
        <w:t>From this method, the first three important factors are representing the level, slope, and curvature components in the yield curve, while the remaining are assumed to be noise</w:t>
      </w:r>
      <w:r w:rsidR="00C54D5B">
        <w:rPr>
          <w:rFonts w:ascii="Times New Roman" w:hAnsi="Times New Roman" w:cs="Times New Roman"/>
        </w:rPr>
        <w:t xml:space="preserve"> and filtered out</w:t>
      </w:r>
      <w:r w:rsidR="007652CD">
        <w:rPr>
          <w:rFonts w:ascii="Times New Roman" w:hAnsi="Times New Roman" w:cs="Times New Roman"/>
        </w:rPr>
        <w:t>.</w:t>
      </w:r>
      <w:r w:rsidR="0053201D">
        <w:rPr>
          <w:rFonts w:ascii="Times New Roman" w:hAnsi="Times New Roman" w:cs="Times New Roman"/>
        </w:rPr>
        <w:t xml:space="preserve"> </w:t>
      </w:r>
    </w:p>
    <w:p w14:paraId="62EE9750" w14:textId="77777777" w:rsidR="00E97185" w:rsidRDefault="002131F1" w:rsidP="00900095">
      <w:pPr>
        <w:ind w:left="420"/>
        <w:rPr>
          <w:rFonts w:ascii="Times New Roman" w:hAnsi="Times New Roman" w:cs="Times New Roman"/>
        </w:rPr>
      </w:pPr>
      <w:r>
        <w:rPr>
          <w:rFonts w:ascii="Times New Roman" w:hAnsi="Times New Roman" w:cs="Times New Roman"/>
        </w:rPr>
        <w:t>Indeed, treasury yields have strong correlation with FFR,</w:t>
      </w:r>
      <w:r w:rsidR="000C36A8">
        <w:rPr>
          <w:rFonts w:ascii="Times New Roman" w:hAnsi="Times New Roman" w:cs="Times New Roman"/>
        </w:rPr>
        <w:t xml:space="preserve"> especially in the short-term tenor parts</w:t>
      </w:r>
      <w:r w:rsidR="00AD0C89">
        <w:rPr>
          <w:rFonts w:ascii="Times New Roman" w:hAnsi="Times New Roman" w:cs="Times New Roman"/>
        </w:rPr>
        <w:t xml:space="preserve">, which is because the short-term rate is linked to the FFR to some extent. </w:t>
      </w:r>
      <w:r w:rsidR="00494606">
        <w:rPr>
          <w:rFonts w:ascii="Times New Roman" w:hAnsi="Times New Roman" w:cs="Times New Roman"/>
        </w:rPr>
        <w:t>[8]</w:t>
      </w:r>
      <w:r w:rsidR="00485386">
        <w:rPr>
          <w:rFonts w:ascii="Times New Roman" w:hAnsi="Times New Roman" w:cs="Times New Roman"/>
        </w:rPr>
        <w:t xml:space="preserve"> However, the raise of FFR doesn’t necessarily provide evidence for the change of long-term yield. It can be concluded that this kind of situation could flatten the yield curve as the short side increase more than the long side. </w:t>
      </w:r>
      <w:r w:rsidR="00E12376">
        <w:rPr>
          <w:rFonts w:ascii="Times New Roman" w:hAnsi="Times New Roman" w:cs="Times New Roman"/>
        </w:rPr>
        <w:t>We perform a simple correlation measurement to the FFR and the monthly treasury yield rate</w:t>
      </w:r>
      <w:r w:rsidR="00755BFE">
        <w:rPr>
          <w:rFonts w:ascii="Times New Roman" w:hAnsi="Times New Roman" w:cs="Times New Roman"/>
        </w:rPr>
        <w:t xml:space="preserve"> in Fig. 4</w:t>
      </w:r>
      <w:r w:rsidR="00E12376">
        <w:rPr>
          <w:rFonts w:ascii="Times New Roman" w:hAnsi="Times New Roman" w:cs="Times New Roman"/>
        </w:rPr>
        <w:t>, and it is found that the correlation is very close to 1. Whereas, if we lag the treasury yield rate 1 year before and still apply the correlation test, the relationship is still relatively stable. It seems that the treasury yield cannot be directly used as an instrument to project the FFR in the future.</w:t>
      </w:r>
    </w:p>
    <w:p w14:paraId="0CD11722" w14:textId="3BA507C8" w:rsidR="002B27EA" w:rsidRDefault="00E97185" w:rsidP="004451D6">
      <w:pPr>
        <w:keepNext/>
        <w:ind w:left="420"/>
        <w:jc w:val="center"/>
        <w:rPr>
          <w:rFonts w:ascii="Times New Roman" w:hAnsi="Times New Roman" w:cs="Times New Roman"/>
        </w:rPr>
      </w:pPr>
      <w:r>
        <w:rPr>
          <w:rFonts w:ascii="Times New Roman" w:hAnsi="Times New Roman" w:cs="Times New Roman"/>
          <w:noProof/>
        </w:rPr>
        <w:drawing>
          <wp:inline distT="0" distB="0" distL="0" distR="0" wp14:anchorId="74DD4D23" wp14:editId="1B2A3BB5">
            <wp:extent cx="1952707" cy="1371600"/>
            <wp:effectExtent l="0" t="0" r="9525" b="0"/>
            <wp:docPr id="174300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52707" cy="1371600"/>
                    </a:xfrm>
                    <a:prstGeom prst="rect">
                      <a:avLst/>
                    </a:prstGeom>
                    <a:noFill/>
                    <a:ln>
                      <a:noFill/>
                    </a:ln>
                  </pic:spPr>
                </pic:pic>
              </a:graphicData>
            </a:graphic>
          </wp:inline>
        </w:drawing>
      </w:r>
      <w:r>
        <w:rPr>
          <w:rFonts w:ascii="Times New Roman" w:hAnsi="Times New Roman" w:cs="Times New Roman"/>
          <w:noProof/>
        </w:rPr>
        <w:drawing>
          <wp:inline distT="0" distB="0" distL="0" distR="0" wp14:anchorId="6077182A" wp14:editId="76A46100">
            <wp:extent cx="1923020" cy="1371600"/>
            <wp:effectExtent l="0" t="0" r="1270" b="0"/>
            <wp:docPr id="287307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23020" cy="1371600"/>
                    </a:xfrm>
                    <a:prstGeom prst="rect">
                      <a:avLst/>
                    </a:prstGeom>
                    <a:noFill/>
                    <a:ln>
                      <a:noFill/>
                    </a:ln>
                  </pic:spPr>
                </pic:pic>
              </a:graphicData>
            </a:graphic>
          </wp:inline>
        </w:drawing>
      </w:r>
    </w:p>
    <w:p w14:paraId="096741A0" w14:textId="75865C30" w:rsidR="002041BD" w:rsidRPr="004451D6" w:rsidRDefault="004451D6" w:rsidP="004451D6">
      <w:pPr>
        <w:pStyle w:val="Caption"/>
        <w:ind w:left="360"/>
        <w:jc w:val="center"/>
        <w:rPr>
          <w:rFonts w:ascii="Times New Roman" w:hAnsi="Times New Roman" w:cs="Times New Roman"/>
        </w:rPr>
      </w:pPr>
      <w:r w:rsidRPr="004451D6">
        <w:rPr>
          <w:rFonts w:ascii="Times New Roman" w:hAnsi="Times New Roman" w:cs="Times New Roman"/>
        </w:rPr>
        <w:t xml:space="preserve">Figure </w:t>
      </w:r>
      <w:r w:rsidRPr="004451D6">
        <w:rPr>
          <w:rFonts w:ascii="Times New Roman" w:hAnsi="Times New Roman" w:cs="Times New Roman"/>
        </w:rPr>
        <w:fldChar w:fldCharType="begin"/>
      </w:r>
      <w:r w:rsidRPr="004451D6">
        <w:rPr>
          <w:rFonts w:ascii="Times New Roman" w:hAnsi="Times New Roman" w:cs="Times New Roman"/>
        </w:rPr>
        <w:instrText xml:space="preserve"> SEQ Figure \* ARABIC </w:instrText>
      </w:r>
      <w:r w:rsidRPr="004451D6">
        <w:rPr>
          <w:rFonts w:ascii="Times New Roman" w:hAnsi="Times New Roman" w:cs="Times New Roman"/>
        </w:rPr>
        <w:fldChar w:fldCharType="separate"/>
      </w:r>
      <w:r w:rsidRPr="004451D6">
        <w:rPr>
          <w:rFonts w:ascii="Times New Roman" w:hAnsi="Times New Roman" w:cs="Times New Roman"/>
          <w:noProof/>
        </w:rPr>
        <w:t>4</w:t>
      </w:r>
      <w:r w:rsidRPr="004451D6">
        <w:rPr>
          <w:rFonts w:ascii="Times New Roman" w:hAnsi="Times New Roman" w:cs="Times New Roman"/>
        </w:rPr>
        <w:fldChar w:fldCharType="end"/>
      </w:r>
      <w:r w:rsidRPr="004451D6">
        <w:rPr>
          <w:rFonts w:ascii="Times New Roman" w:hAnsi="Times New Roman" w:cs="Times New Roman"/>
        </w:rPr>
        <w:t>. Correlation between the FFR and monthly Treasury yield (left)</w:t>
      </w:r>
      <w:r w:rsidRPr="004451D6">
        <w:rPr>
          <w:rFonts w:ascii="Times New Roman" w:hAnsi="Times New Roman" w:cs="Times New Roman"/>
          <w:noProof/>
        </w:rPr>
        <w:t xml:space="preserve"> v</w:t>
      </w:r>
      <w:r w:rsidR="00CB5F1B">
        <w:rPr>
          <w:rFonts w:ascii="Times New Roman" w:hAnsi="Times New Roman" w:cs="Times New Roman"/>
          <w:noProof/>
        </w:rPr>
        <w:t>.</w:t>
      </w:r>
      <w:r w:rsidRPr="004451D6">
        <w:rPr>
          <w:rFonts w:ascii="Times New Roman" w:hAnsi="Times New Roman" w:cs="Times New Roman"/>
          <w:noProof/>
        </w:rPr>
        <w:t>s</w:t>
      </w:r>
      <w:r w:rsidR="00CB5F1B">
        <w:rPr>
          <w:rFonts w:ascii="Times New Roman" w:hAnsi="Times New Roman" w:cs="Times New Roman"/>
          <w:noProof/>
        </w:rPr>
        <w:t>.</w:t>
      </w:r>
      <w:r w:rsidRPr="004451D6">
        <w:rPr>
          <w:rFonts w:ascii="Times New Roman" w:hAnsi="Times New Roman" w:cs="Times New Roman"/>
          <w:noProof/>
        </w:rPr>
        <w:t xml:space="preserve"> Correlation between the FFR and monthly Treasury yield on year before (right)</w:t>
      </w:r>
    </w:p>
    <w:p w14:paraId="2B108C70" w14:textId="42F0C6FC" w:rsidR="007633C0" w:rsidRDefault="0010546A" w:rsidP="00865EDA">
      <w:pPr>
        <w:rPr>
          <w:rFonts w:ascii="Times New Roman" w:hAnsi="Times New Roman" w:cs="Times New Roman"/>
        </w:rPr>
      </w:pPr>
      <w:r>
        <w:rPr>
          <w:rFonts w:ascii="Times New Roman" w:hAnsi="Times New Roman" w:cs="Times New Roman"/>
        </w:rPr>
        <w:tab/>
      </w:r>
      <w:r w:rsidR="00865EDA">
        <w:rPr>
          <w:rFonts w:ascii="Times New Roman" w:hAnsi="Times New Roman" w:cs="Times New Roman"/>
        </w:rPr>
        <w:tab/>
      </w:r>
    </w:p>
    <w:p w14:paraId="063BE5EF" w14:textId="77777777" w:rsidR="0010546A" w:rsidRDefault="0010546A" w:rsidP="00865EDA">
      <w:pPr>
        <w:rPr>
          <w:rFonts w:ascii="Times New Roman" w:hAnsi="Times New Roman" w:cs="Times New Roman"/>
        </w:rPr>
      </w:pPr>
    </w:p>
    <w:p w14:paraId="6D915714" w14:textId="5924AC56" w:rsidR="00611DC9" w:rsidRPr="00043005" w:rsidRDefault="00611DC9" w:rsidP="004B5FF2">
      <w:pPr>
        <w:rPr>
          <w:rFonts w:ascii="Times New Roman" w:hAnsi="Times New Roman" w:cs="Times New Roman"/>
          <w:b/>
          <w:bCs/>
        </w:rPr>
      </w:pPr>
      <w:r w:rsidRPr="00043005">
        <w:rPr>
          <w:rFonts w:ascii="Times New Roman" w:hAnsi="Times New Roman" w:cs="Times New Roman"/>
          <w:b/>
          <w:bCs/>
        </w:rPr>
        <w:t>Research Objective</w:t>
      </w:r>
    </w:p>
    <w:p w14:paraId="594E0CED" w14:textId="77777777" w:rsidR="00934096" w:rsidRPr="00934096" w:rsidRDefault="00934096" w:rsidP="00934096">
      <w:pPr>
        <w:rPr>
          <w:rFonts w:ascii="Times New Roman" w:hAnsi="Times New Roman" w:cs="Times New Roman"/>
        </w:rPr>
      </w:pPr>
    </w:p>
    <w:p w14:paraId="2E3B1E64" w14:textId="2D275754" w:rsidR="00611DC9" w:rsidRDefault="002131F1" w:rsidP="002131F1">
      <w:pPr>
        <w:pStyle w:val="ListParagraph"/>
        <w:numPr>
          <w:ilvl w:val="0"/>
          <w:numId w:val="5"/>
        </w:numPr>
        <w:rPr>
          <w:rFonts w:ascii="Times New Roman" w:hAnsi="Times New Roman" w:cs="Times New Roman"/>
        </w:rPr>
      </w:pPr>
      <w:r>
        <w:rPr>
          <w:rFonts w:ascii="Times New Roman" w:hAnsi="Times New Roman" w:cs="Times New Roman"/>
        </w:rPr>
        <w:t xml:space="preserve">Transform the treasury yields </w:t>
      </w:r>
      <w:r w:rsidR="00CF24EE">
        <w:rPr>
          <w:rFonts w:ascii="Times New Roman" w:hAnsi="Times New Roman" w:cs="Times New Roman"/>
        </w:rPr>
        <w:t xml:space="preserve">data </w:t>
      </w:r>
      <w:r>
        <w:rPr>
          <w:rFonts w:ascii="Times New Roman" w:hAnsi="Times New Roman" w:cs="Times New Roman"/>
        </w:rPr>
        <w:t xml:space="preserve">into </w:t>
      </w:r>
      <w:r w:rsidR="00856D88">
        <w:rPr>
          <w:rFonts w:ascii="Times New Roman" w:hAnsi="Times New Roman" w:cs="Times New Roman"/>
        </w:rPr>
        <w:t>explanatory f</w:t>
      </w:r>
      <w:r w:rsidR="00CF24EE">
        <w:rPr>
          <w:rFonts w:ascii="Times New Roman" w:hAnsi="Times New Roman" w:cs="Times New Roman"/>
        </w:rPr>
        <w:t>eatures, and then feed them to the GMM-HMM to obtain the leading macroeconomics factors</w:t>
      </w:r>
      <w:r w:rsidR="00856D88">
        <w:rPr>
          <w:rFonts w:ascii="Times New Roman" w:hAnsi="Times New Roman" w:cs="Times New Roman"/>
        </w:rPr>
        <w:t>.</w:t>
      </w:r>
    </w:p>
    <w:p w14:paraId="506E1959" w14:textId="30D9E99D" w:rsidR="00CF24EE" w:rsidRDefault="00E34121" w:rsidP="002131F1">
      <w:pPr>
        <w:pStyle w:val="ListParagraph"/>
        <w:numPr>
          <w:ilvl w:val="0"/>
          <w:numId w:val="5"/>
        </w:numPr>
        <w:rPr>
          <w:rFonts w:ascii="Times New Roman" w:hAnsi="Times New Roman" w:cs="Times New Roman"/>
        </w:rPr>
      </w:pPr>
      <w:r>
        <w:rPr>
          <w:rFonts w:ascii="Times New Roman" w:hAnsi="Times New Roman" w:cs="Times New Roman"/>
        </w:rPr>
        <w:t>Construct the model based on the traditional Taylor Rule and the generated new macro factors.</w:t>
      </w:r>
    </w:p>
    <w:p w14:paraId="525111E6" w14:textId="7E7ED632" w:rsidR="00144610" w:rsidRPr="002131F1" w:rsidRDefault="00144610" w:rsidP="002131F1">
      <w:pPr>
        <w:pStyle w:val="ListParagraph"/>
        <w:numPr>
          <w:ilvl w:val="0"/>
          <w:numId w:val="5"/>
        </w:numPr>
        <w:rPr>
          <w:rFonts w:ascii="Times New Roman" w:hAnsi="Times New Roman" w:cs="Times New Roman"/>
        </w:rPr>
      </w:pPr>
      <w:r>
        <w:rPr>
          <w:rFonts w:ascii="Times New Roman" w:hAnsi="Times New Roman" w:cs="Times New Roman"/>
        </w:rPr>
        <w:lastRenderedPageBreak/>
        <w:t>Adjust the incorporated information window to test the projection performance of the model.</w:t>
      </w:r>
    </w:p>
    <w:p w14:paraId="04FD85DB" w14:textId="77777777" w:rsidR="002131F1" w:rsidRDefault="002131F1" w:rsidP="004B5FF2">
      <w:pPr>
        <w:rPr>
          <w:rFonts w:ascii="Times New Roman" w:hAnsi="Times New Roman" w:cs="Times New Roman"/>
        </w:rPr>
      </w:pPr>
    </w:p>
    <w:p w14:paraId="3580483D" w14:textId="77777777" w:rsidR="00DB687B" w:rsidRPr="004E44FB" w:rsidRDefault="00DB687B" w:rsidP="00DB687B">
      <w:pPr>
        <w:rPr>
          <w:rFonts w:ascii="Times New Roman" w:hAnsi="Times New Roman" w:cs="Times New Roman"/>
          <w:b/>
          <w:bCs/>
        </w:rPr>
      </w:pPr>
      <w:r w:rsidRPr="004E44FB">
        <w:rPr>
          <w:rFonts w:ascii="Times New Roman" w:hAnsi="Times New Roman" w:cs="Times New Roman"/>
          <w:b/>
          <w:bCs/>
        </w:rPr>
        <w:t>Methodologies</w:t>
      </w:r>
    </w:p>
    <w:p w14:paraId="1A471F16" w14:textId="1FA6ED0F" w:rsidR="00DB687B" w:rsidRDefault="00A7515D" w:rsidP="00A7515D">
      <w:pPr>
        <w:pStyle w:val="ListParagraph"/>
        <w:numPr>
          <w:ilvl w:val="0"/>
          <w:numId w:val="6"/>
        </w:numPr>
        <w:rPr>
          <w:rFonts w:ascii="Times New Roman" w:hAnsi="Times New Roman" w:cs="Times New Roman"/>
        </w:rPr>
      </w:pPr>
      <w:r>
        <w:rPr>
          <w:rFonts w:ascii="Times New Roman" w:hAnsi="Times New Roman" w:cs="Times New Roman"/>
        </w:rPr>
        <w:t>Princip</w:t>
      </w:r>
      <w:r w:rsidR="0026324F">
        <w:rPr>
          <w:rFonts w:ascii="Times New Roman" w:hAnsi="Times New Roman" w:cs="Times New Roman"/>
        </w:rPr>
        <w:t>al</w:t>
      </w:r>
      <w:r>
        <w:rPr>
          <w:rFonts w:ascii="Times New Roman" w:hAnsi="Times New Roman" w:cs="Times New Roman"/>
        </w:rPr>
        <w:t xml:space="preserve"> Component Analysis</w:t>
      </w:r>
    </w:p>
    <w:p w14:paraId="66081A8E" w14:textId="52554C90" w:rsidR="00A7515D" w:rsidRPr="00A7515D" w:rsidRDefault="00A7515D" w:rsidP="00A7515D">
      <w:pPr>
        <w:pStyle w:val="ListParagraph"/>
        <w:numPr>
          <w:ilvl w:val="0"/>
          <w:numId w:val="6"/>
        </w:numPr>
        <w:rPr>
          <w:rFonts w:ascii="Times New Roman" w:hAnsi="Times New Roman" w:cs="Times New Roman"/>
        </w:rPr>
      </w:pPr>
      <w:r>
        <w:rPr>
          <w:rFonts w:ascii="Times New Roman" w:hAnsi="Times New Roman" w:cs="Times New Roman"/>
        </w:rPr>
        <w:t>GMM-HMM</w:t>
      </w:r>
    </w:p>
    <w:p w14:paraId="4AA87E08" w14:textId="4877A0E3" w:rsidR="006654FF" w:rsidRPr="003A5646" w:rsidRDefault="006654FF" w:rsidP="003A5646">
      <w:pPr>
        <w:rPr>
          <w:rFonts w:ascii="Times New Roman" w:hAnsi="Times New Roman" w:cs="Times New Roman"/>
          <w:b/>
          <w:bCs/>
        </w:rPr>
      </w:pPr>
    </w:p>
    <w:p w14:paraId="1372596A" w14:textId="3E3BDB9D" w:rsidR="00B85876" w:rsidRPr="003A5646" w:rsidRDefault="00B85876" w:rsidP="003A5646">
      <w:pPr>
        <w:rPr>
          <w:rFonts w:ascii="Times New Roman" w:hAnsi="Times New Roman" w:cs="Times New Roman"/>
        </w:rPr>
      </w:pPr>
      <w:r w:rsidRPr="003A5646">
        <w:rPr>
          <w:rFonts w:ascii="Times New Roman" w:hAnsi="Times New Roman" w:cs="Times New Roman"/>
        </w:rPr>
        <w:t xml:space="preserve">Macro </w:t>
      </w:r>
      <w:r w:rsidRPr="003A5646">
        <w:rPr>
          <w:rFonts w:ascii="Times New Roman" w:hAnsi="Times New Roman" w:cs="Times New Roman" w:hint="eastAsia"/>
        </w:rPr>
        <w:t>Factors</w:t>
      </w:r>
      <w:r w:rsidRPr="003A5646">
        <w:rPr>
          <w:rFonts w:ascii="Times New Roman" w:hAnsi="Times New Roman" w:cs="Times New Roman"/>
        </w:rPr>
        <w:t xml:space="preserve"> from Taylor Rule</w:t>
      </w:r>
    </w:p>
    <w:p w14:paraId="21026EC7" w14:textId="77777777" w:rsidR="000A6B92" w:rsidRDefault="000A6B92" w:rsidP="004B5FF2">
      <w:pPr>
        <w:rPr>
          <w:rFonts w:ascii="Times New Roman" w:hAnsi="Times New Roman" w:cs="Times New Roman"/>
        </w:rPr>
      </w:pPr>
    </w:p>
    <w:p w14:paraId="22231EA6" w14:textId="45A88965" w:rsidR="00F500F5" w:rsidRPr="00C36894" w:rsidRDefault="00EA22C9" w:rsidP="004B5FF2">
      <w:pPr>
        <w:rPr>
          <w:rFonts w:ascii="Times New Roman" w:hAnsi="Times New Roman" w:cs="Times New Roman"/>
          <w:b/>
          <w:bCs/>
        </w:rPr>
      </w:pPr>
      <w:r w:rsidRPr="00C36894">
        <w:rPr>
          <w:rFonts w:ascii="Times New Roman" w:hAnsi="Times New Roman" w:cs="Times New Roman"/>
          <w:b/>
          <w:bCs/>
        </w:rPr>
        <w:t>??</w:t>
      </w:r>
    </w:p>
    <w:p w14:paraId="12FFF4A7" w14:textId="257C768A" w:rsidR="000A6B92" w:rsidRDefault="00CE79E8" w:rsidP="004B5FF2">
      <w:pPr>
        <w:rPr>
          <w:rFonts w:ascii="Times New Roman" w:hAnsi="Times New Roman" w:cs="Times New Roman"/>
        </w:rPr>
      </w:pPr>
      <w:r w:rsidRPr="00CE79E8">
        <w:rPr>
          <w:rFonts w:ascii="Times New Roman" w:hAnsi="Times New Roman" w:cs="Times New Roman"/>
        </w:rPr>
        <w:t>According to the basic assumptions of time series modelling, forecasts at moment t cannot use future information, but only current moment as well as ever information</w:t>
      </w:r>
      <w:r w:rsidR="00ED2FB6">
        <w:rPr>
          <w:rFonts w:ascii="Times New Roman" w:hAnsi="Times New Roman" w:cs="Times New Roman"/>
        </w:rPr>
        <w:t xml:space="preserve"> [3]</w:t>
      </w:r>
      <w:r w:rsidRPr="00CE79E8">
        <w:rPr>
          <w:rFonts w:ascii="Times New Roman" w:hAnsi="Times New Roman" w:cs="Times New Roman"/>
        </w:rPr>
        <w:t>.</w:t>
      </w:r>
      <w:r w:rsidR="00ED2FB6">
        <w:rPr>
          <w:rFonts w:ascii="Times New Roman" w:hAnsi="Times New Roman" w:cs="Times New Roman"/>
        </w:rPr>
        <w:t xml:space="preserve"> </w:t>
      </w:r>
      <w:r w:rsidR="00931A10" w:rsidRPr="00931A10">
        <w:rPr>
          <w:rFonts w:ascii="Times New Roman" w:hAnsi="Times New Roman" w:cs="Times New Roman"/>
        </w:rPr>
        <w:t>However, in the actual publication of economics data, although different economic indicators reflect economic conditions over the same period of time, they cannot be regarded as variables with the same time stamp due to the difference in publication time.</w:t>
      </w:r>
      <w:r w:rsidR="00FF0083">
        <w:rPr>
          <w:rFonts w:ascii="Times New Roman" w:hAnsi="Times New Roman" w:cs="Times New Roman"/>
        </w:rPr>
        <w:t xml:space="preserve"> </w:t>
      </w:r>
      <w:r w:rsidR="00FF0083" w:rsidRPr="00FF0083">
        <w:rPr>
          <w:rFonts w:ascii="Times New Roman" w:hAnsi="Times New Roman" w:cs="Times New Roman"/>
        </w:rPr>
        <w:t xml:space="preserve">This is also the case in our study, although based on the Taylor </w:t>
      </w:r>
      <w:r w:rsidR="0036086A">
        <w:rPr>
          <w:rFonts w:ascii="Times New Roman" w:hAnsi="Times New Roman" w:cs="Times New Roman"/>
        </w:rPr>
        <w:t>Rule</w:t>
      </w:r>
      <w:r w:rsidR="00FF0083" w:rsidRPr="00FF0083">
        <w:rPr>
          <w:rFonts w:ascii="Times New Roman" w:hAnsi="Times New Roman" w:cs="Times New Roman"/>
        </w:rPr>
        <w:t>, the FFR can be calculated using the relevant macroeconomic indicators for this period, the corresponding macroeconomic indicators are published 1-2 days after the publication time of the FFR</w:t>
      </w:r>
      <w:r w:rsidR="00017178">
        <w:rPr>
          <w:rFonts w:ascii="Times New Roman" w:hAnsi="Times New Roman" w:cs="Times New Roman"/>
        </w:rPr>
        <w:t xml:space="preserve"> (see </w:t>
      </w:r>
      <w:proofErr w:type="gramStart"/>
      <w:r w:rsidR="00017178">
        <w:rPr>
          <w:rFonts w:ascii="Times New Roman" w:hAnsi="Times New Roman" w:cs="Times New Roman"/>
        </w:rPr>
        <w:t>Fig. )</w:t>
      </w:r>
      <w:proofErr w:type="gramEnd"/>
      <w:r w:rsidR="00FF0083" w:rsidRPr="00FF0083">
        <w:rPr>
          <w:rFonts w:ascii="Times New Roman" w:hAnsi="Times New Roman" w:cs="Times New Roman"/>
        </w:rPr>
        <w:t xml:space="preserve">, and therefore in practice it is not possible to use such future information for </w:t>
      </w:r>
      <w:r w:rsidR="00663A5D">
        <w:rPr>
          <w:rFonts w:ascii="Times New Roman" w:hAnsi="Times New Roman" w:cs="Times New Roman"/>
        </w:rPr>
        <w:t>FFR determination</w:t>
      </w:r>
      <w:r w:rsidR="00FF0083" w:rsidRPr="00FF0083">
        <w:rPr>
          <w:rFonts w:ascii="Times New Roman" w:hAnsi="Times New Roman" w:cs="Times New Roman"/>
        </w:rPr>
        <w:t>.</w:t>
      </w:r>
      <w:r w:rsidR="00884D96">
        <w:rPr>
          <w:rFonts w:ascii="Times New Roman" w:hAnsi="Times New Roman" w:cs="Times New Roman"/>
        </w:rPr>
        <w:t xml:space="preserve"> </w:t>
      </w:r>
      <w:r w:rsidR="00545C79" w:rsidRPr="00545C79">
        <w:rPr>
          <w:rFonts w:ascii="Times New Roman" w:hAnsi="Times New Roman" w:cs="Times New Roman"/>
        </w:rPr>
        <w:t>In reality, researchers generally use the previous period's macroeconomic data as the input factor for the Taylor Rule, however, this can lead to a lagged effect as the calculation of the FFR ignores the most recent period's economic situation. There are also many relevant financial institutions that present alternative data for use, but this is not always publicly available and authoritative.</w:t>
      </w:r>
    </w:p>
    <w:p w14:paraId="35F83EA9" w14:textId="77777777" w:rsidR="0010724F" w:rsidRDefault="0010724F" w:rsidP="004B5FF2">
      <w:pPr>
        <w:rPr>
          <w:rFonts w:ascii="Times New Roman" w:hAnsi="Times New Roman" w:cs="Times New Roman"/>
        </w:rPr>
      </w:pPr>
    </w:p>
    <w:p w14:paraId="0A67D570" w14:textId="6F596F1D" w:rsidR="0010724F" w:rsidRDefault="003512EA" w:rsidP="004B5FF2">
      <w:pPr>
        <w:rPr>
          <w:rFonts w:ascii="Times New Roman" w:hAnsi="Times New Roman" w:cs="Times New Roman"/>
        </w:rPr>
      </w:pPr>
      <w:bookmarkStart w:id="17" w:name="_Hlk147761170"/>
      <w:r>
        <w:rPr>
          <w:rFonts w:ascii="Times New Roman" w:hAnsi="Times New Roman" w:cs="Times New Roman"/>
        </w:rPr>
        <w:t>Perfect Situation:</w:t>
      </w:r>
      <w:bookmarkEnd w:id="17"/>
    </w:p>
    <w:p w14:paraId="0D40ABA5" w14:textId="050589A6" w:rsidR="00363AFA" w:rsidRDefault="00000000" w:rsidP="004B5FF2">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W</m:t>
            </m:r>
          </m:e>
        </m:acc>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+ϵ</m:t>
        </m:r>
      </m:oMath>
      <w:r w:rsidR="007A00A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e>
          <m:sup>
            <m:r>
              <w:rPr>
                <w:rFonts w:ascii="Cambria Math" w:hAnsi="Cambria Math" w:cs="Times New Roman"/>
              </w:rPr>
              <m:t>T</m:t>
            </m:r>
          </m:sup>
        </m:sSup>
      </m:oMath>
    </w:p>
    <w:p w14:paraId="2D38C9C9" w14:textId="77777777" w:rsidR="009B3B3C" w:rsidRDefault="009B3B3C" w:rsidP="004B5FF2">
      <w:pPr>
        <w:rPr>
          <w:rFonts w:ascii="Times New Roman" w:hAnsi="Times New Roman" w:cs="Times New Roman"/>
        </w:rPr>
      </w:pPr>
    </w:p>
    <w:p w14:paraId="602B8940" w14:textId="41A69660" w:rsidR="009B3B3C" w:rsidRPr="003440A3" w:rsidRDefault="009B3B3C" w:rsidP="004B5FF2">
      <w:pPr>
        <w:rPr>
          <w:rFonts w:ascii="Times New Roman" w:hAnsi="Times New Roman" w:cs="Times New Roman"/>
        </w:rPr>
      </w:pPr>
      <w:r>
        <w:rPr>
          <w:rFonts w:ascii="Times New Roman" w:hAnsi="Times New Roman" w:cs="Times New Roman"/>
        </w:rPr>
        <w:t>Real Implication</w:t>
      </w:r>
    </w:p>
    <w:p w14:paraId="511EB77A" w14:textId="4D196BE9" w:rsidR="00363AFA" w:rsidRDefault="00000000" w:rsidP="004B5FF2">
      <w:pPr>
        <w:rPr>
          <w:rFonts w:ascii="Times New Roman" w:hAnsi="Times New Roman" w:cs="Times New Roman"/>
        </w:rPr>
      </w:pP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W</m:t>
            </m:r>
          </m:e>
        </m:acc>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+ϵ</m:t>
        </m:r>
      </m:oMath>
      <w:r w:rsidR="00363AF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e>
          <m:sup>
            <m:r>
              <w:rPr>
                <w:rFonts w:ascii="Cambria Math" w:hAnsi="Cambria Math" w:cs="Times New Roman"/>
              </w:rPr>
              <m:t>T</m:t>
            </m:r>
          </m:sup>
        </m:sSup>
      </m:oMath>
    </w:p>
    <w:p w14:paraId="14B61D66" w14:textId="24069532" w:rsidR="0010724F" w:rsidRDefault="00000000" w:rsidP="004B5FF2">
      <w:pPr>
        <w:rPr>
          <w:rFonts w:ascii="Times New Roman" w:hAnsi="Times New Roman" w:cs="Times New Roman"/>
        </w:rPr>
      </w:pP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e>
        </m:acc>
      </m:oMath>
      <w:r w:rsidR="00834301">
        <w:rPr>
          <w:rFonts w:ascii="Times New Roman" w:hAnsi="Times New Roman" w:cs="Times New Roman"/>
        </w:rPr>
        <w:t xml:space="preserve"> is biased as it doesn’t consider the information from </w:t>
      </w:r>
      <m:oMath>
        <m:r>
          <w:rPr>
            <w:rFonts w:ascii="Cambria Math" w:hAnsi="Cambria Math" w:cs="Times New Roman"/>
          </w:rPr>
          <m:t>T-1</m:t>
        </m:r>
      </m:oMath>
      <w:r w:rsidR="00834301">
        <w:rPr>
          <w:rFonts w:ascii="Times New Roman" w:hAnsi="Times New Roman" w:cs="Times New Roman"/>
        </w:rPr>
        <w:t xml:space="preserve"> to </w:t>
      </w:r>
      <m:oMath>
        <m:r>
          <w:rPr>
            <w:rFonts w:ascii="Cambria Math" w:hAnsi="Cambria Math" w:cs="Times New Roman"/>
          </w:rPr>
          <m:t>T</m:t>
        </m:r>
      </m:oMath>
      <w:r w:rsidR="00834301">
        <w:rPr>
          <w:rFonts w:ascii="Times New Roman" w:hAnsi="Times New Roman" w:cs="Times New Roman"/>
        </w:rPr>
        <w:t>.</w:t>
      </w:r>
    </w:p>
    <w:p w14:paraId="40D0708B" w14:textId="13396C4D" w:rsidR="00834301" w:rsidRDefault="00A85E6E" w:rsidP="004B5FF2">
      <w:pPr>
        <w:rPr>
          <w:rFonts w:ascii="Times New Roman" w:hAnsi="Times New Roman" w:cs="Times New Roman"/>
        </w:rPr>
      </w:pPr>
      <w:r>
        <w:rPr>
          <w:rFonts w:ascii="Times New Roman" w:hAnsi="Times New Roman" w:cs="Times New Roman"/>
        </w:rPr>
        <w:t xml:space="preserve">We aim to provide an equation to build the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w:r>
        <w:rPr>
          <w:rFonts w:ascii="Times New Roman" w:hAnsi="Times New Roman" w:cs="Times New Roman"/>
        </w:rPr>
        <w:t xml:space="preserve"> with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e>
        </m:acc>
      </m:oMath>
      <w:r>
        <w:rPr>
          <w:rFonts w:ascii="Times New Roman" w:hAnsi="Times New Roman" w:cs="Times New Roman"/>
        </w:rPr>
        <w:t xml:space="preserve"> and the information from </w:t>
      </w:r>
      <m:oMath>
        <m:r>
          <w:rPr>
            <w:rFonts w:ascii="Cambria Math" w:hAnsi="Cambria Math" w:cs="Times New Roman"/>
          </w:rPr>
          <m:t>T-1</m:t>
        </m:r>
      </m:oMath>
      <w:r>
        <w:rPr>
          <w:rFonts w:ascii="Times New Roman" w:hAnsi="Times New Roman" w:cs="Times New Roman"/>
        </w:rPr>
        <w:t xml:space="preserve"> to </w:t>
      </w:r>
      <m:oMath>
        <m:r>
          <w:rPr>
            <w:rFonts w:ascii="Cambria Math" w:hAnsi="Cambria Math" w:cs="Times New Roman"/>
          </w:rPr>
          <m:t>T</m:t>
        </m:r>
      </m:oMath>
      <w:r>
        <w:rPr>
          <w:rFonts w:ascii="Times New Roman" w:hAnsi="Times New Roman" w:cs="Times New Roman"/>
        </w:rPr>
        <w:t xml:space="preserve">, which is denoted by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oMath>
      <w:r w:rsidR="004B5FF2">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oMath>
      <w:r w:rsidR="004B5FF2">
        <w:rPr>
          <w:rFonts w:ascii="Times New Roman" w:hAnsi="Times New Roman" w:cs="Times New Roman"/>
        </w:rPr>
        <w:t xml:space="preserve"> is the hidden information during the period of (</w:t>
      </w:r>
      <m:oMath>
        <m:r>
          <w:rPr>
            <w:rFonts w:ascii="Cambria Math" w:hAnsi="Cambria Math" w:cs="Times New Roman"/>
          </w:rPr>
          <m:t>T-1</m:t>
        </m:r>
      </m:oMath>
      <w:r w:rsidR="004B5FF2">
        <w:rPr>
          <w:rFonts w:ascii="Times New Roman" w:hAnsi="Times New Roman" w:cs="Times New Roman"/>
        </w:rPr>
        <w:t xml:space="preserve">,T), it is unobservable, but </w:t>
      </w:r>
      <w:r w:rsidR="00961EEC">
        <w:rPr>
          <w:rFonts w:ascii="Times New Roman" w:hAnsi="Times New Roman" w:cs="Times New Roman"/>
        </w:rPr>
        <w:t xml:space="preserve">should still has the linear relationship with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w:r w:rsidR="00961EEC">
        <w:rPr>
          <w:rFonts w:ascii="Times New Roman" w:hAnsi="Times New Roman" w:cs="Times New Roman"/>
        </w:rPr>
        <w:t>. Therefore, we have the new established formula:</w:t>
      </w:r>
    </w:p>
    <w:p w14:paraId="2FA37B50" w14:textId="0CF39354" w:rsidR="00961EEC" w:rsidRDefault="00000000" w:rsidP="00961EE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W</m:t>
            </m:r>
          </m:e>
        </m:acc>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+ϵ</m:t>
        </m:r>
      </m:oMath>
      <w:r w:rsidR="00961EE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p>
          <m:sSupPr>
            <m:ctrlPr>
              <w:rPr>
                <w:rFonts w:ascii="Cambria Math" w:hAnsi="Cambria Math" w:cs="Times New Roman"/>
                <w:i/>
              </w:rPr>
            </m:ctrlPr>
          </m:sSupPr>
          <m:e>
            <m:d>
              <m:dPr>
                <m:beg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e>
          <m:sup>
            <m:r>
              <w:rPr>
                <w:rFonts w:ascii="Cambria Math" w:hAnsi="Cambria Math" w:cs="Times New Roman"/>
              </w:rPr>
              <m:t>T</m:t>
            </m:r>
          </m:sup>
        </m:sSup>
      </m:oMath>
    </w:p>
    <w:p w14:paraId="1CBAC33A" w14:textId="0FFC91A2" w:rsidR="00961EEC" w:rsidRDefault="00961EEC" w:rsidP="004B5FF2">
      <w:pPr>
        <w:rPr>
          <w:rFonts w:ascii="Times New Roman" w:hAnsi="Times New Roman" w:cs="Times New Roman"/>
        </w:rPr>
      </w:pPr>
    </w:p>
    <w:p w14:paraId="74840ACD" w14:textId="35174EAC" w:rsidR="0010724F" w:rsidRDefault="009C7BFD" w:rsidP="004B5FF2">
      <w:pPr>
        <w:rPr>
          <w:rFonts w:ascii="Times New Roman" w:hAnsi="Times New Roman" w:cs="Times New Roman"/>
        </w:rPr>
      </w:pPr>
      <w:r w:rsidRPr="009C7BFD">
        <w:rPr>
          <w:rFonts w:ascii="Times New Roman" w:hAnsi="Times New Roman" w:cs="Times New Roman"/>
        </w:rPr>
        <w:t xml:space="preserve">Based on our thinking, when the FFR is adjusted, Treasury Yield is affected first, while macroeconomic indicators are affected </w:t>
      </w:r>
      <w:r w:rsidR="0009271A">
        <w:rPr>
          <w:rFonts w:ascii="Times New Roman" w:hAnsi="Times New Roman" w:cs="Times New Roman"/>
        </w:rPr>
        <w:t>later on</w:t>
      </w:r>
      <w:r w:rsidRPr="009C7BFD">
        <w:rPr>
          <w:rFonts w:ascii="Times New Roman" w:hAnsi="Times New Roman" w:cs="Times New Roman"/>
        </w:rPr>
        <w:t>. This is because the adjustment of the FFR directly affects the cost of short-term borrowing, so that the short-term borrowing rates of banks and other financial institutions usually quickly follow the change in the FFR, which in turn affects Treasury Yield.</w:t>
      </w:r>
      <w:r w:rsidR="00403170">
        <w:rPr>
          <w:rFonts w:ascii="Times New Roman" w:hAnsi="Times New Roman" w:cs="Times New Roman"/>
        </w:rPr>
        <w:t xml:space="preserve"> </w:t>
      </w:r>
      <w:r w:rsidRPr="009C7BFD">
        <w:rPr>
          <w:rFonts w:ascii="Times New Roman" w:hAnsi="Times New Roman" w:cs="Times New Roman"/>
        </w:rPr>
        <w:t xml:space="preserve">However, macroeconomic indicators are affected by a variety of factors, and it usually takes time for changes in the economy to be transmitted, </w:t>
      </w:r>
      <w:proofErr w:type="gramStart"/>
      <w:r w:rsidRPr="009C7BFD">
        <w:rPr>
          <w:rFonts w:ascii="Times New Roman" w:hAnsi="Times New Roman" w:cs="Times New Roman"/>
        </w:rPr>
        <w:t>e.g.</w:t>
      </w:r>
      <w:proofErr w:type="gramEnd"/>
      <w:r w:rsidRPr="009C7BFD">
        <w:rPr>
          <w:rFonts w:ascii="Times New Roman" w:hAnsi="Times New Roman" w:cs="Times New Roman"/>
        </w:rPr>
        <w:t xml:space="preserve"> it takes some time for firms and individuals to make decisions about investing and consuming. time to adjust to the new interest rate environment.</w:t>
      </w:r>
      <w:r w:rsidR="004F4E41">
        <w:rPr>
          <w:rFonts w:ascii="Times New Roman" w:hAnsi="Times New Roman" w:cs="Times New Roman"/>
        </w:rPr>
        <w:t xml:space="preserve"> </w:t>
      </w:r>
      <w:r w:rsidR="00402BED" w:rsidRPr="00402BED">
        <w:rPr>
          <w:rFonts w:ascii="Times New Roman" w:hAnsi="Times New Roman" w:cs="Times New Roman"/>
        </w:rPr>
        <w:t xml:space="preserve">In addition, changes in Treasury yields have a direct impact on capital markets, which in turn affect economic activity and ultimately the macroeconomy. </w:t>
      </w:r>
      <w:r w:rsidR="009D5939">
        <w:rPr>
          <w:rFonts w:ascii="Times New Roman" w:hAnsi="Times New Roman" w:cs="Times New Roman"/>
        </w:rPr>
        <w:t>[4]</w:t>
      </w:r>
      <w:r w:rsidR="00402BED" w:rsidRPr="00402BED">
        <w:rPr>
          <w:rFonts w:ascii="Times New Roman" w:hAnsi="Times New Roman" w:cs="Times New Roman"/>
        </w:rPr>
        <w:t xml:space="preserve"> stated that </w:t>
      </w:r>
      <w:r w:rsidR="00AE0466">
        <w:rPr>
          <w:rFonts w:ascii="Times New Roman" w:hAnsi="Times New Roman" w:cs="Times New Roman"/>
        </w:rPr>
        <w:t>the s</w:t>
      </w:r>
      <w:r w:rsidR="00402BED" w:rsidRPr="00402BED">
        <w:rPr>
          <w:rFonts w:ascii="Times New Roman" w:hAnsi="Times New Roman" w:cs="Times New Roman"/>
        </w:rPr>
        <w:t xml:space="preserve">hort-term </w:t>
      </w:r>
      <w:r w:rsidR="00402BED" w:rsidRPr="00402BED">
        <w:rPr>
          <w:rFonts w:ascii="Times New Roman" w:hAnsi="Times New Roman" w:cs="Times New Roman"/>
        </w:rPr>
        <w:lastRenderedPageBreak/>
        <w:t>bond yields have relatively significant transmission effects on some output variables, such as consumption, investment, and the consumer price index</w:t>
      </w:r>
      <w:r w:rsidR="001603F9">
        <w:rPr>
          <w:rFonts w:ascii="Times New Roman" w:hAnsi="Times New Roman" w:cs="Times New Roman"/>
        </w:rPr>
        <w:t xml:space="preserve">, which are the macro indicators we concerned. </w:t>
      </w:r>
    </w:p>
    <w:p w14:paraId="61F3CCC9" w14:textId="77777777" w:rsidR="0010724F" w:rsidRDefault="0010724F" w:rsidP="004B5FF2">
      <w:pPr>
        <w:rPr>
          <w:rFonts w:ascii="Times New Roman" w:hAnsi="Times New Roman" w:cs="Times New Roman"/>
        </w:rPr>
      </w:pPr>
    </w:p>
    <w:p w14:paraId="287B5DE8" w14:textId="3108A762" w:rsidR="00F500F5" w:rsidRPr="00043005" w:rsidRDefault="007F59B1" w:rsidP="004B5FF2">
      <w:pPr>
        <w:rPr>
          <w:rFonts w:ascii="Times New Roman" w:hAnsi="Times New Roman" w:cs="Times New Roman"/>
          <w:b/>
          <w:bCs/>
        </w:rPr>
      </w:pPr>
      <w:r w:rsidRPr="00043005">
        <w:rPr>
          <w:rFonts w:ascii="Times New Roman" w:hAnsi="Times New Roman" w:cs="Times New Roman" w:hint="eastAsia"/>
          <w:b/>
          <w:bCs/>
        </w:rPr>
        <w:t>Result</w:t>
      </w:r>
      <w:r w:rsidRPr="00043005">
        <w:rPr>
          <w:rFonts w:ascii="Times New Roman" w:hAnsi="Times New Roman" w:cs="Times New Roman"/>
          <w:b/>
          <w:bCs/>
        </w:rPr>
        <w:t>s Analysis</w:t>
      </w:r>
    </w:p>
    <w:p w14:paraId="0420A088" w14:textId="77777777" w:rsidR="007F59B1" w:rsidRDefault="007F59B1" w:rsidP="004B5FF2">
      <w:pPr>
        <w:rPr>
          <w:rFonts w:ascii="Times New Roman" w:hAnsi="Times New Roman" w:cs="Times New Roman"/>
        </w:rPr>
      </w:pPr>
    </w:p>
    <w:p w14:paraId="01B0E9C5" w14:textId="77777777" w:rsidR="000A6B92" w:rsidRDefault="000A6B92" w:rsidP="004B5FF2">
      <w:pPr>
        <w:rPr>
          <w:rFonts w:ascii="Times New Roman" w:hAnsi="Times New Roman" w:cs="Times New Roman"/>
        </w:rPr>
      </w:pPr>
    </w:p>
    <w:p w14:paraId="13642E37" w14:textId="286F1EC9" w:rsidR="007F59B1" w:rsidRPr="00043005" w:rsidRDefault="00990FA5" w:rsidP="004B5FF2">
      <w:pPr>
        <w:rPr>
          <w:rFonts w:ascii="Times New Roman" w:hAnsi="Times New Roman" w:cs="Times New Roman"/>
          <w:b/>
          <w:bCs/>
        </w:rPr>
      </w:pPr>
      <w:r w:rsidRPr="00043005">
        <w:rPr>
          <w:rFonts w:ascii="Times New Roman" w:hAnsi="Times New Roman" w:cs="Times New Roman"/>
          <w:b/>
          <w:bCs/>
        </w:rPr>
        <w:t>Conclusion</w:t>
      </w:r>
    </w:p>
    <w:p w14:paraId="349307D7" w14:textId="77777777" w:rsidR="00CE4800" w:rsidRDefault="00CE4800" w:rsidP="004B5FF2">
      <w:pPr>
        <w:rPr>
          <w:rFonts w:ascii="Times New Roman" w:hAnsi="Times New Roman" w:cs="Times New Roman"/>
        </w:rPr>
      </w:pPr>
    </w:p>
    <w:p w14:paraId="07D9AA8C" w14:textId="77777777" w:rsidR="00B130AC" w:rsidRDefault="00B130AC" w:rsidP="004B5FF2">
      <w:pPr>
        <w:rPr>
          <w:rFonts w:ascii="Times New Roman" w:hAnsi="Times New Roman" w:cs="Times New Roman"/>
        </w:rPr>
      </w:pPr>
    </w:p>
    <w:p w14:paraId="575CE31C" w14:textId="0F0A4C6E" w:rsidR="00B16D7A" w:rsidRPr="00043005" w:rsidRDefault="00B16D7A" w:rsidP="004B5FF2">
      <w:pPr>
        <w:rPr>
          <w:rFonts w:ascii="Times New Roman" w:hAnsi="Times New Roman" w:cs="Times New Roman"/>
          <w:b/>
          <w:bCs/>
        </w:rPr>
      </w:pPr>
      <w:r w:rsidRPr="00043005">
        <w:rPr>
          <w:rFonts w:ascii="Times New Roman" w:hAnsi="Times New Roman" w:cs="Times New Roman"/>
          <w:b/>
          <w:bCs/>
        </w:rPr>
        <w:t>Reference</w:t>
      </w:r>
    </w:p>
    <w:p w14:paraId="2549556B" w14:textId="77777777" w:rsidR="00351F56" w:rsidRDefault="00351F56" w:rsidP="004B5FF2">
      <w:pPr>
        <w:rPr>
          <w:rFonts w:ascii="Times New Roman" w:hAnsi="Times New Roman" w:cs="Times New Roman"/>
        </w:rPr>
      </w:pPr>
    </w:p>
    <w:p w14:paraId="40AC71CD" w14:textId="77777777" w:rsidR="00D72BB2" w:rsidRDefault="00D72BB2" w:rsidP="004B5FF2">
      <w:pPr>
        <w:rPr>
          <w:rFonts w:ascii="Times New Roman" w:hAnsi="Times New Roman" w:cs="Times New Roman"/>
        </w:rPr>
      </w:pPr>
    </w:p>
    <w:p w14:paraId="35367E2B" w14:textId="08791005" w:rsidR="00CE4800" w:rsidRDefault="00AE47D8" w:rsidP="004B5FF2">
      <w:pPr>
        <w:rPr>
          <w:rFonts w:ascii="Times New Roman" w:hAnsi="Times New Roman" w:cs="Times New Roman"/>
        </w:rPr>
      </w:pPr>
      <w:r>
        <w:rPr>
          <w:rFonts w:ascii="Times New Roman" w:hAnsi="Times New Roman" w:cs="Times New Roman"/>
        </w:rPr>
        <w:t>[</w:t>
      </w:r>
      <w:r w:rsidR="00FA1853">
        <w:rPr>
          <w:rFonts w:ascii="Times New Roman" w:hAnsi="Times New Roman" w:cs="Times New Roman"/>
        </w:rPr>
        <w:t>1</w:t>
      </w:r>
      <w:r>
        <w:rPr>
          <w:rFonts w:ascii="Times New Roman" w:hAnsi="Times New Roman" w:cs="Times New Roman"/>
        </w:rPr>
        <w:t>] Bloomberg Terminal Data on Treasury Yields (USGG). Bloomberg Terminal, 2023-09-25.</w:t>
      </w:r>
    </w:p>
    <w:p w14:paraId="7FA923D4" w14:textId="77777777" w:rsidR="00D72BB2" w:rsidRDefault="00D72BB2" w:rsidP="004B5FF2">
      <w:pPr>
        <w:rPr>
          <w:rFonts w:ascii="Times New Roman" w:hAnsi="Times New Roman" w:cs="Times New Roman"/>
        </w:rPr>
      </w:pPr>
    </w:p>
    <w:p w14:paraId="58AD1155" w14:textId="27683B0D" w:rsidR="00D72BB2" w:rsidRDefault="00541A52" w:rsidP="004B5FF2">
      <w:pPr>
        <w:rPr>
          <w:rFonts w:ascii="Times New Roman" w:hAnsi="Times New Roman" w:cs="Times New Roman"/>
        </w:rPr>
      </w:pPr>
      <w:r>
        <w:rPr>
          <w:rFonts w:ascii="Times New Roman" w:hAnsi="Times New Roman" w:cs="Times New Roman"/>
        </w:rPr>
        <w:t>[</w:t>
      </w:r>
      <w:r w:rsidR="00FA1853">
        <w:rPr>
          <w:rFonts w:ascii="Times New Roman" w:hAnsi="Times New Roman" w:cs="Times New Roman"/>
        </w:rPr>
        <w:t>2</w:t>
      </w:r>
      <w:r>
        <w:rPr>
          <w:rFonts w:ascii="Times New Roman" w:hAnsi="Times New Roman" w:cs="Times New Roman"/>
        </w:rPr>
        <w:t xml:space="preserve">] </w:t>
      </w:r>
      <w:r w:rsidR="00D72BB2" w:rsidRPr="00D72BB2">
        <w:rPr>
          <w:rFonts w:ascii="Times New Roman" w:hAnsi="Times New Roman" w:cs="Times New Roman"/>
        </w:rPr>
        <w:t xml:space="preserve">Brooks, Jordan, et al. “Post-FOMC Announcement Drift in U.S. Bond Markets.” </w:t>
      </w:r>
      <w:r w:rsidR="00D72BB2" w:rsidRPr="00140B7B">
        <w:rPr>
          <w:rFonts w:ascii="Times New Roman" w:hAnsi="Times New Roman" w:cs="Times New Roman"/>
          <w:i/>
          <w:iCs/>
        </w:rPr>
        <w:t>National Bureau of Economic Research</w:t>
      </w:r>
      <w:r w:rsidR="00D72BB2" w:rsidRPr="00D72BB2">
        <w:rPr>
          <w:rFonts w:ascii="Times New Roman" w:hAnsi="Times New Roman" w:cs="Times New Roman"/>
        </w:rPr>
        <w:t xml:space="preserve">, 1 Oct. 2018, </w:t>
      </w:r>
      <w:r w:rsidR="001F7212" w:rsidRPr="001F7212">
        <w:rPr>
          <w:rFonts w:ascii="Times New Roman" w:hAnsi="Times New Roman" w:cs="Times New Roman"/>
        </w:rPr>
        <w:t>www.nber.org/papers/w25127</w:t>
      </w:r>
      <w:r w:rsidR="00D72BB2" w:rsidRPr="00D72BB2">
        <w:rPr>
          <w:rFonts w:ascii="Times New Roman" w:hAnsi="Times New Roman" w:cs="Times New Roman"/>
        </w:rPr>
        <w:t>.</w:t>
      </w:r>
    </w:p>
    <w:p w14:paraId="47268A62" w14:textId="77777777" w:rsidR="001F7212" w:rsidRDefault="001F7212" w:rsidP="004B5FF2">
      <w:pPr>
        <w:rPr>
          <w:rFonts w:ascii="Times New Roman" w:hAnsi="Times New Roman" w:cs="Times New Roman"/>
        </w:rPr>
      </w:pPr>
    </w:p>
    <w:p w14:paraId="21B77BC8" w14:textId="34B7C122" w:rsidR="001F7212" w:rsidRDefault="001F7212" w:rsidP="004B5FF2">
      <w:pPr>
        <w:rPr>
          <w:rFonts w:ascii="Times New Roman" w:hAnsi="Times New Roman" w:cs="Times New Roman"/>
        </w:rPr>
      </w:pPr>
      <w:r>
        <w:rPr>
          <w:rFonts w:ascii="Times New Roman" w:hAnsi="Times New Roman" w:cs="Times New Roman"/>
        </w:rPr>
        <w:t>[</w:t>
      </w:r>
      <w:r w:rsidR="00FA1853">
        <w:rPr>
          <w:rFonts w:ascii="Times New Roman" w:hAnsi="Times New Roman" w:cs="Times New Roman"/>
        </w:rPr>
        <w:t>3</w:t>
      </w:r>
      <w:r>
        <w:rPr>
          <w:rFonts w:ascii="Times New Roman" w:hAnsi="Times New Roman" w:cs="Times New Roman"/>
        </w:rPr>
        <w:t xml:space="preserve">] </w:t>
      </w:r>
      <w:r w:rsidRPr="001F7212">
        <w:rPr>
          <w:rFonts w:ascii="Times New Roman" w:hAnsi="Times New Roman" w:cs="Times New Roman"/>
        </w:rPr>
        <w:t xml:space="preserve">Taylor, Stephen J. </w:t>
      </w:r>
      <w:r w:rsidRPr="00C22DEA">
        <w:rPr>
          <w:rFonts w:ascii="Times New Roman" w:hAnsi="Times New Roman" w:cs="Times New Roman"/>
          <w:i/>
          <w:iCs/>
        </w:rPr>
        <w:t>Modelling Financial Time Series</w:t>
      </w:r>
      <w:r w:rsidRPr="001F7212">
        <w:rPr>
          <w:rFonts w:ascii="Times New Roman" w:hAnsi="Times New Roman" w:cs="Times New Roman"/>
        </w:rPr>
        <w:t>. Hackensack N.J., World Scientific, 2013.</w:t>
      </w:r>
    </w:p>
    <w:p w14:paraId="7AD61DB0" w14:textId="77777777" w:rsidR="004F4E41" w:rsidRDefault="004F4E41" w:rsidP="004B5FF2">
      <w:pPr>
        <w:rPr>
          <w:rFonts w:ascii="Times New Roman" w:hAnsi="Times New Roman" w:cs="Times New Roman"/>
        </w:rPr>
      </w:pPr>
    </w:p>
    <w:p w14:paraId="7703B465" w14:textId="664DB3EB" w:rsidR="004F4E41" w:rsidRDefault="0024719A" w:rsidP="004B5FF2">
      <w:pPr>
        <w:rPr>
          <w:rFonts w:ascii="Times New Roman" w:hAnsi="Times New Roman" w:cs="Times New Roman"/>
        </w:rPr>
      </w:pPr>
      <w:r>
        <w:rPr>
          <w:rFonts w:ascii="Times New Roman" w:hAnsi="Times New Roman" w:cs="Times New Roman"/>
        </w:rPr>
        <w:t xml:space="preserve">[4] </w:t>
      </w:r>
      <w:r w:rsidR="004F4E41" w:rsidRPr="004F4E41">
        <w:rPr>
          <w:rFonts w:ascii="Times New Roman" w:hAnsi="Times New Roman" w:cs="Times New Roman"/>
        </w:rPr>
        <w:t xml:space="preserve">Zhang, Hui, and Hao Huang. “An Empirical Study of the Asset Price Channel of Monetary Policy Transmission in China.” </w:t>
      </w:r>
      <w:r w:rsidR="004F4E41" w:rsidRPr="009D2A46">
        <w:rPr>
          <w:rFonts w:ascii="Times New Roman" w:hAnsi="Times New Roman" w:cs="Times New Roman"/>
          <w:i/>
          <w:iCs/>
        </w:rPr>
        <w:t>Emerging Markets Finance and Trade</w:t>
      </w:r>
      <w:r w:rsidR="004F4E41" w:rsidRPr="004F4E41">
        <w:rPr>
          <w:rFonts w:ascii="Times New Roman" w:hAnsi="Times New Roman" w:cs="Times New Roman"/>
        </w:rPr>
        <w:t>, vol. 53, no. 6, 8 Nov. 2016, pp. 1278–1288</w:t>
      </w:r>
      <w:r w:rsidR="00FC599A">
        <w:rPr>
          <w:rFonts w:ascii="Times New Roman" w:hAnsi="Times New Roman" w:cs="Times New Roman"/>
        </w:rPr>
        <w:t>.</w:t>
      </w:r>
    </w:p>
    <w:p w14:paraId="7FC4C1C7" w14:textId="77777777" w:rsidR="00897A30" w:rsidRDefault="00897A30" w:rsidP="004B5FF2">
      <w:pPr>
        <w:rPr>
          <w:rFonts w:ascii="Times New Roman" w:hAnsi="Times New Roman" w:cs="Times New Roman"/>
        </w:rPr>
      </w:pPr>
    </w:p>
    <w:p w14:paraId="68A1BA7F" w14:textId="7B662957" w:rsidR="00897A30" w:rsidRDefault="0099503C" w:rsidP="004B5FF2">
      <w:pPr>
        <w:rPr>
          <w:rFonts w:ascii="Times New Roman" w:hAnsi="Times New Roman" w:cs="Times New Roman"/>
        </w:rPr>
      </w:pPr>
      <w:r>
        <w:rPr>
          <w:rFonts w:ascii="Times New Roman" w:hAnsi="Times New Roman" w:cs="Times New Roman"/>
        </w:rPr>
        <w:t xml:space="preserve">[5] </w:t>
      </w:r>
      <w:r w:rsidR="00F7394E" w:rsidRPr="00F7394E">
        <w:rPr>
          <w:rFonts w:ascii="Times New Roman" w:hAnsi="Times New Roman" w:cs="Times New Roman"/>
        </w:rPr>
        <w:t xml:space="preserve">Diebold, Francis X, et al. “Modeling Bond Yields in Finance and Macroeconomics.” </w:t>
      </w:r>
      <w:r w:rsidR="00F7394E" w:rsidRPr="00BC0F7E">
        <w:rPr>
          <w:rFonts w:ascii="Times New Roman" w:hAnsi="Times New Roman" w:cs="Times New Roman"/>
          <w:i/>
          <w:iCs/>
        </w:rPr>
        <w:t>American Economic Review</w:t>
      </w:r>
      <w:r w:rsidR="00F7394E" w:rsidRPr="00F7394E">
        <w:rPr>
          <w:rFonts w:ascii="Times New Roman" w:hAnsi="Times New Roman" w:cs="Times New Roman"/>
        </w:rPr>
        <w:t>, vol. 95, no. 2, 1 Apr. 2005, pp. 415–420</w:t>
      </w:r>
      <w:r w:rsidR="0049410A">
        <w:rPr>
          <w:rFonts w:ascii="Times New Roman" w:hAnsi="Times New Roman" w:cs="Times New Roman"/>
        </w:rPr>
        <w:t>.</w:t>
      </w:r>
    </w:p>
    <w:p w14:paraId="7EBAAC18" w14:textId="77777777" w:rsidR="0099503C" w:rsidRDefault="0099503C" w:rsidP="004B5FF2">
      <w:pPr>
        <w:rPr>
          <w:rFonts w:ascii="Times New Roman" w:hAnsi="Times New Roman" w:cs="Times New Roman"/>
        </w:rPr>
      </w:pPr>
    </w:p>
    <w:p w14:paraId="099CD2C8" w14:textId="46C8FD88" w:rsidR="0099503C" w:rsidRDefault="0099503C" w:rsidP="004B5FF2">
      <w:pPr>
        <w:rPr>
          <w:rFonts w:ascii="Times New Roman" w:hAnsi="Times New Roman" w:cs="Times New Roman"/>
        </w:rPr>
      </w:pPr>
      <w:r>
        <w:rPr>
          <w:rFonts w:ascii="Times New Roman" w:hAnsi="Times New Roman" w:cs="Times New Roman"/>
        </w:rPr>
        <w:t xml:space="preserve">[6] </w:t>
      </w:r>
      <w:r w:rsidR="002734BF" w:rsidRPr="002734BF">
        <w:rPr>
          <w:rFonts w:ascii="Times New Roman" w:hAnsi="Times New Roman" w:cs="Times New Roman"/>
        </w:rPr>
        <w:t xml:space="preserve">Evans, Charles L., and David A. Marshall. “Economic Determinants of the Nominal Treasury Yield Curve.” </w:t>
      </w:r>
      <w:r w:rsidR="002734BF" w:rsidRPr="00604B28">
        <w:rPr>
          <w:rFonts w:ascii="Times New Roman" w:hAnsi="Times New Roman" w:cs="Times New Roman"/>
          <w:i/>
          <w:iCs/>
        </w:rPr>
        <w:t>Journal of Monetary Economics</w:t>
      </w:r>
      <w:r w:rsidR="002734BF" w:rsidRPr="002734BF">
        <w:rPr>
          <w:rFonts w:ascii="Times New Roman" w:hAnsi="Times New Roman" w:cs="Times New Roman"/>
        </w:rPr>
        <w:t>, vol. 54, no. 7, Oct. 2007, pp. 1986–2003.</w:t>
      </w:r>
    </w:p>
    <w:p w14:paraId="7A470187" w14:textId="77777777" w:rsidR="0099503C" w:rsidRDefault="0099503C" w:rsidP="004B5FF2">
      <w:pPr>
        <w:rPr>
          <w:rFonts w:ascii="Times New Roman" w:hAnsi="Times New Roman" w:cs="Times New Roman"/>
        </w:rPr>
      </w:pPr>
    </w:p>
    <w:p w14:paraId="0D9346D0" w14:textId="2E3A451B" w:rsidR="0099503C" w:rsidRDefault="0099503C" w:rsidP="004B5FF2">
      <w:pPr>
        <w:rPr>
          <w:rFonts w:ascii="Times New Roman" w:hAnsi="Times New Roman" w:cs="Times New Roman"/>
        </w:rPr>
      </w:pPr>
      <w:r>
        <w:rPr>
          <w:rFonts w:ascii="Times New Roman" w:hAnsi="Times New Roman" w:cs="Times New Roman"/>
        </w:rPr>
        <w:t xml:space="preserve">[7] </w:t>
      </w:r>
    </w:p>
    <w:p w14:paraId="3C7F80EB" w14:textId="77777777" w:rsidR="0099503C" w:rsidRDefault="0099503C" w:rsidP="004B5FF2">
      <w:pPr>
        <w:rPr>
          <w:rFonts w:ascii="Times New Roman" w:hAnsi="Times New Roman" w:cs="Times New Roman"/>
        </w:rPr>
      </w:pPr>
    </w:p>
    <w:p w14:paraId="4005B248" w14:textId="132F94D6" w:rsidR="0099503C" w:rsidRDefault="0099503C" w:rsidP="004B5FF2">
      <w:pPr>
        <w:rPr>
          <w:rFonts w:ascii="Times New Roman" w:hAnsi="Times New Roman" w:cs="Times New Roman"/>
        </w:rPr>
      </w:pPr>
      <w:r>
        <w:rPr>
          <w:rFonts w:ascii="Times New Roman" w:hAnsi="Times New Roman" w:cs="Times New Roman"/>
        </w:rPr>
        <w:t xml:space="preserve">[8] </w:t>
      </w:r>
      <w:r w:rsidR="002041BD" w:rsidRPr="002041BD">
        <w:rPr>
          <w:rFonts w:ascii="Times New Roman" w:hAnsi="Times New Roman" w:cs="Times New Roman"/>
        </w:rPr>
        <w:t xml:space="preserve">Seip, Knut </w:t>
      </w:r>
      <w:proofErr w:type="spellStart"/>
      <w:r w:rsidR="002041BD" w:rsidRPr="002041BD">
        <w:rPr>
          <w:rFonts w:ascii="Times New Roman" w:hAnsi="Times New Roman" w:cs="Times New Roman"/>
        </w:rPr>
        <w:t>Lehre</w:t>
      </w:r>
      <w:proofErr w:type="spellEnd"/>
      <w:r w:rsidR="002041BD" w:rsidRPr="002041BD">
        <w:rPr>
          <w:rFonts w:ascii="Times New Roman" w:hAnsi="Times New Roman" w:cs="Times New Roman"/>
        </w:rPr>
        <w:t xml:space="preserve">, and Dan Zhang. “The GDP, the US Treasury Yield and the Federal Funds Rate: Who Follows Whom, When and Why?” </w:t>
      </w:r>
      <w:r w:rsidR="002041BD" w:rsidRPr="009D1B12">
        <w:rPr>
          <w:rFonts w:ascii="Times New Roman" w:hAnsi="Times New Roman" w:cs="Times New Roman"/>
          <w:i/>
          <w:iCs/>
        </w:rPr>
        <w:t>Journal of Financial Economic Policy</w:t>
      </w:r>
      <w:r w:rsidR="002041BD" w:rsidRPr="002041BD">
        <w:rPr>
          <w:rFonts w:ascii="Times New Roman" w:hAnsi="Times New Roman" w:cs="Times New Roman"/>
        </w:rPr>
        <w:t xml:space="preserve">, vol. ahead-of-print, no. ahead-of-print, 8 June 2021. </w:t>
      </w:r>
    </w:p>
    <w:p w14:paraId="756229E9" w14:textId="77777777" w:rsidR="002041BD" w:rsidRDefault="002041BD" w:rsidP="004B5FF2">
      <w:pPr>
        <w:rPr>
          <w:rFonts w:ascii="Times New Roman" w:hAnsi="Times New Roman" w:cs="Times New Roman"/>
        </w:rPr>
      </w:pPr>
    </w:p>
    <w:p w14:paraId="72EC7E32" w14:textId="77777777" w:rsidR="0099503C" w:rsidRDefault="0099503C" w:rsidP="004B5FF2">
      <w:pPr>
        <w:rPr>
          <w:rFonts w:ascii="Times New Roman" w:hAnsi="Times New Roman" w:cs="Times New Roman"/>
        </w:rPr>
      </w:pPr>
    </w:p>
    <w:p w14:paraId="48ADC655" w14:textId="0FE2D616" w:rsidR="0099503C" w:rsidRDefault="00BB401E" w:rsidP="004B5FF2">
      <w:pPr>
        <w:rPr>
          <w:rFonts w:ascii="Times New Roman" w:hAnsi="Times New Roman" w:cs="Times New Roman"/>
        </w:rPr>
      </w:pPr>
      <w:r w:rsidRPr="00BB401E">
        <w:rPr>
          <w:rFonts w:ascii="Times New Roman" w:hAnsi="Times New Roman" w:cs="Times New Roman"/>
        </w:rPr>
        <w:t xml:space="preserve">U.S. BUREAU OF LABOR STATISTICS. “12-Month Percentage Change, Consumer Price Index, Selected Categories.” </w:t>
      </w:r>
      <w:r w:rsidRPr="000623CE">
        <w:rPr>
          <w:rFonts w:ascii="Times New Roman" w:hAnsi="Times New Roman" w:cs="Times New Roman"/>
          <w:i/>
          <w:iCs/>
        </w:rPr>
        <w:t>Bls.gov</w:t>
      </w:r>
      <w:r w:rsidRPr="00BB401E">
        <w:rPr>
          <w:rFonts w:ascii="Times New Roman" w:hAnsi="Times New Roman" w:cs="Times New Roman"/>
        </w:rPr>
        <w:t>, 2023, www.bls.gov/charts/consumer-price-index/consumer-price-index-by-category-line-chart.htm.</w:t>
      </w:r>
    </w:p>
    <w:p w14:paraId="39E70EF2" w14:textId="77777777" w:rsidR="0099503C" w:rsidRDefault="0099503C" w:rsidP="004B5FF2">
      <w:pPr>
        <w:rPr>
          <w:rFonts w:ascii="Times New Roman" w:hAnsi="Times New Roman" w:cs="Times New Roman"/>
        </w:rPr>
      </w:pPr>
    </w:p>
    <w:p w14:paraId="1A4E6B79" w14:textId="795A2AF9" w:rsidR="0099503C" w:rsidRDefault="00256D63" w:rsidP="004B5FF2">
      <w:pPr>
        <w:rPr>
          <w:rFonts w:ascii="Times New Roman" w:hAnsi="Times New Roman" w:cs="Times New Roman"/>
        </w:rPr>
      </w:pPr>
      <w:r w:rsidRPr="00256D63">
        <w:rPr>
          <w:rFonts w:ascii="Times New Roman" w:hAnsi="Times New Roman" w:cs="Times New Roman"/>
        </w:rPr>
        <w:t xml:space="preserve">Stock, James H., and Mark W. Watson. “New Indexes of Coincident and Leading Economic Indicators.” </w:t>
      </w:r>
      <w:r w:rsidRPr="00256D63">
        <w:rPr>
          <w:rFonts w:ascii="Times New Roman" w:hAnsi="Times New Roman" w:cs="Times New Roman"/>
          <w:i/>
          <w:iCs/>
        </w:rPr>
        <w:t>NBER Macroeconomics Annual</w:t>
      </w:r>
      <w:r w:rsidRPr="00256D63">
        <w:rPr>
          <w:rFonts w:ascii="Times New Roman" w:hAnsi="Times New Roman" w:cs="Times New Roman"/>
        </w:rPr>
        <w:t xml:space="preserve">, vol. 4, Jan. 1989, pp. 351–394, </w:t>
      </w:r>
    </w:p>
    <w:p w14:paraId="0A53AC1E" w14:textId="77777777" w:rsidR="00897A30" w:rsidRPr="0070170D" w:rsidRDefault="00897A30" w:rsidP="004B5FF2">
      <w:pPr>
        <w:rPr>
          <w:rFonts w:ascii="Times New Roman" w:hAnsi="Times New Roman" w:cs="Times New Roman"/>
        </w:rPr>
      </w:pPr>
    </w:p>
    <w:sectPr w:rsidR="00897A30" w:rsidRPr="0070170D">
      <w:footerReference w:type="default" r:id="rId2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Lu Zhenyi" w:date="2023-10-24T21:19:00Z" w:initials="LZ">
    <w:p w14:paraId="1FDBC273" w14:textId="77777777" w:rsidR="00776C08" w:rsidRDefault="00776C08" w:rsidP="00776C08">
      <w:pPr>
        <w:jc w:val="left"/>
      </w:pPr>
      <w:r>
        <w:rPr>
          <w:rStyle w:val="CommentReference"/>
        </w:rPr>
        <w:annotationRef/>
      </w:r>
      <w:r>
        <w:rPr>
          <w:color w:val="000000"/>
          <w:sz w:val="20"/>
          <w:szCs w:val="20"/>
        </w:rPr>
        <w:t xml:space="preserve">Monetary policy: What are its goals? how does it work?. Federal Reserve Board - Monetary Policy: What Are Its Goals? How Does It Work? (n.d.). </w:t>
      </w:r>
      <w:hyperlink r:id="rId1" w:history="1">
        <w:r w:rsidRPr="005D760F">
          <w:rPr>
            <w:rStyle w:val="Hyperlink"/>
            <w:sz w:val="20"/>
            <w:szCs w:val="20"/>
          </w:rPr>
          <w:t>https://www.federalreserve.gov/monetarypolicy/monetary-policy-what-are-its-goals-how-does-it-work.htm</w:t>
        </w:r>
      </w:hyperlink>
      <w:r>
        <w:rPr>
          <w:color w:val="000000"/>
          <w:sz w:val="20"/>
          <w:szCs w:val="20"/>
        </w:rPr>
        <w:t xml:space="preserve"> </w:t>
      </w:r>
    </w:p>
  </w:comment>
  <w:comment w:id="6" w:author="Lu Zhenyi" w:date="2023-10-24T21:19:00Z" w:initials="LZ">
    <w:p w14:paraId="495F135B" w14:textId="77777777" w:rsidR="00C553DB" w:rsidRDefault="00C553DB" w:rsidP="00C553DB">
      <w:pPr>
        <w:jc w:val="left"/>
      </w:pPr>
      <w:r>
        <w:rPr>
          <w:rStyle w:val="CommentReference"/>
        </w:rPr>
        <w:annotationRef/>
      </w:r>
      <w:r>
        <w:rPr>
          <w:color w:val="000000"/>
          <w:sz w:val="20"/>
          <w:szCs w:val="20"/>
        </w:rPr>
        <w:t>How does the Federal Reserve Affect Inflation and employment?. Board of Governors of the Federal Reserve System. (n.d.). https://www.federalreserve.gov/faqs/money_12856.htm</w:t>
      </w:r>
    </w:p>
    <w:p w14:paraId="5F7667A5" w14:textId="77777777" w:rsidR="00C553DB" w:rsidRDefault="00C553DB" w:rsidP="00C553DB">
      <w:pPr>
        <w:jc w:val="left"/>
      </w:pPr>
    </w:p>
  </w:comment>
  <w:comment w:id="8" w:author="Lu Zhenyi" w:date="2023-10-24T21:19:00Z" w:initials="LZ">
    <w:p w14:paraId="44894E6C" w14:textId="77777777" w:rsidR="00776C08" w:rsidRDefault="00776C08" w:rsidP="00776C08">
      <w:pPr>
        <w:jc w:val="left"/>
      </w:pPr>
      <w:r>
        <w:rPr>
          <w:rStyle w:val="CommentReference"/>
        </w:rPr>
        <w:annotationRef/>
      </w:r>
      <w:r>
        <w:rPr>
          <w:color w:val="000000"/>
          <w:sz w:val="20"/>
          <w:szCs w:val="20"/>
        </w:rPr>
        <w:t>Rich, R. (n.d.). The great recession. Federal Reserve History. https://www.federalreservehistory.org/essays/great-recession-of-200709</w:t>
      </w:r>
    </w:p>
    <w:p w14:paraId="62924C44" w14:textId="77777777" w:rsidR="00776C08" w:rsidRDefault="00776C08" w:rsidP="00776C08">
      <w:pPr>
        <w:jc w:val="left"/>
      </w:pPr>
    </w:p>
  </w:comment>
  <w:comment w:id="10" w:author="Lu Zhenyi" w:date="2023-10-24T21:20:00Z" w:initials="LZ">
    <w:p w14:paraId="2184AE0A" w14:textId="77777777" w:rsidR="00776C08" w:rsidRDefault="00776C08" w:rsidP="00776C08">
      <w:pPr>
        <w:jc w:val="left"/>
      </w:pPr>
      <w:r>
        <w:rPr>
          <w:rStyle w:val="CommentReference"/>
        </w:rPr>
        <w:annotationRef/>
      </w:r>
      <w:r>
        <w:rPr>
          <w:color w:val="000000"/>
          <w:sz w:val="20"/>
          <w:szCs w:val="20"/>
        </w:rPr>
        <w:t xml:space="preserve">Current and past monetary policy announcements can be accessed at http://www.federalreserve.gov/monetarypolicy/fomccalendars.htm. </w:t>
      </w:r>
    </w:p>
  </w:comment>
  <w:comment w:id="11" w:author="Lu Zhenyi" w:date="2023-10-24T21:20:00Z" w:initials="LZ">
    <w:p w14:paraId="7A15673B" w14:textId="77777777" w:rsidR="00776C08" w:rsidRDefault="00776C08" w:rsidP="00776C08">
      <w:pPr>
        <w:jc w:val="left"/>
      </w:pPr>
      <w:r>
        <w:rPr>
          <w:rStyle w:val="CommentReference"/>
        </w:rPr>
        <w:annotationRef/>
      </w:r>
      <w:r>
        <w:rPr>
          <w:color w:val="000000"/>
          <w:sz w:val="20"/>
          <w:szCs w:val="20"/>
        </w:rPr>
        <w:t>Taylor, John B. "Discretion versus Policy Rules in Practice." Carnegie-Rochester Conference Series on Public Policy, vol. 39, no. 1, 1993, pp. 195-214.</w:t>
      </w:r>
    </w:p>
    <w:p w14:paraId="22264C14" w14:textId="77777777" w:rsidR="00776C08" w:rsidRDefault="00776C08" w:rsidP="00776C08">
      <w:pPr>
        <w:jc w:val="left"/>
      </w:pPr>
      <w:r>
        <w:rPr>
          <w:color w:val="000000"/>
          <w:sz w:val="20"/>
          <w:szCs w:val="20"/>
        </w:rPr>
        <w:t> </w:t>
      </w:r>
    </w:p>
    <w:p w14:paraId="324168AB" w14:textId="77777777" w:rsidR="00776C08" w:rsidRDefault="00776C08" w:rsidP="00776C08">
      <w:pPr>
        <w:jc w:val="left"/>
      </w:pPr>
    </w:p>
  </w:comment>
  <w:comment w:id="12" w:author="Lu Zhenyi" w:date="2023-10-24T21:21:00Z" w:initials="LZ">
    <w:p w14:paraId="125933F4" w14:textId="77777777" w:rsidR="00776C08" w:rsidRDefault="00776C08" w:rsidP="00776C08">
      <w:pPr>
        <w:jc w:val="left"/>
      </w:pPr>
      <w:r>
        <w:rPr>
          <w:rStyle w:val="CommentReference"/>
        </w:rPr>
        <w:annotationRef/>
      </w:r>
      <w:r>
        <w:rPr>
          <w:color w:val="000000"/>
          <w:sz w:val="20"/>
          <w:szCs w:val="20"/>
        </w:rPr>
        <w:t>BernankeB.WhyAreInterestRatesSoLow.https://www.brookings.edu/blog/ben-bernanke/2015/03/30/why-are-interest-rates-so-low/,2015.</w:t>
      </w:r>
    </w:p>
    <w:p w14:paraId="032AC43A" w14:textId="77777777" w:rsidR="00776C08" w:rsidRDefault="00776C08" w:rsidP="00776C08">
      <w:pPr>
        <w:jc w:val="left"/>
      </w:pPr>
    </w:p>
    <w:p w14:paraId="1AB69B79" w14:textId="77777777" w:rsidR="00776C08" w:rsidRDefault="00776C08" w:rsidP="00776C08">
      <w:pPr>
        <w:jc w:val="left"/>
      </w:pPr>
    </w:p>
    <w:p w14:paraId="6A771F7D" w14:textId="77777777" w:rsidR="00776C08" w:rsidRDefault="00776C08" w:rsidP="00776C08">
      <w:pPr>
        <w:jc w:val="left"/>
      </w:pPr>
    </w:p>
  </w:comment>
  <w:comment w:id="13" w:author="u3577161@connect.hku.hk" w:date="2023-10-28T15:38:00Z" w:initials="u">
    <w:p w14:paraId="2DC1A681" w14:textId="10615629" w:rsidR="0026324F" w:rsidRDefault="0026324F" w:rsidP="0026324F">
      <w:pPr>
        <w:pStyle w:val="NormalWeb"/>
        <w:spacing w:before="0" w:beforeAutospacing="0" w:after="0" w:afterAutospacing="0" w:line="480" w:lineRule="auto"/>
        <w:ind w:hanging="720"/>
      </w:pPr>
      <w:r>
        <w:rPr>
          <w:rStyle w:val="CommentReference"/>
        </w:rPr>
        <w:annotationRef/>
      </w:r>
      <w:r>
        <w:t xml:space="preserve">Antti Ilmanen, and Salomon Brothers. </w:t>
      </w:r>
      <w:r>
        <w:rPr>
          <w:i/>
          <w:iCs/>
        </w:rPr>
        <w:t>Overview of Forward Rate Analysis</w:t>
      </w:r>
      <w:r>
        <w:t>. 1995.</w:t>
      </w:r>
    </w:p>
  </w:comment>
  <w:comment w:id="14" w:author="u3577161@connect.hku.hk" w:date="2023-10-28T15:49:00Z" w:initials="u">
    <w:p w14:paraId="7FC6911D" w14:textId="0ACBFD60" w:rsidR="003A124E" w:rsidRPr="00033817" w:rsidRDefault="003A124E">
      <w:pPr>
        <w:pStyle w:val="CommentText"/>
        <w:rPr>
          <w:rFonts w:ascii="Times New Roman" w:hAnsi="Times New Roman" w:cs="Times New Roman"/>
        </w:rPr>
      </w:pPr>
      <w:r>
        <w:rPr>
          <w:rStyle w:val="CommentReference"/>
        </w:rPr>
        <w:annotationRef/>
      </w:r>
      <w:r w:rsidRPr="00033817">
        <w:rPr>
          <w:rFonts w:ascii="Times New Roman" w:hAnsi="Times New Roman" w:cs="Times New Roman"/>
        </w:rPr>
        <w:t xml:space="preserve">Afonso, António, and Manuel M.F. Martins. “Level, Slope, Curvature of the Sovereign Yield Curve, and Fiscal Behaviour.” </w:t>
      </w:r>
      <w:r w:rsidRPr="00033817">
        <w:rPr>
          <w:rFonts w:ascii="Times New Roman" w:hAnsi="Times New Roman" w:cs="Times New Roman"/>
          <w:i/>
          <w:iCs/>
        </w:rPr>
        <w:t>Journal of Banking &amp; Finance</w:t>
      </w:r>
      <w:r w:rsidRPr="00033817">
        <w:rPr>
          <w:rFonts w:ascii="Times New Roman" w:hAnsi="Times New Roman" w:cs="Times New Roman"/>
        </w:rPr>
        <w:t>, vol. 36, no. 6, June 2012, pp. 1789–1807, https://doi.org/10.1016/j.jbankfin.2012.02.004. Accessed 16 Nov. 2021.</w:t>
      </w:r>
    </w:p>
  </w:comment>
  <w:comment w:id="15" w:author="u3577161@connect.hku.hk" w:date="2023-10-28T15:51:00Z" w:initials="u">
    <w:p w14:paraId="5C37A740" w14:textId="0DEAF88C" w:rsidR="00F96235" w:rsidRDefault="00F96235" w:rsidP="00F96235">
      <w:pPr>
        <w:pStyle w:val="NormalWeb"/>
        <w:spacing w:before="0" w:beforeAutospacing="0" w:after="0" w:afterAutospacing="0" w:line="480" w:lineRule="auto"/>
        <w:ind w:hanging="720"/>
      </w:pPr>
      <w:r>
        <w:rPr>
          <w:rStyle w:val="CommentReference"/>
        </w:rPr>
        <w:annotationRef/>
      </w:r>
      <w:r>
        <w:t xml:space="preserve">Nelson, Charles R., and Andrew F. Siegel. “Parsimonious Modeling of Yield Curves.” </w:t>
      </w:r>
      <w:r>
        <w:rPr>
          <w:i/>
          <w:iCs/>
        </w:rPr>
        <w:t>The Journal of Business</w:t>
      </w:r>
      <w:r>
        <w:t>, vol. 60, no. 4, 1987, pp. 473–489, www.jstor.org/stable/2352957?casa_token=krVFX1t-6TEAAAAA%3A267S74RHApMMJZGzdOi10uZsFtS8gUfdOp4EOCup3EwX0zwuf1pq10fy_TwNZOrNT80u3IxF2IY7PKMeU4w5KEjG03-GVeNFLG3aGfK_ERaqDEtkq3X0Yw. Accessed 28 Oct. 2023.</w:t>
      </w:r>
    </w:p>
    <w:p w14:paraId="5A11F8E7" w14:textId="506C0CE6" w:rsidR="00F96235" w:rsidRDefault="00F96235" w:rsidP="00F96235">
      <w:pPr>
        <w:pStyle w:val="NormalWeb"/>
        <w:spacing w:before="0" w:beforeAutospacing="0" w:after="0" w:afterAutospacing="0" w:line="480" w:lineRule="auto"/>
        <w:ind w:hanging="720"/>
      </w:pPr>
      <w:r>
        <w:t xml:space="preserve">Diebold, Francis X., and Canlin Li. “Forecasting the Term Structure of Government Bond Yields.” </w:t>
      </w:r>
      <w:r>
        <w:rPr>
          <w:i/>
          <w:iCs/>
        </w:rPr>
        <w:t>Journal of Econometrics</w:t>
      </w:r>
      <w:r>
        <w:t>, vol. 130, no. 2, Feb. 2006, pp. 337–364, https://doi.org/10.1016/j.jeconom.2005.03.005. Accessed 28 Mar. 2019.</w:t>
      </w:r>
    </w:p>
  </w:comment>
  <w:comment w:id="16" w:author="u3577161@connect.hku.hk" w:date="2023-10-28T15:58:00Z" w:initials="u">
    <w:p w14:paraId="084C9376" w14:textId="777EE3CE" w:rsidR="00D847B9" w:rsidRDefault="00D847B9" w:rsidP="00D847B9">
      <w:pPr>
        <w:pStyle w:val="NormalWeb"/>
        <w:spacing w:before="0" w:beforeAutospacing="0" w:after="0" w:afterAutospacing="0" w:line="480" w:lineRule="auto"/>
        <w:ind w:hanging="720"/>
      </w:pPr>
      <w:r>
        <w:rPr>
          <w:rStyle w:val="CommentReference"/>
        </w:rPr>
        <w:annotationRef/>
      </w:r>
      <w:r>
        <w:t xml:space="preserve">Barber, Joel R., and Mark L. Copper. “Principal Component Analysis of Yield Curve Movements.” </w:t>
      </w:r>
      <w:r>
        <w:rPr>
          <w:i/>
          <w:iCs/>
        </w:rPr>
        <w:t>Journal of Economics and Finance</w:t>
      </w:r>
      <w:r>
        <w:t>, vol. 36, no. 3, 11 Aug. 2010, pp. 750–765, https://doi.org/10.1007/s12197-010-9142-y. Accessed 5 Feb. 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DBC273" w15:done="0"/>
  <w15:commentEx w15:paraId="5F7667A5" w15:done="0"/>
  <w15:commentEx w15:paraId="62924C44" w15:done="0"/>
  <w15:commentEx w15:paraId="2184AE0A" w15:done="0"/>
  <w15:commentEx w15:paraId="324168AB" w15:done="0"/>
  <w15:commentEx w15:paraId="6A771F7D" w15:done="0"/>
  <w15:commentEx w15:paraId="2DC1A681" w15:done="0"/>
  <w15:commentEx w15:paraId="7FC6911D" w15:done="0"/>
  <w15:commentEx w15:paraId="5A11F8E7" w15:done="0"/>
  <w15:commentEx w15:paraId="084C93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E2B35B" w16cex:dateUtc="2023-10-24T13:19:00Z"/>
  <w16cex:commentExtensible w16cex:durableId="13B91A15" w16cex:dateUtc="2023-10-24T13:19:00Z"/>
  <w16cex:commentExtensible w16cex:durableId="28E2B37A" w16cex:dateUtc="2023-10-24T13:19:00Z"/>
  <w16cex:commentExtensible w16cex:durableId="28E2B392" w16cex:dateUtc="2023-10-24T13:20:00Z"/>
  <w16cex:commentExtensible w16cex:durableId="28E2B3AA" w16cex:dateUtc="2023-10-24T13:20:00Z"/>
  <w16cex:commentExtensible w16cex:durableId="28E2B3BE" w16cex:dateUtc="2023-10-24T13:21:00Z"/>
  <w16cex:commentExtensible w16cex:durableId="1D03721E" w16cex:dateUtc="2023-10-28T07:38:00Z"/>
  <w16cex:commentExtensible w16cex:durableId="32E19B12" w16cex:dateUtc="2023-10-28T07:49:00Z"/>
  <w16cex:commentExtensible w16cex:durableId="5D839F1A" w16cex:dateUtc="2023-10-28T07:51:00Z"/>
  <w16cex:commentExtensible w16cex:durableId="6525CBF8" w16cex:dateUtc="2023-10-28T0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DBC273" w16cid:durableId="28E2B35B"/>
  <w16cid:commentId w16cid:paraId="5F7667A5" w16cid:durableId="13B91A15"/>
  <w16cid:commentId w16cid:paraId="62924C44" w16cid:durableId="28E2B37A"/>
  <w16cid:commentId w16cid:paraId="2184AE0A" w16cid:durableId="28E2B392"/>
  <w16cid:commentId w16cid:paraId="324168AB" w16cid:durableId="28E2B3AA"/>
  <w16cid:commentId w16cid:paraId="6A771F7D" w16cid:durableId="28E2B3BE"/>
  <w16cid:commentId w16cid:paraId="2DC1A681" w16cid:durableId="1D03721E"/>
  <w16cid:commentId w16cid:paraId="7FC6911D" w16cid:durableId="32E19B12"/>
  <w16cid:commentId w16cid:paraId="5A11F8E7" w16cid:durableId="5D839F1A"/>
  <w16cid:commentId w16cid:paraId="084C9376" w16cid:durableId="6525CB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14035" w14:textId="77777777" w:rsidR="00EE770C" w:rsidRDefault="00EE770C" w:rsidP="003075CB">
      <w:r>
        <w:separator/>
      </w:r>
    </w:p>
  </w:endnote>
  <w:endnote w:type="continuationSeparator" w:id="0">
    <w:p w14:paraId="3A93B822" w14:textId="77777777" w:rsidR="00EE770C" w:rsidRDefault="00EE770C" w:rsidP="0030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565848"/>
      <w:docPartObj>
        <w:docPartGallery w:val="Page Numbers (Bottom of Page)"/>
        <w:docPartUnique/>
      </w:docPartObj>
    </w:sdtPr>
    <w:sdtEndPr>
      <w:rPr>
        <w:noProof/>
      </w:rPr>
    </w:sdtEndPr>
    <w:sdtContent>
      <w:p w14:paraId="00E0EBF6" w14:textId="639E85A0" w:rsidR="00903B40" w:rsidRDefault="00903B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8D7C2" w14:textId="77777777" w:rsidR="00903B40" w:rsidRDefault="00903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736B7" w14:textId="77777777" w:rsidR="00EE770C" w:rsidRDefault="00EE770C" w:rsidP="003075CB">
      <w:r>
        <w:separator/>
      </w:r>
    </w:p>
  </w:footnote>
  <w:footnote w:type="continuationSeparator" w:id="0">
    <w:p w14:paraId="06E6C71D" w14:textId="77777777" w:rsidR="00EE770C" w:rsidRDefault="00EE770C" w:rsidP="00307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255"/>
    <w:multiLevelType w:val="hybridMultilevel"/>
    <w:tmpl w:val="60A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14A1A"/>
    <w:multiLevelType w:val="hybridMultilevel"/>
    <w:tmpl w:val="299CC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9E7742"/>
    <w:multiLevelType w:val="hybridMultilevel"/>
    <w:tmpl w:val="CE96FBF6"/>
    <w:lvl w:ilvl="0" w:tplc="1D44FAEC">
      <w:start w:val="2"/>
      <w:numFmt w:val="lowerLetter"/>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C17DE"/>
    <w:multiLevelType w:val="hybridMultilevel"/>
    <w:tmpl w:val="8D3249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896240"/>
    <w:multiLevelType w:val="hybridMultilevel"/>
    <w:tmpl w:val="FE7E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956A6"/>
    <w:multiLevelType w:val="hybridMultilevel"/>
    <w:tmpl w:val="4410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08429D"/>
    <w:multiLevelType w:val="hybridMultilevel"/>
    <w:tmpl w:val="F128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24831"/>
    <w:multiLevelType w:val="hybridMultilevel"/>
    <w:tmpl w:val="F250A3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0535988">
    <w:abstractNumId w:val="4"/>
  </w:num>
  <w:num w:numId="2" w16cid:durableId="1052117842">
    <w:abstractNumId w:val="6"/>
  </w:num>
  <w:num w:numId="3" w16cid:durableId="1116025425">
    <w:abstractNumId w:val="7"/>
  </w:num>
  <w:num w:numId="4" w16cid:durableId="2060934440">
    <w:abstractNumId w:val="5"/>
  </w:num>
  <w:num w:numId="5" w16cid:durableId="1221945434">
    <w:abstractNumId w:val="1"/>
  </w:num>
  <w:num w:numId="6" w16cid:durableId="1062872033">
    <w:abstractNumId w:val="0"/>
  </w:num>
  <w:num w:numId="7" w16cid:durableId="1896625576">
    <w:abstractNumId w:val="3"/>
  </w:num>
  <w:num w:numId="8" w16cid:durableId="15856013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 Zhenyi">
    <w15:presenceInfo w15:providerId="AD" w15:userId="S::u3574578@connect.hku.hk::45ccb7cd-6aff-40ef-99e3-e4164d03fcc4"/>
  </w15:person>
  <w15:person w15:author="u3577161@connect.hku.hk">
    <w15:presenceInfo w15:providerId="AD" w15:userId="S::u3577161@connect.hku.hk::80300bf6-90ed-4ff6-b0cc-68725a4b5a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87"/>
    <w:rsid w:val="000019BD"/>
    <w:rsid w:val="00006673"/>
    <w:rsid w:val="00017178"/>
    <w:rsid w:val="00021C6B"/>
    <w:rsid w:val="00033817"/>
    <w:rsid w:val="00043005"/>
    <w:rsid w:val="000623CE"/>
    <w:rsid w:val="000801BF"/>
    <w:rsid w:val="0009271A"/>
    <w:rsid w:val="00096D6A"/>
    <w:rsid w:val="000977B0"/>
    <w:rsid w:val="000A6B92"/>
    <w:rsid w:val="000C36A8"/>
    <w:rsid w:val="000D190D"/>
    <w:rsid w:val="000E22F3"/>
    <w:rsid w:val="001042EB"/>
    <w:rsid w:val="0010546A"/>
    <w:rsid w:val="0010724F"/>
    <w:rsid w:val="0011772B"/>
    <w:rsid w:val="00135C62"/>
    <w:rsid w:val="00140B7B"/>
    <w:rsid w:val="00144610"/>
    <w:rsid w:val="00155EA0"/>
    <w:rsid w:val="00156403"/>
    <w:rsid w:val="001603F9"/>
    <w:rsid w:val="00180D2D"/>
    <w:rsid w:val="001856E4"/>
    <w:rsid w:val="00193267"/>
    <w:rsid w:val="001A1F07"/>
    <w:rsid w:val="001A415C"/>
    <w:rsid w:val="001C55F7"/>
    <w:rsid w:val="001E6603"/>
    <w:rsid w:val="001F591C"/>
    <w:rsid w:val="001F7212"/>
    <w:rsid w:val="002041BD"/>
    <w:rsid w:val="002131F1"/>
    <w:rsid w:val="0024719A"/>
    <w:rsid w:val="00256D63"/>
    <w:rsid w:val="0026040D"/>
    <w:rsid w:val="0026324F"/>
    <w:rsid w:val="002734BF"/>
    <w:rsid w:val="00291D0C"/>
    <w:rsid w:val="002A216E"/>
    <w:rsid w:val="002B27EA"/>
    <w:rsid w:val="002B60BB"/>
    <w:rsid w:val="002C375D"/>
    <w:rsid w:val="002D505D"/>
    <w:rsid w:val="002D6CB0"/>
    <w:rsid w:val="002E676F"/>
    <w:rsid w:val="002F396B"/>
    <w:rsid w:val="003075CB"/>
    <w:rsid w:val="00314052"/>
    <w:rsid w:val="003512EA"/>
    <w:rsid w:val="00351F56"/>
    <w:rsid w:val="00353C8B"/>
    <w:rsid w:val="0036086A"/>
    <w:rsid w:val="00363AFA"/>
    <w:rsid w:val="003723AE"/>
    <w:rsid w:val="00375E1A"/>
    <w:rsid w:val="003A124E"/>
    <w:rsid w:val="003A2B85"/>
    <w:rsid w:val="003A5646"/>
    <w:rsid w:val="003D2CBC"/>
    <w:rsid w:val="00402BED"/>
    <w:rsid w:val="00403170"/>
    <w:rsid w:val="004103F9"/>
    <w:rsid w:val="004451D6"/>
    <w:rsid w:val="0045499B"/>
    <w:rsid w:val="004825BD"/>
    <w:rsid w:val="00485386"/>
    <w:rsid w:val="004856EE"/>
    <w:rsid w:val="0049410A"/>
    <w:rsid w:val="00494606"/>
    <w:rsid w:val="004A1470"/>
    <w:rsid w:val="004B5432"/>
    <w:rsid w:val="004B5FF2"/>
    <w:rsid w:val="004C3093"/>
    <w:rsid w:val="004E354D"/>
    <w:rsid w:val="004E44FB"/>
    <w:rsid w:val="004F4E41"/>
    <w:rsid w:val="00503ED3"/>
    <w:rsid w:val="005204DD"/>
    <w:rsid w:val="00522F43"/>
    <w:rsid w:val="0053201D"/>
    <w:rsid w:val="00541A52"/>
    <w:rsid w:val="00545C79"/>
    <w:rsid w:val="005521B0"/>
    <w:rsid w:val="00561FE7"/>
    <w:rsid w:val="00565721"/>
    <w:rsid w:val="00594B3C"/>
    <w:rsid w:val="005B3514"/>
    <w:rsid w:val="005B6A2D"/>
    <w:rsid w:val="005D1839"/>
    <w:rsid w:val="005E07B1"/>
    <w:rsid w:val="00604B28"/>
    <w:rsid w:val="0061051B"/>
    <w:rsid w:val="00611DC9"/>
    <w:rsid w:val="00617749"/>
    <w:rsid w:val="00625CBC"/>
    <w:rsid w:val="00630E05"/>
    <w:rsid w:val="006310CA"/>
    <w:rsid w:val="006440A2"/>
    <w:rsid w:val="00663A5D"/>
    <w:rsid w:val="006652C5"/>
    <w:rsid w:val="006654FF"/>
    <w:rsid w:val="00675796"/>
    <w:rsid w:val="00686B85"/>
    <w:rsid w:val="006D2D83"/>
    <w:rsid w:val="0070170D"/>
    <w:rsid w:val="0074222B"/>
    <w:rsid w:val="00751A7F"/>
    <w:rsid w:val="00755BFE"/>
    <w:rsid w:val="007633C0"/>
    <w:rsid w:val="007652CD"/>
    <w:rsid w:val="00775A57"/>
    <w:rsid w:val="00776C08"/>
    <w:rsid w:val="007A00A8"/>
    <w:rsid w:val="007B50C8"/>
    <w:rsid w:val="007C1C5E"/>
    <w:rsid w:val="007C3705"/>
    <w:rsid w:val="007F59B1"/>
    <w:rsid w:val="00815595"/>
    <w:rsid w:val="00834301"/>
    <w:rsid w:val="00837C1C"/>
    <w:rsid w:val="0084545D"/>
    <w:rsid w:val="0085394B"/>
    <w:rsid w:val="00856D88"/>
    <w:rsid w:val="00865EDA"/>
    <w:rsid w:val="0087720A"/>
    <w:rsid w:val="00884D96"/>
    <w:rsid w:val="008978FD"/>
    <w:rsid w:val="00897A30"/>
    <w:rsid w:val="008E3E72"/>
    <w:rsid w:val="008F3354"/>
    <w:rsid w:val="008F5D69"/>
    <w:rsid w:val="00900095"/>
    <w:rsid w:val="00903B40"/>
    <w:rsid w:val="00922B86"/>
    <w:rsid w:val="00931A10"/>
    <w:rsid w:val="00932B91"/>
    <w:rsid w:val="00934096"/>
    <w:rsid w:val="00934927"/>
    <w:rsid w:val="00961EEC"/>
    <w:rsid w:val="0096601C"/>
    <w:rsid w:val="00990FA5"/>
    <w:rsid w:val="00992E4E"/>
    <w:rsid w:val="009945CA"/>
    <w:rsid w:val="0099503C"/>
    <w:rsid w:val="009A12AD"/>
    <w:rsid w:val="009A32FE"/>
    <w:rsid w:val="009A3C72"/>
    <w:rsid w:val="009B3B3C"/>
    <w:rsid w:val="009C7BFD"/>
    <w:rsid w:val="009D1B12"/>
    <w:rsid w:val="009D264C"/>
    <w:rsid w:val="009D2A46"/>
    <w:rsid w:val="009D5939"/>
    <w:rsid w:val="009F0AEA"/>
    <w:rsid w:val="009F7FE4"/>
    <w:rsid w:val="00A04EFA"/>
    <w:rsid w:val="00A2020A"/>
    <w:rsid w:val="00A31D9D"/>
    <w:rsid w:val="00A54EAE"/>
    <w:rsid w:val="00A60EC4"/>
    <w:rsid w:val="00A7515D"/>
    <w:rsid w:val="00A75B8B"/>
    <w:rsid w:val="00A85E6E"/>
    <w:rsid w:val="00AA0E69"/>
    <w:rsid w:val="00AA2633"/>
    <w:rsid w:val="00AC119F"/>
    <w:rsid w:val="00AD0C89"/>
    <w:rsid w:val="00AE0466"/>
    <w:rsid w:val="00AE47D8"/>
    <w:rsid w:val="00AF2275"/>
    <w:rsid w:val="00B130AC"/>
    <w:rsid w:val="00B16D7A"/>
    <w:rsid w:val="00B20CF7"/>
    <w:rsid w:val="00B320B5"/>
    <w:rsid w:val="00B51ADA"/>
    <w:rsid w:val="00B5541F"/>
    <w:rsid w:val="00B64835"/>
    <w:rsid w:val="00B85876"/>
    <w:rsid w:val="00BB238C"/>
    <w:rsid w:val="00BB401E"/>
    <w:rsid w:val="00BC0F7E"/>
    <w:rsid w:val="00C2257E"/>
    <w:rsid w:val="00C22DEA"/>
    <w:rsid w:val="00C30BA5"/>
    <w:rsid w:val="00C36894"/>
    <w:rsid w:val="00C54D5B"/>
    <w:rsid w:val="00C553DB"/>
    <w:rsid w:val="00C640B4"/>
    <w:rsid w:val="00C8370B"/>
    <w:rsid w:val="00C90CCA"/>
    <w:rsid w:val="00CB5F1B"/>
    <w:rsid w:val="00CC0509"/>
    <w:rsid w:val="00CE4800"/>
    <w:rsid w:val="00CE79E8"/>
    <w:rsid w:val="00CF24EE"/>
    <w:rsid w:val="00CF3007"/>
    <w:rsid w:val="00D12E04"/>
    <w:rsid w:val="00D325CA"/>
    <w:rsid w:val="00D40E54"/>
    <w:rsid w:val="00D4409B"/>
    <w:rsid w:val="00D72BB2"/>
    <w:rsid w:val="00D74301"/>
    <w:rsid w:val="00D80C63"/>
    <w:rsid w:val="00D8176B"/>
    <w:rsid w:val="00D847B9"/>
    <w:rsid w:val="00DA1B00"/>
    <w:rsid w:val="00DA54C8"/>
    <w:rsid w:val="00DB687B"/>
    <w:rsid w:val="00DD2A87"/>
    <w:rsid w:val="00DE30DA"/>
    <w:rsid w:val="00E03F85"/>
    <w:rsid w:val="00E068B7"/>
    <w:rsid w:val="00E12376"/>
    <w:rsid w:val="00E34121"/>
    <w:rsid w:val="00E360EB"/>
    <w:rsid w:val="00E50278"/>
    <w:rsid w:val="00E708FF"/>
    <w:rsid w:val="00E709C4"/>
    <w:rsid w:val="00E97185"/>
    <w:rsid w:val="00EA22C9"/>
    <w:rsid w:val="00EB4326"/>
    <w:rsid w:val="00ED29B7"/>
    <w:rsid w:val="00ED2FB6"/>
    <w:rsid w:val="00ED5AD0"/>
    <w:rsid w:val="00EE770C"/>
    <w:rsid w:val="00F1593D"/>
    <w:rsid w:val="00F336C0"/>
    <w:rsid w:val="00F33B43"/>
    <w:rsid w:val="00F500F5"/>
    <w:rsid w:val="00F520DA"/>
    <w:rsid w:val="00F7394E"/>
    <w:rsid w:val="00F77D6A"/>
    <w:rsid w:val="00F83961"/>
    <w:rsid w:val="00F83C58"/>
    <w:rsid w:val="00F84C09"/>
    <w:rsid w:val="00F93F6A"/>
    <w:rsid w:val="00F96235"/>
    <w:rsid w:val="00FA1853"/>
    <w:rsid w:val="00FC0257"/>
    <w:rsid w:val="00FC599A"/>
    <w:rsid w:val="00FF0083"/>
    <w:rsid w:val="00FF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2771C"/>
  <w15:chartTrackingRefBased/>
  <w15:docId w15:val="{4333DE04-342C-4C57-ACB7-1F5583A9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3D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58"/>
    <w:pPr>
      <w:ind w:left="720"/>
      <w:contextualSpacing/>
    </w:pPr>
  </w:style>
  <w:style w:type="character" w:styleId="CommentReference">
    <w:name w:val="annotation reference"/>
    <w:basedOn w:val="DefaultParagraphFont"/>
    <w:uiPriority w:val="99"/>
    <w:semiHidden/>
    <w:unhideWhenUsed/>
    <w:rsid w:val="000D190D"/>
    <w:rPr>
      <w:sz w:val="16"/>
      <w:szCs w:val="16"/>
    </w:rPr>
  </w:style>
  <w:style w:type="paragraph" w:styleId="CommentText">
    <w:name w:val="annotation text"/>
    <w:basedOn w:val="Normal"/>
    <w:link w:val="CommentTextChar"/>
    <w:uiPriority w:val="99"/>
    <w:semiHidden/>
    <w:unhideWhenUsed/>
    <w:rsid w:val="000D190D"/>
    <w:rPr>
      <w:sz w:val="20"/>
      <w:szCs w:val="20"/>
    </w:rPr>
  </w:style>
  <w:style w:type="character" w:customStyle="1" w:styleId="CommentTextChar">
    <w:name w:val="Comment Text Char"/>
    <w:basedOn w:val="DefaultParagraphFont"/>
    <w:link w:val="CommentText"/>
    <w:uiPriority w:val="99"/>
    <w:semiHidden/>
    <w:rsid w:val="000D190D"/>
    <w:rPr>
      <w:sz w:val="20"/>
      <w:szCs w:val="20"/>
    </w:rPr>
  </w:style>
  <w:style w:type="paragraph" w:styleId="CommentSubject">
    <w:name w:val="annotation subject"/>
    <w:basedOn w:val="CommentText"/>
    <w:next w:val="CommentText"/>
    <w:link w:val="CommentSubjectChar"/>
    <w:uiPriority w:val="99"/>
    <w:semiHidden/>
    <w:unhideWhenUsed/>
    <w:rsid w:val="000D190D"/>
    <w:rPr>
      <w:b/>
      <w:bCs/>
    </w:rPr>
  </w:style>
  <w:style w:type="character" w:customStyle="1" w:styleId="CommentSubjectChar">
    <w:name w:val="Comment Subject Char"/>
    <w:basedOn w:val="CommentTextChar"/>
    <w:link w:val="CommentSubject"/>
    <w:uiPriority w:val="99"/>
    <w:semiHidden/>
    <w:rsid w:val="000D190D"/>
    <w:rPr>
      <w:b/>
      <w:bCs/>
      <w:sz w:val="20"/>
      <w:szCs w:val="20"/>
    </w:rPr>
  </w:style>
  <w:style w:type="character" w:styleId="Hyperlink">
    <w:name w:val="Hyperlink"/>
    <w:basedOn w:val="DefaultParagraphFont"/>
    <w:uiPriority w:val="99"/>
    <w:unhideWhenUsed/>
    <w:rsid w:val="001F7212"/>
    <w:rPr>
      <w:color w:val="0563C1" w:themeColor="hyperlink"/>
      <w:u w:val="single"/>
    </w:rPr>
  </w:style>
  <w:style w:type="character" w:styleId="UnresolvedMention">
    <w:name w:val="Unresolved Mention"/>
    <w:basedOn w:val="DefaultParagraphFont"/>
    <w:uiPriority w:val="99"/>
    <w:semiHidden/>
    <w:unhideWhenUsed/>
    <w:rsid w:val="001F7212"/>
    <w:rPr>
      <w:color w:val="605E5C"/>
      <w:shd w:val="clear" w:color="auto" w:fill="E1DFDD"/>
    </w:rPr>
  </w:style>
  <w:style w:type="character" w:styleId="PlaceholderText">
    <w:name w:val="Placeholder Text"/>
    <w:basedOn w:val="DefaultParagraphFont"/>
    <w:uiPriority w:val="99"/>
    <w:semiHidden/>
    <w:rsid w:val="00193267"/>
    <w:rPr>
      <w:color w:val="808080"/>
    </w:rPr>
  </w:style>
  <w:style w:type="table" w:styleId="TableGrid">
    <w:name w:val="Table Grid"/>
    <w:basedOn w:val="TableNormal"/>
    <w:uiPriority w:val="39"/>
    <w:rsid w:val="007C3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238C"/>
    <w:pPr>
      <w:spacing w:after="200"/>
    </w:pPr>
    <w:rPr>
      <w:i/>
      <w:iCs/>
      <w:color w:val="44546A" w:themeColor="text2"/>
      <w:sz w:val="18"/>
      <w:szCs w:val="18"/>
    </w:rPr>
  </w:style>
  <w:style w:type="paragraph" w:styleId="Header">
    <w:name w:val="header"/>
    <w:basedOn w:val="Normal"/>
    <w:link w:val="HeaderChar"/>
    <w:uiPriority w:val="99"/>
    <w:unhideWhenUsed/>
    <w:rsid w:val="003075CB"/>
    <w:pPr>
      <w:tabs>
        <w:tab w:val="center" w:pos="4320"/>
        <w:tab w:val="right" w:pos="8640"/>
      </w:tabs>
    </w:pPr>
  </w:style>
  <w:style w:type="character" w:customStyle="1" w:styleId="HeaderChar">
    <w:name w:val="Header Char"/>
    <w:basedOn w:val="DefaultParagraphFont"/>
    <w:link w:val="Header"/>
    <w:uiPriority w:val="99"/>
    <w:rsid w:val="003075CB"/>
  </w:style>
  <w:style w:type="paragraph" w:styleId="Footer">
    <w:name w:val="footer"/>
    <w:basedOn w:val="Normal"/>
    <w:link w:val="FooterChar"/>
    <w:uiPriority w:val="99"/>
    <w:unhideWhenUsed/>
    <w:rsid w:val="003075CB"/>
    <w:pPr>
      <w:tabs>
        <w:tab w:val="center" w:pos="4320"/>
        <w:tab w:val="right" w:pos="8640"/>
      </w:tabs>
    </w:pPr>
  </w:style>
  <w:style w:type="character" w:customStyle="1" w:styleId="FooterChar">
    <w:name w:val="Footer Char"/>
    <w:basedOn w:val="DefaultParagraphFont"/>
    <w:link w:val="Footer"/>
    <w:uiPriority w:val="99"/>
    <w:rsid w:val="003075CB"/>
  </w:style>
  <w:style w:type="paragraph" w:styleId="NormalWeb">
    <w:name w:val="Normal (Web)"/>
    <w:basedOn w:val="Normal"/>
    <w:uiPriority w:val="99"/>
    <w:unhideWhenUsed/>
    <w:rsid w:val="0026324F"/>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436">
      <w:bodyDiv w:val="1"/>
      <w:marLeft w:val="0"/>
      <w:marRight w:val="0"/>
      <w:marTop w:val="0"/>
      <w:marBottom w:val="0"/>
      <w:divBdr>
        <w:top w:val="none" w:sz="0" w:space="0" w:color="auto"/>
        <w:left w:val="none" w:sz="0" w:space="0" w:color="auto"/>
        <w:bottom w:val="none" w:sz="0" w:space="0" w:color="auto"/>
        <w:right w:val="none" w:sz="0" w:space="0" w:color="auto"/>
      </w:divBdr>
      <w:divsChild>
        <w:div w:id="1619945166">
          <w:marLeft w:val="0"/>
          <w:marRight w:val="0"/>
          <w:marTop w:val="0"/>
          <w:marBottom w:val="0"/>
          <w:divBdr>
            <w:top w:val="none" w:sz="0" w:space="0" w:color="auto"/>
            <w:left w:val="none" w:sz="0" w:space="0" w:color="auto"/>
            <w:bottom w:val="none" w:sz="0" w:space="0" w:color="auto"/>
            <w:right w:val="none" w:sz="0" w:space="0" w:color="auto"/>
          </w:divBdr>
        </w:div>
      </w:divsChild>
    </w:div>
    <w:div w:id="122044666">
      <w:bodyDiv w:val="1"/>
      <w:marLeft w:val="0"/>
      <w:marRight w:val="0"/>
      <w:marTop w:val="0"/>
      <w:marBottom w:val="0"/>
      <w:divBdr>
        <w:top w:val="none" w:sz="0" w:space="0" w:color="auto"/>
        <w:left w:val="none" w:sz="0" w:space="0" w:color="auto"/>
        <w:bottom w:val="none" w:sz="0" w:space="0" w:color="auto"/>
        <w:right w:val="none" w:sz="0" w:space="0" w:color="auto"/>
      </w:divBdr>
      <w:divsChild>
        <w:div w:id="1376929327">
          <w:marLeft w:val="0"/>
          <w:marRight w:val="0"/>
          <w:marTop w:val="0"/>
          <w:marBottom w:val="0"/>
          <w:divBdr>
            <w:top w:val="none" w:sz="0" w:space="0" w:color="auto"/>
            <w:left w:val="none" w:sz="0" w:space="0" w:color="auto"/>
            <w:bottom w:val="none" w:sz="0" w:space="0" w:color="auto"/>
            <w:right w:val="none" w:sz="0" w:space="0" w:color="auto"/>
          </w:divBdr>
        </w:div>
      </w:divsChild>
    </w:div>
    <w:div w:id="175274868">
      <w:bodyDiv w:val="1"/>
      <w:marLeft w:val="0"/>
      <w:marRight w:val="0"/>
      <w:marTop w:val="0"/>
      <w:marBottom w:val="0"/>
      <w:divBdr>
        <w:top w:val="none" w:sz="0" w:space="0" w:color="auto"/>
        <w:left w:val="none" w:sz="0" w:space="0" w:color="auto"/>
        <w:bottom w:val="none" w:sz="0" w:space="0" w:color="auto"/>
        <w:right w:val="none" w:sz="0" w:space="0" w:color="auto"/>
      </w:divBdr>
      <w:divsChild>
        <w:div w:id="1089279828">
          <w:marLeft w:val="0"/>
          <w:marRight w:val="0"/>
          <w:marTop w:val="0"/>
          <w:marBottom w:val="0"/>
          <w:divBdr>
            <w:top w:val="none" w:sz="0" w:space="0" w:color="auto"/>
            <w:left w:val="none" w:sz="0" w:space="0" w:color="auto"/>
            <w:bottom w:val="none" w:sz="0" w:space="0" w:color="auto"/>
            <w:right w:val="none" w:sz="0" w:space="0" w:color="auto"/>
          </w:divBdr>
        </w:div>
      </w:divsChild>
    </w:div>
    <w:div w:id="466119885">
      <w:bodyDiv w:val="1"/>
      <w:marLeft w:val="0"/>
      <w:marRight w:val="0"/>
      <w:marTop w:val="0"/>
      <w:marBottom w:val="0"/>
      <w:divBdr>
        <w:top w:val="none" w:sz="0" w:space="0" w:color="auto"/>
        <w:left w:val="none" w:sz="0" w:space="0" w:color="auto"/>
        <w:bottom w:val="none" w:sz="0" w:space="0" w:color="auto"/>
        <w:right w:val="none" w:sz="0" w:space="0" w:color="auto"/>
      </w:divBdr>
      <w:divsChild>
        <w:div w:id="2062551892">
          <w:marLeft w:val="0"/>
          <w:marRight w:val="0"/>
          <w:marTop w:val="0"/>
          <w:marBottom w:val="0"/>
          <w:divBdr>
            <w:top w:val="none" w:sz="0" w:space="0" w:color="auto"/>
            <w:left w:val="none" w:sz="0" w:space="0" w:color="auto"/>
            <w:bottom w:val="none" w:sz="0" w:space="0" w:color="auto"/>
            <w:right w:val="none" w:sz="0" w:space="0" w:color="auto"/>
          </w:divBdr>
        </w:div>
      </w:divsChild>
    </w:div>
    <w:div w:id="940067479">
      <w:bodyDiv w:val="1"/>
      <w:marLeft w:val="0"/>
      <w:marRight w:val="0"/>
      <w:marTop w:val="0"/>
      <w:marBottom w:val="0"/>
      <w:divBdr>
        <w:top w:val="none" w:sz="0" w:space="0" w:color="auto"/>
        <w:left w:val="none" w:sz="0" w:space="0" w:color="auto"/>
        <w:bottom w:val="none" w:sz="0" w:space="0" w:color="auto"/>
        <w:right w:val="none" w:sz="0" w:space="0" w:color="auto"/>
      </w:divBdr>
      <w:divsChild>
        <w:div w:id="151723618">
          <w:marLeft w:val="0"/>
          <w:marRight w:val="0"/>
          <w:marTop w:val="0"/>
          <w:marBottom w:val="0"/>
          <w:divBdr>
            <w:top w:val="none" w:sz="0" w:space="0" w:color="auto"/>
            <w:left w:val="none" w:sz="0" w:space="0" w:color="auto"/>
            <w:bottom w:val="none" w:sz="0" w:space="0" w:color="auto"/>
            <w:right w:val="none" w:sz="0" w:space="0" w:color="auto"/>
          </w:divBdr>
        </w:div>
      </w:divsChild>
    </w:div>
    <w:div w:id="979655339">
      <w:bodyDiv w:val="1"/>
      <w:marLeft w:val="0"/>
      <w:marRight w:val="0"/>
      <w:marTop w:val="0"/>
      <w:marBottom w:val="0"/>
      <w:divBdr>
        <w:top w:val="none" w:sz="0" w:space="0" w:color="auto"/>
        <w:left w:val="none" w:sz="0" w:space="0" w:color="auto"/>
        <w:bottom w:val="none" w:sz="0" w:space="0" w:color="auto"/>
        <w:right w:val="none" w:sz="0" w:space="0" w:color="auto"/>
      </w:divBdr>
      <w:divsChild>
        <w:div w:id="668098685">
          <w:marLeft w:val="0"/>
          <w:marRight w:val="0"/>
          <w:marTop w:val="0"/>
          <w:marBottom w:val="0"/>
          <w:divBdr>
            <w:top w:val="none" w:sz="0" w:space="0" w:color="auto"/>
            <w:left w:val="none" w:sz="0" w:space="0" w:color="auto"/>
            <w:bottom w:val="none" w:sz="0" w:space="0" w:color="auto"/>
            <w:right w:val="none" w:sz="0" w:space="0" w:color="auto"/>
          </w:divBdr>
        </w:div>
      </w:divsChild>
    </w:div>
    <w:div w:id="1052273613">
      <w:bodyDiv w:val="1"/>
      <w:marLeft w:val="0"/>
      <w:marRight w:val="0"/>
      <w:marTop w:val="0"/>
      <w:marBottom w:val="0"/>
      <w:divBdr>
        <w:top w:val="none" w:sz="0" w:space="0" w:color="auto"/>
        <w:left w:val="none" w:sz="0" w:space="0" w:color="auto"/>
        <w:bottom w:val="none" w:sz="0" w:space="0" w:color="auto"/>
        <w:right w:val="none" w:sz="0" w:space="0" w:color="auto"/>
      </w:divBdr>
      <w:divsChild>
        <w:div w:id="25954570">
          <w:marLeft w:val="0"/>
          <w:marRight w:val="0"/>
          <w:marTop w:val="0"/>
          <w:marBottom w:val="0"/>
          <w:divBdr>
            <w:top w:val="none" w:sz="0" w:space="0" w:color="auto"/>
            <w:left w:val="none" w:sz="0" w:space="0" w:color="auto"/>
            <w:bottom w:val="none" w:sz="0" w:space="0" w:color="auto"/>
            <w:right w:val="none" w:sz="0" w:space="0" w:color="auto"/>
          </w:divBdr>
        </w:div>
      </w:divsChild>
    </w:div>
    <w:div w:id="1185750816">
      <w:bodyDiv w:val="1"/>
      <w:marLeft w:val="0"/>
      <w:marRight w:val="0"/>
      <w:marTop w:val="0"/>
      <w:marBottom w:val="0"/>
      <w:divBdr>
        <w:top w:val="none" w:sz="0" w:space="0" w:color="auto"/>
        <w:left w:val="none" w:sz="0" w:space="0" w:color="auto"/>
        <w:bottom w:val="none" w:sz="0" w:space="0" w:color="auto"/>
        <w:right w:val="none" w:sz="0" w:space="0" w:color="auto"/>
      </w:divBdr>
      <w:divsChild>
        <w:div w:id="1345012582">
          <w:marLeft w:val="0"/>
          <w:marRight w:val="0"/>
          <w:marTop w:val="0"/>
          <w:marBottom w:val="0"/>
          <w:divBdr>
            <w:top w:val="none" w:sz="0" w:space="0" w:color="auto"/>
            <w:left w:val="none" w:sz="0" w:space="0" w:color="auto"/>
            <w:bottom w:val="none" w:sz="0" w:space="0" w:color="auto"/>
            <w:right w:val="none" w:sz="0" w:space="0" w:color="auto"/>
          </w:divBdr>
        </w:div>
      </w:divsChild>
    </w:div>
    <w:div w:id="1847404936">
      <w:bodyDiv w:val="1"/>
      <w:marLeft w:val="0"/>
      <w:marRight w:val="0"/>
      <w:marTop w:val="0"/>
      <w:marBottom w:val="0"/>
      <w:divBdr>
        <w:top w:val="none" w:sz="0" w:space="0" w:color="auto"/>
        <w:left w:val="none" w:sz="0" w:space="0" w:color="auto"/>
        <w:bottom w:val="none" w:sz="0" w:space="0" w:color="auto"/>
        <w:right w:val="none" w:sz="0" w:space="0" w:color="auto"/>
      </w:divBdr>
      <w:divsChild>
        <w:div w:id="261686639">
          <w:marLeft w:val="0"/>
          <w:marRight w:val="0"/>
          <w:marTop w:val="0"/>
          <w:marBottom w:val="0"/>
          <w:divBdr>
            <w:top w:val="none" w:sz="0" w:space="0" w:color="auto"/>
            <w:left w:val="none" w:sz="0" w:space="0" w:color="auto"/>
            <w:bottom w:val="none" w:sz="0" w:space="0" w:color="auto"/>
            <w:right w:val="none" w:sz="0" w:space="0" w:color="auto"/>
          </w:divBdr>
        </w:div>
      </w:divsChild>
    </w:div>
    <w:div w:id="1864437497">
      <w:bodyDiv w:val="1"/>
      <w:marLeft w:val="0"/>
      <w:marRight w:val="0"/>
      <w:marTop w:val="0"/>
      <w:marBottom w:val="0"/>
      <w:divBdr>
        <w:top w:val="none" w:sz="0" w:space="0" w:color="auto"/>
        <w:left w:val="none" w:sz="0" w:space="0" w:color="auto"/>
        <w:bottom w:val="none" w:sz="0" w:space="0" w:color="auto"/>
        <w:right w:val="none" w:sz="0" w:space="0" w:color="auto"/>
      </w:divBdr>
      <w:divsChild>
        <w:div w:id="981927976">
          <w:marLeft w:val="0"/>
          <w:marRight w:val="0"/>
          <w:marTop w:val="0"/>
          <w:marBottom w:val="0"/>
          <w:divBdr>
            <w:top w:val="none" w:sz="0" w:space="0" w:color="auto"/>
            <w:left w:val="none" w:sz="0" w:space="0" w:color="auto"/>
            <w:bottom w:val="none" w:sz="0" w:space="0" w:color="auto"/>
            <w:right w:val="none" w:sz="0" w:space="0" w:color="auto"/>
          </w:divBdr>
        </w:div>
      </w:divsChild>
    </w:div>
    <w:div w:id="1937009069">
      <w:bodyDiv w:val="1"/>
      <w:marLeft w:val="0"/>
      <w:marRight w:val="0"/>
      <w:marTop w:val="0"/>
      <w:marBottom w:val="0"/>
      <w:divBdr>
        <w:top w:val="none" w:sz="0" w:space="0" w:color="auto"/>
        <w:left w:val="none" w:sz="0" w:space="0" w:color="auto"/>
        <w:bottom w:val="none" w:sz="0" w:space="0" w:color="auto"/>
        <w:right w:val="none" w:sz="0" w:space="0" w:color="auto"/>
      </w:divBdr>
      <w:divsChild>
        <w:div w:id="409548900">
          <w:marLeft w:val="0"/>
          <w:marRight w:val="0"/>
          <w:marTop w:val="0"/>
          <w:marBottom w:val="0"/>
          <w:divBdr>
            <w:top w:val="none" w:sz="0" w:space="0" w:color="auto"/>
            <w:left w:val="none" w:sz="0" w:space="0" w:color="auto"/>
            <w:bottom w:val="none" w:sz="0" w:space="0" w:color="auto"/>
            <w:right w:val="none" w:sz="0" w:space="0" w:color="auto"/>
          </w:divBdr>
        </w:div>
      </w:divsChild>
    </w:div>
    <w:div w:id="1953709210">
      <w:bodyDiv w:val="1"/>
      <w:marLeft w:val="0"/>
      <w:marRight w:val="0"/>
      <w:marTop w:val="0"/>
      <w:marBottom w:val="0"/>
      <w:divBdr>
        <w:top w:val="none" w:sz="0" w:space="0" w:color="auto"/>
        <w:left w:val="none" w:sz="0" w:space="0" w:color="auto"/>
        <w:bottom w:val="none" w:sz="0" w:space="0" w:color="auto"/>
        <w:right w:val="none" w:sz="0" w:space="0" w:color="auto"/>
      </w:divBdr>
      <w:divsChild>
        <w:div w:id="597640750">
          <w:marLeft w:val="0"/>
          <w:marRight w:val="0"/>
          <w:marTop w:val="0"/>
          <w:marBottom w:val="0"/>
          <w:divBdr>
            <w:top w:val="none" w:sz="0" w:space="0" w:color="auto"/>
            <w:left w:val="none" w:sz="0" w:space="0" w:color="auto"/>
            <w:bottom w:val="none" w:sz="0" w:space="0" w:color="auto"/>
            <w:right w:val="none" w:sz="0" w:space="0" w:color="auto"/>
          </w:divBdr>
        </w:div>
      </w:divsChild>
    </w:div>
    <w:div w:id="2098869431">
      <w:bodyDiv w:val="1"/>
      <w:marLeft w:val="0"/>
      <w:marRight w:val="0"/>
      <w:marTop w:val="0"/>
      <w:marBottom w:val="0"/>
      <w:divBdr>
        <w:top w:val="none" w:sz="0" w:space="0" w:color="auto"/>
        <w:left w:val="none" w:sz="0" w:space="0" w:color="auto"/>
        <w:bottom w:val="none" w:sz="0" w:space="0" w:color="auto"/>
        <w:right w:val="none" w:sz="0" w:space="0" w:color="auto"/>
      </w:divBdr>
      <w:divsChild>
        <w:div w:id="1552955696">
          <w:marLeft w:val="0"/>
          <w:marRight w:val="0"/>
          <w:marTop w:val="0"/>
          <w:marBottom w:val="0"/>
          <w:divBdr>
            <w:top w:val="none" w:sz="0" w:space="0" w:color="auto"/>
            <w:left w:val="none" w:sz="0" w:space="0" w:color="auto"/>
            <w:bottom w:val="none" w:sz="0" w:space="0" w:color="auto"/>
            <w:right w:val="none" w:sz="0" w:space="0" w:color="auto"/>
          </w:divBdr>
        </w:div>
      </w:divsChild>
    </w:div>
    <w:div w:id="2124223001">
      <w:bodyDiv w:val="1"/>
      <w:marLeft w:val="0"/>
      <w:marRight w:val="0"/>
      <w:marTop w:val="0"/>
      <w:marBottom w:val="0"/>
      <w:divBdr>
        <w:top w:val="none" w:sz="0" w:space="0" w:color="auto"/>
        <w:left w:val="none" w:sz="0" w:space="0" w:color="auto"/>
        <w:bottom w:val="none" w:sz="0" w:space="0" w:color="auto"/>
        <w:right w:val="none" w:sz="0" w:space="0" w:color="auto"/>
      </w:divBdr>
      <w:divsChild>
        <w:div w:id="1049888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ederalreserve.gov/monetarypolicy/monetary-policy-what-are-its-goals-how-does-it-work.ht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BF68FB-CB16-41EC-A67F-A62597E2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u3577161@connect.hku.hk</dc:creator>
  <cp:keywords/>
  <dc:description/>
  <cp:lastModifiedBy>u3577161@connect.hku.hk</cp:lastModifiedBy>
  <cp:revision>39</cp:revision>
  <dcterms:created xsi:type="dcterms:W3CDTF">2023-10-24T13:54:00Z</dcterms:created>
  <dcterms:modified xsi:type="dcterms:W3CDTF">2023-10-28T08:44:00Z</dcterms:modified>
</cp:coreProperties>
</file>