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D3CD" w14:textId="0B351DBE" w:rsidR="001A415C" w:rsidRPr="00B130AC" w:rsidRDefault="00675796" w:rsidP="004B5FF2">
      <w:pPr>
        <w:jc w:val="center"/>
        <w:rPr>
          <w:rFonts w:ascii="Times New Roman" w:hAnsi="Times New Roman" w:cs="Times New Roman"/>
          <w:b/>
          <w:bCs/>
          <w:sz w:val="24"/>
          <w:szCs w:val="28"/>
        </w:rPr>
      </w:pPr>
      <w:bookmarkStart w:id="0" w:name="_Hlk149050861"/>
      <w:bookmarkEnd w:id="0"/>
      <w:r w:rsidRPr="00B130AC">
        <w:rPr>
          <w:rFonts w:ascii="Times New Roman" w:hAnsi="Times New Roman" w:cs="Times New Roman"/>
          <w:b/>
          <w:bCs/>
          <w:sz w:val="24"/>
          <w:szCs w:val="28"/>
        </w:rPr>
        <w:t xml:space="preserve">FFR projection based on the factors of </w:t>
      </w:r>
      <w:r w:rsidR="00D10F2B">
        <w:rPr>
          <w:rFonts w:ascii="Times New Roman" w:hAnsi="Times New Roman" w:cs="Times New Roman"/>
          <w:b/>
          <w:bCs/>
          <w:sz w:val="24"/>
          <w:szCs w:val="28"/>
        </w:rPr>
        <w:t>Taylor Rule</w:t>
      </w:r>
      <w:r w:rsidRPr="00B130AC">
        <w:rPr>
          <w:rFonts w:ascii="Times New Roman" w:hAnsi="Times New Roman" w:cs="Times New Roman"/>
          <w:b/>
          <w:bCs/>
          <w:sz w:val="24"/>
          <w:szCs w:val="28"/>
        </w:rPr>
        <w:t xml:space="preserve"> and Treasury Yields</w:t>
      </w:r>
      <w:r w:rsidR="00A2020A">
        <w:rPr>
          <w:rFonts w:ascii="Times New Roman" w:hAnsi="Times New Roman" w:cs="Times New Roman"/>
          <w:b/>
          <w:bCs/>
          <w:sz w:val="24"/>
          <w:szCs w:val="28"/>
        </w:rPr>
        <w:t xml:space="preserve"> </w:t>
      </w:r>
      <w:r w:rsidR="00A2020A">
        <w:rPr>
          <w:rFonts w:ascii="Times New Roman" w:hAnsi="Times New Roman" w:cs="Times New Roman" w:hint="eastAsia"/>
          <w:b/>
          <w:bCs/>
          <w:sz w:val="24"/>
          <w:szCs w:val="28"/>
        </w:rPr>
        <w:t>with</w:t>
      </w:r>
      <w:r w:rsidR="00A2020A">
        <w:rPr>
          <w:rFonts w:ascii="Times New Roman" w:hAnsi="Times New Roman" w:cs="Times New Roman"/>
          <w:b/>
          <w:bCs/>
          <w:sz w:val="24"/>
          <w:szCs w:val="28"/>
        </w:rPr>
        <w:t xml:space="preserve"> HMM</w:t>
      </w:r>
    </w:p>
    <w:p w14:paraId="16B5DE17" w14:textId="77777777" w:rsidR="00617749" w:rsidRDefault="00617749" w:rsidP="004B5FF2">
      <w:pPr>
        <w:rPr>
          <w:rFonts w:ascii="Times New Roman" w:hAnsi="Times New Roman" w:cs="Times New Roman"/>
        </w:rPr>
      </w:pPr>
    </w:p>
    <w:p w14:paraId="68749101" w14:textId="062804DC" w:rsidR="0070170D" w:rsidRPr="00043005" w:rsidRDefault="003D2CBC" w:rsidP="004B5FF2">
      <w:pPr>
        <w:rPr>
          <w:rFonts w:ascii="Times New Roman" w:hAnsi="Times New Roman" w:cs="Times New Roman"/>
          <w:b/>
          <w:bCs/>
        </w:rPr>
      </w:pPr>
      <w:r w:rsidRPr="00043005">
        <w:rPr>
          <w:rFonts w:ascii="Times New Roman" w:hAnsi="Times New Roman" w:cs="Times New Roman"/>
          <w:b/>
          <w:bCs/>
        </w:rPr>
        <w:t>Abstract</w:t>
      </w:r>
    </w:p>
    <w:p w14:paraId="013682D0" w14:textId="668A8C7D" w:rsidR="00A60EC4" w:rsidRDefault="0074222B" w:rsidP="004B5FF2">
      <w:pPr>
        <w:rPr>
          <w:rFonts w:ascii="Times New Roman" w:hAnsi="Times New Roman" w:cs="Times New Roman"/>
        </w:rPr>
      </w:pPr>
      <w:r w:rsidRPr="0074222B">
        <w:rPr>
          <w:rFonts w:ascii="Times New Roman" w:hAnsi="Times New Roman" w:cs="Times New Roman"/>
        </w:rPr>
        <w:t xml:space="preserve">As we all know, in the last two years the Federal Reserve has raised interest rates </w:t>
      </w:r>
      <w:r>
        <w:rPr>
          <w:rFonts w:ascii="Times New Roman" w:hAnsi="Times New Roman" w:cs="Times New Roman"/>
        </w:rPr>
        <w:t>multiple</w:t>
      </w:r>
      <w:r w:rsidRPr="0074222B">
        <w:rPr>
          <w:rFonts w:ascii="Times New Roman" w:hAnsi="Times New Roman" w:cs="Times New Roman"/>
        </w:rPr>
        <w:t xml:space="preserve"> times (increasing the Federal Funds Rate), which has had a significant impact on financial markets around the world. The rate hikes have not only brought about the strength of the US dollar, which affects the </w:t>
      </w:r>
      <w:r w:rsidR="00E708FF">
        <w:rPr>
          <w:rFonts w:ascii="Times New Roman" w:hAnsi="Times New Roman" w:cs="Times New Roman"/>
        </w:rPr>
        <w:t>Currency</w:t>
      </w:r>
      <w:r w:rsidRPr="0074222B">
        <w:rPr>
          <w:rFonts w:ascii="Times New Roman" w:hAnsi="Times New Roman" w:cs="Times New Roman"/>
        </w:rPr>
        <w:t xml:space="preserve"> </w:t>
      </w:r>
      <w:r w:rsidR="00E708FF">
        <w:rPr>
          <w:rFonts w:ascii="Times New Roman" w:hAnsi="Times New Roman" w:cs="Times New Roman"/>
        </w:rPr>
        <w:t>M</w:t>
      </w:r>
      <w:r w:rsidRPr="0074222B">
        <w:rPr>
          <w:rFonts w:ascii="Times New Roman" w:hAnsi="Times New Roman" w:cs="Times New Roman"/>
        </w:rPr>
        <w:t>arket</w:t>
      </w:r>
      <w:r w:rsidR="00E708FF">
        <w:rPr>
          <w:rFonts w:ascii="Times New Roman" w:hAnsi="Times New Roman" w:cs="Times New Roman"/>
        </w:rPr>
        <w:t>s</w:t>
      </w:r>
      <w:r w:rsidRPr="0074222B">
        <w:rPr>
          <w:rFonts w:ascii="Times New Roman" w:hAnsi="Times New Roman" w:cs="Times New Roman"/>
        </w:rPr>
        <w:t xml:space="preserve">, but also the pricing of global assets and the anchoring of sovereigns' credits, which makes the </w:t>
      </w:r>
      <w:r w:rsidR="008E3E72">
        <w:rPr>
          <w:rFonts w:ascii="Times New Roman" w:hAnsi="Times New Roman" w:cs="Times New Roman"/>
        </w:rPr>
        <w:t>projection</w:t>
      </w:r>
      <w:r w:rsidRPr="0074222B">
        <w:rPr>
          <w:rFonts w:ascii="Times New Roman" w:hAnsi="Times New Roman" w:cs="Times New Roman"/>
        </w:rPr>
        <w:t xml:space="preserve"> of the FFR very important.</w:t>
      </w:r>
      <w:r w:rsidR="00AC119F">
        <w:rPr>
          <w:rFonts w:ascii="Times New Roman" w:hAnsi="Times New Roman" w:cs="Times New Roman"/>
        </w:rPr>
        <w:t xml:space="preserve"> </w:t>
      </w:r>
      <w:r w:rsidR="008F3354" w:rsidRPr="008F3354">
        <w:rPr>
          <w:rFonts w:ascii="Times New Roman" w:hAnsi="Times New Roman" w:cs="Times New Roman"/>
        </w:rPr>
        <w:t>However, there are a number of obstacles to FFR forecasting: 1) lagging and insufficient publicly available data due to the low frequency of macro data releases; and 2) the susceptibility of market participants to historical data bias (e.g., being overly optimistic about FFR reductions).</w:t>
      </w:r>
      <w:r w:rsidR="00156403">
        <w:rPr>
          <w:rFonts w:ascii="Times New Roman" w:hAnsi="Times New Roman" w:cs="Times New Roman"/>
        </w:rPr>
        <w:t xml:space="preserve"> </w:t>
      </w:r>
      <w:r w:rsidR="002D505D" w:rsidRPr="002D505D">
        <w:rPr>
          <w:rFonts w:ascii="Times New Roman" w:hAnsi="Times New Roman" w:cs="Times New Roman"/>
        </w:rPr>
        <w:t xml:space="preserve">This study hopes to combine the Taylor Rule, commonly used by the FOMC, with the </w:t>
      </w:r>
      <w:r w:rsidR="001E6603">
        <w:rPr>
          <w:rFonts w:ascii="Times New Roman" w:hAnsi="Times New Roman" w:cs="Times New Roman"/>
        </w:rPr>
        <w:t>treasury yields</w:t>
      </w:r>
      <w:r w:rsidR="002D505D" w:rsidRPr="002D505D">
        <w:rPr>
          <w:rFonts w:ascii="Times New Roman" w:hAnsi="Times New Roman" w:cs="Times New Roman"/>
        </w:rPr>
        <w:t xml:space="preserve"> to make a more forward-looking judgement on FFR.</w:t>
      </w:r>
    </w:p>
    <w:p w14:paraId="39091C59" w14:textId="77777777" w:rsidR="0010724F" w:rsidRDefault="0010724F" w:rsidP="004B5FF2">
      <w:pPr>
        <w:rPr>
          <w:rFonts w:ascii="Times New Roman" w:hAnsi="Times New Roman" w:cs="Times New Roman"/>
        </w:rPr>
      </w:pPr>
    </w:p>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00C0E4AD" w14:textId="77777777" w:rsidR="00625CBC" w:rsidRDefault="00625CBC" w:rsidP="004B5FF2">
      <w:pPr>
        <w:rPr>
          <w:rFonts w:ascii="Times New Roman" w:hAnsi="Times New Roman" w:cs="Times New Roman"/>
        </w:rPr>
      </w:pPr>
    </w:p>
    <w:p w14:paraId="4F1143C3" w14:textId="77777777" w:rsidR="00EA22C9" w:rsidRDefault="00EA22C9"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1" w:name="OLE_LINK26"/>
      <w:bookmarkStart w:id="2"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3" w:name="OLE_LINK22"/>
      <w:bookmarkStart w:id="4"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733DD805"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Pr>
          <w:rFonts w:ascii="Times New Roman" w:hAnsi="Times New Roman" w:cs="Times New Roman"/>
        </w:rPr>
        <w:t>1</w:t>
      </w:r>
      <w:commentRangeStart w:id="5"/>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5"/>
      <w:r>
        <w:rPr>
          <w:rStyle w:val="CommentReference"/>
        </w:rPr>
        <w:commentReference w:id="5"/>
      </w:r>
    </w:p>
    <w:bookmarkEnd w:id="3"/>
    <w:bookmarkEnd w:id="4"/>
    <w:p w14:paraId="69042D55" w14:textId="77777777" w:rsidR="00776C08" w:rsidRPr="0087720A" w:rsidRDefault="00776C08" w:rsidP="00776C08">
      <w:pPr>
        <w:ind w:left="1080"/>
        <w:rPr>
          <w:rFonts w:ascii="Times New Roman" w:hAnsi="Times New Roman" w:cs="Times New Roman"/>
        </w:rPr>
      </w:pPr>
    </w:p>
    <w:bookmarkEnd w:id="1"/>
    <w:bookmarkEnd w:id="2"/>
    <w:p w14:paraId="4EC920F3" w14:textId="77777777" w:rsidR="00E97185" w:rsidRDefault="00776C08" w:rsidP="00E97185">
      <w:pPr>
        <w:pStyle w:val="ListParagraph"/>
        <w:keepNext/>
        <w:ind w:left="1440" w:hanging="360"/>
      </w:pPr>
      <w:r w:rsidRPr="007A353C">
        <w:rPr>
          <w:rFonts w:ascii="Times New Roman" w:hAnsi="Times New Roman" w:cs="Times New Roman"/>
          <w:noProof/>
        </w:rPr>
        <w:lastRenderedPageBreak/>
        <w:drawing>
          <wp:inline distT="0" distB="0" distL="0" distR="0" wp14:anchorId="5FA94F3D" wp14:editId="7D51B617">
            <wp:extent cx="5274310" cy="1847850"/>
            <wp:effectExtent l="0" t="0" r="0" b="6350"/>
            <wp:docPr id="960300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0505" name=""/>
                    <pic:cNvPicPr/>
                  </pic:nvPicPr>
                  <pic:blipFill>
                    <a:blip r:embed="rId12"/>
                    <a:stretch>
                      <a:fillRect/>
                    </a:stretch>
                  </pic:blipFill>
                  <pic:spPr>
                    <a:xfrm>
                      <a:off x="0" y="0"/>
                      <a:ext cx="5274310" cy="1847850"/>
                    </a:xfrm>
                    <a:prstGeom prst="rect">
                      <a:avLst/>
                    </a:prstGeom>
                  </pic:spPr>
                </pic:pic>
              </a:graphicData>
            </a:graphic>
          </wp:inline>
        </w:drawing>
      </w:r>
    </w:p>
    <w:p w14:paraId="604C1076" w14:textId="0474F42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4451D6">
        <w:rPr>
          <w:rFonts w:ascii="Times New Roman" w:hAnsi="Times New Roman" w:cs="Times New Roman"/>
          <w:noProof/>
        </w:rPr>
        <w:t>1</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6"/>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6"/>
      <w:r>
        <w:rPr>
          <w:rStyle w:val="CommentReference"/>
        </w:rPr>
        <w:commentReference w:id="6"/>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61A8767B" w:rsidR="00776C08" w:rsidRPr="00E709C4" w:rsidRDefault="00776C08" w:rsidP="00776C08">
      <w:pPr>
        <w:pStyle w:val="ListParagraph"/>
        <w:ind w:left="1080"/>
        <w:rPr>
          <w:rFonts w:ascii="Times New Roman" w:hAnsi="Times New Roman" w:cs="Times New Roman"/>
        </w:rPr>
      </w:pPr>
      <w:bookmarkStart w:id="7"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2)</w:t>
      </w:r>
      <w:commentRangeStart w:id="8"/>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8"/>
      <w:r>
        <w:rPr>
          <w:rStyle w:val="CommentReference"/>
        </w:rPr>
        <w:commentReference w:id="8"/>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9"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7"/>
      <w:bookmarkEnd w:id="9"/>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measured by the Consumer Price Index (CPI), is at 3.5%, and core inflation (excluding food and energy) is at 2.8%. To address these economic conditions, the Federal Reserve </w:t>
      </w:r>
      <w:r w:rsidRPr="004E354D">
        <w:rPr>
          <w:rFonts w:ascii="Times New Roman" w:hAnsi="Times New Roman" w:cs="Times New Roman"/>
        </w:rPr>
        <w:lastRenderedPageBreak/>
        <w:t>announces an increase in the target FFR from 0.25% to 0.50%</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10"/>
      <w:r>
        <w:rPr>
          <w:rStyle w:val="CommentReference"/>
        </w:rPr>
        <w:commentReference w:id="10"/>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08F5C93F"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4451D6">
        <w:rPr>
          <w:rFonts w:ascii="Times New Roman" w:hAnsi="Times New Roman" w:cs="Times New Roman"/>
          <w:noProof/>
        </w:rPr>
        <w:t>2</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776C08">
      <w:pPr>
        <w:ind w:left="360" w:firstLine="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1"/>
      <w:r>
        <w:rPr>
          <w:rStyle w:val="CommentReference"/>
        </w:rPr>
        <w:commentReference w:id="11"/>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01B1D1BA" w14:textId="77777777" w:rsidR="00776C08" w:rsidRDefault="00776C08" w:rsidP="00776C08">
      <w:pPr>
        <w:pStyle w:val="ListParagraph"/>
        <w:rPr>
          <w:rFonts w:ascii="Times New Roman" w:hAnsi="Times New Roman" w:cs="Times New Roman"/>
        </w:rPr>
      </w:pPr>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w:t>
      </w:r>
      <w:r w:rsidRPr="00C90CCA">
        <w:rPr>
          <w:rFonts w:ascii="Times New Roman" w:hAnsi="Times New Roman" w:cs="Times New Roman"/>
        </w:rPr>
        <w:lastRenderedPageBreak/>
        <w:t xml:space="preserve">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2"/>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2"/>
      <w:r>
        <w:rPr>
          <w:rStyle w:val="CommentReference"/>
        </w:rPr>
        <w:commentReference w:id="12"/>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119"/>
        <w:gridCol w:w="2126"/>
        <w:gridCol w:w="1985"/>
      </w:tblGrid>
      <w:tr w:rsidR="00776C08" w14:paraId="7C8AE6A6" w14:textId="77777777" w:rsidTr="00A26A01">
        <w:trPr>
          <w:trHeight w:val="354"/>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119"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126" w:type="dxa"/>
          </w:tcPr>
          <w:p w14:paraId="11A9DC38"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O</w:t>
            </w:r>
            <w:r w:rsidRPr="007A353C">
              <w:rPr>
                <w:rFonts w:ascii="Times New Roman" w:hAnsi="Times New Roman" w:cs="Times New Roman"/>
                <w:sz w:val="15"/>
                <w:szCs w:val="15"/>
              </w:rPr>
              <w:t xml:space="preserve">utput gap </w:t>
            </w:r>
          </w:p>
        </w:tc>
        <w:tc>
          <w:tcPr>
            <w:tcW w:w="1985" w:type="dxa"/>
          </w:tcPr>
          <w:p w14:paraId="3C720086"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 gap</w:t>
            </w:r>
          </w:p>
        </w:tc>
      </w:tr>
      <w:tr w:rsidR="00776C08" w14:paraId="542BBB0D" w14:textId="77777777" w:rsidTr="00A26A01">
        <w:tc>
          <w:tcPr>
            <w:tcW w:w="1129" w:type="dxa"/>
          </w:tcPr>
          <w:p w14:paraId="77BF639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119" w:type="dxa"/>
          </w:tcPr>
          <w:p w14:paraId="045B95D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E58BE21" wp14:editId="0D82D893">
                  <wp:extent cx="1304290" cy="169736"/>
                  <wp:effectExtent l="0" t="0" r="3810" b="0"/>
                  <wp:docPr id="117898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9193" name=""/>
                          <pic:cNvPicPr/>
                        </pic:nvPicPr>
                        <pic:blipFill>
                          <a:blip r:embed="rId14"/>
                          <a:stretch>
                            <a:fillRect/>
                          </a:stretch>
                        </pic:blipFill>
                        <pic:spPr>
                          <a:xfrm>
                            <a:off x="0" y="0"/>
                            <a:ext cx="1331754" cy="173310"/>
                          </a:xfrm>
                          <a:prstGeom prst="rect">
                            <a:avLst/>
                          </a:prstGeom>
                        </pic:spPr>
                      </pic:pic>
                    </a:graphicData>
                  </a:graphic>
                </wp:inline>
              </w:drawing>
            </w:r>
          </w:p>
        </w:tc>
        <w:tc>
          <w:tcPr>
            <w:tcW w:w="2126" w:type="dxa"/>
          </w:tcPr>
          <w:p w14:paraId="4890C6D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985" w:type="dxa"/>
          </w:tcPr>
          <w:p w14:paraId="7529804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A26A01">
        <w:tc>
          <w:tcPr>
            <w:tcW w:w="1129" w:type="dxa"/>
          </w:tcPr>
          <w:p w14:paraId="2CB3BAA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119" w:type="dxa"/>
          </w:tcPr>
          <w:p w14:paraId="060CD68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6FBB380C" wp14:editId="7C620A7C">
                  <wp:extent cx="1304459" cy="178135"/>
                  <wp:effectExtent l="0" t="0" r="3810" b="0"/>
                  <wp:docPr id="125364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1890" name=""/>
                          <pic:cNvPicPr/>
                        </pic:nvPicPr>
                        <pic:blipFill>
                          <a:blip r:embed="rId15"/>
                          <a:stretch>
                            <a:fillRect/>
                          </a:stretch>
                        </pic:blipFill>
                        <pic:spPr>
                          <a:xfrm>
                            <a:off x="0" y="0"/>
                            <a:ext cx="1364444" cy="186326"/>
                          </a:xfrm>
                          <a:prstGeom prst="rect">
                            <a:avLst/>
                          </a:prstGeom>
                        </pic:spPr>
                      </pic:pic>
                    </a:graphicData>
                  </a:graphic>
                </wp:inline>
              </w:drawing>
            </w:r>
          </w:p>
        </w:tc>
        <w:tc>
          <w:tcPr>
            <w:tcW w:w="2126" w:type="dxa"/>
          </w:tcPr>
          <w:p w14:paraId="358F2A4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985" w:type="dxa"/>
          </w:tcPr>
          <w:p w14:paraId="5054A2FB"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A26A01">
        <w:tc>
          <w:tcPr>
            <w:tcW w:w="1129" w:type="dxa"/>
          </w:tcPr>
          <w:p w14:paraId="64933670"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7E9C577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58392710" wp14:editId="239C7FEF">
                  <wp:extent cx="1349220" cy="177316"/>
                  <wp:effectExtent l="0" t="0" r="0" b="635"/>
                  <wp:docPr id="209076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2533" name=""/>
                          <pic:cNvPicPr/>
                        </pic:nvPicPr>
                        <pic:blipFill>
                          <a:blip r:embed="rId16"/>
                          <a:stretch>
                            <a:fillRect/>
                          </a:stretch>
                        </pic:blipFill>
                        <pic:spPr>
                          <a:xfrm>
                            <a:off x="0" y="0"/>
                            <a:ext cx="1378228" cy="181128"/>
                          </a:xfrm>
                          <a:prstGeom prst="rect">
                            <a:avLst/>
                          </a:prstGeom>
                        </pic:spPr>
                      </pic:pic>
                    </a:graphicData>
                  </a:graphic>
                </wp:inline>
              </w:drawing>
            </w:r>
          </w:p>
        </w:tc>
        <w:tc>
          <w:tcPr>
            <w:tcW w:w="2126" w:type="dxa"/>
          </w:tcPr>
          <w:p w14:paraId="4ED3E52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985" w:type="dxa"/>
          </w:tcPr>
          <w:p w14:paraId="320A746A"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A26A01">
        <w:tc>
          <w:tcPr>
            <w:tcW w:w="1129" w:type="dxa"/>
          </w:tcPr>
          <w:p w14:paraId="447CBCD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119" w:type="dxa"/>
          </w:tcPr>
          <w:p w14:paraId="0064CF5C"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noProof/>
                <w:sz w:val="15"/>
                <w:szCs w:val="15"/>
              </w:rPr>
              <w:drawing>
                <wp:inline distT="0" distB="0" distL="0" distR="0" wp14:anchorId="45E4B59C" wp14:editId="72180DF1">
                  <wp:extent cx="1927394" cy="179043"/>
                  <wp:effectExtent l="0" t="0" r="0" b="0"/>
                  <wp:docPr id="69077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70675" name=""/>
                          <pic:cNvPicPr/>
                        </pic:nvPicPr>
                        <pic:blipFill>
                          <a:blip r:embed="rId17"/>
                          <a:stretch>
                            <a:fillRect/>
                          </a:stretch>
                        </pic:blipFill>
                        <pic:spPr>
                          <a:xfrm>
                            <a:off x="0" y="0"/>
                            <a:ext cx="2501113" cy="232338"/>
                          </a:xfrm>
                          <a:prstGeom prst="rect">
                            <a:avLst/>
                          </a:prstGeom>
                        </pic:spPr>
                      </pic:pic>
                    </a:graphicData>
                  </a:graphic>
                </wp:inline>
              </w:drawing>
            </w:r>
          </w:p>
        </w:tc>
        <w:tc>
          <w:tcPr>
            <w:tcW w:w="2126" w:type="dxa"/>
          </w:tcPr>
          <w:p w14:paraId="3673B4B2"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985" w:type="dxa"/>
          </w:tcPr>
          <w:p w14:paraId="0FE7D3F4"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0177D337"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314052">
        <w:rPr>
          <w:rFonts w:ascii="Times New Roman" w:hAnsi="Times New Roman" w:cs="Times New Roman"/>
        </w:rPr>
        <w:t>3</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30305713"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4451D6">
        <w:rPr>
          <w:rFonts w:ascii="Times New Roman" w:hAnsi="Times New Roman" w:cs="Times New Roman"/>
          <w:noProof/>
        </w:rPr>
        <w:t>3</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Ilmanen. </w:t>
      </w:r>
      <w:commentRangeStart w:id="13"/>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3"/>
      <w:r w:rsidR="0026324F">
        <w:rPr>
          <w:rFonts w:ascii="Times New Roman" w:hAnsi="Times New Roman" w:cs="Times New Roman"/>
        </w:rPr>
        <w:t xml:space="preserve"> </w:t>
      </w:r>
      <w:r w:rsidR="0026324F">
        <w:rPr>
          <w:rStyle w:val="CommentReference"/>
        </w:rPr>
        <w:commentReference w:id="13"/>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4"/>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4"/>
      <w:r w:rsidR="003A124E">
        <w:rPr>
          <w:rStyle w:val="CommentReference"/>
        </w:rPr>
        <w:commentReference w:id="14"/>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5"/>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5"/>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5"/>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6"/>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6"/>
      <w:r w:rsidR="00D847B9">
        <w:rPr>
          <w:rStyle w:val="CommentReference"/>
        </w:rPr>
        <w:commentReference w:id="16"/>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36C6ECF8"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increase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4</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75865C30"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Pr="004451D6">
        <w:rPr>
          <w:rFonts w:ascii="Times New Roman" w:hAnsi="Times New Roman" w:cs="Times New Roman"/>
          <w:noProof/>
        </w:rPr>
        <w:t>4</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(left)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(right)</w:t>
      </w:r>
    </w:p>
    <w:p w14:paraId="2B108C70" w14:textId="77777777" w:rsidR="007633C0" w:rsidRDefault="007633C0" w:rsidP="002B27EA">
      <w:pPr>
        <w:ind w:left="720"/>
        <w:rPr>
          <w:rFonts w:ascii="Times New Roman" w:hAnsi="Times New Roman" w:cs="Times New Roman"/>
        </w:rPr>
      </w:pPr>
    </w:p>
    <w:p w14:paraId="6D915714" w14:textId="5924AC56" w:rsidR="00611DC9" w:rsidRPr="00043005" w:rsidRDefault="00611DC9" w:rsidP="004B5FF2">
      <w:pPr>
        <w:rPr>
          <w:rFonts w:ascii="Times New Roman" w:hAnsi="Times New Roman" w:cs="Times New Roman"/>
          <w:b/>
          <w:bCs/>
        </w:rPr>
      </w:pPr>
      <w:r w:rsidRPr="00043005">
        <w:rPr>
          <w:rFonts w:ascii="Times New Roman" w:hAnsi="Times New Roman" w:cs="Times New Roman"/>
          <w:b/>
          <w:bCs/>
        </w:rPr>
        <w:t>Research Objective</w:t>
      </w:r>
    </w:p>
    <w:p w14:paraId="594E0CED" w14:textId="77777777" w:rsidR="00934096" w:rsidRPr="00934096" w:rsidRDefault="00934096" w:rsidP="00934096">
      <w:pPr>
        <w:rPr>
          <w:rFonts w:ascii="Times New Roman" w:hAnsi="Times New Roman" w:cs="Times New Roman"/>
        </w:rPr>
      </w:pP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506E1959" w14:textId="30D9E99D" w:rsidR="00CF24EE" w:rsidRDefault="00E34121" w:rsidP="002131F1">
      <w:pPr>
        <w:pStyle w:val="ListParagraph"/>
        <w:numPr>
          <w:ilvl w:val="0"/>
          <w:numId w:val="5"/>
        </w:numPr>
        <w:rPr>
          <w:rFonts w:ascii="Times New Roman" w:hAnsi="Times New Roman" w:cs="Times New Roman"/>
        </w:rPr>
      </w:pPr>
      <w:r>
        <w:rPr>
          <w:rFonts w:ascii="Times New Roman" w:hAnsi="Times New Roman" w:cs="Times New Roman"/>
        </w:rPr>
        <w:t>Construct the model based on the traditional Taylor Rule and the generated new macro factors.</w:t>
      </w:r>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1FA6ED0F" w:rsidR="00DB687B"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Princip</w:t>
      </w:r>
      <w:r w:rsidR="0026324F">
        <w:rPr>
          <w:rFonts w:ascii="Times New Roman" w:hAnsi="Times New Roman" w:cs="Times New Roman"/>
        </w:rPr>
        <w:t>al</w:t>
      </w:r>
      <w:r>
        <w:rPr>
          <w:rFonts w:ascii="Times New Roman" w:hAnsi="Times New Roman" w:cs="Times New Roman"/>
        </w:rPr>
        <w:t xml:space="preserve"> Component Analysis</w:t>
      </w:r>
    </w:p>
    <w:p w14:paraId="66081A8E" w14:textId="52554C90" w:rsidR="00A7515D" w:rsidRPr="00A7515D" w:rsidRDefault="00A7515D" w:rsidP="00A7515D">
      <w:pPr>
        <w:pStyle w:val="ListParagraph"/>
        <w:numPr>
          <w:ilvl w:val="0"/>
          <w:numId w:val="6"/>
        </w:numPr>
        <w:rPr>
          <w:rFonts w:ascii="Times New Roman" w:hAnsi="Times New Roman" w:cs="Times New Roman"/>
        </w:rPr>
      </w:pPr>
      <w:r>
        <w:rPr>
          <w:rFonts w:ascii="Times New Roman" w:hAnsi="Times New Roman" w:cs="Times New Roman"/>
        </w:rPr>
        <w:t>GMM-HMM</w:t>
      </w:r>
    </w:p>
    <w:p w14:paraId="4AA87E08" w14:textId="4877A0E3" w:rsidR="006654FF" w:rsidRPr="003A5646" w:rsidRDefault="006654FF" w:rsidP="003A5646">
      <w:pPr>
        <w:rPr>
          <w:rFonts w:ascii="Times New Roman" w:hAnsi="Times New Roman" w:cs="Times New Roman"/>
          <w:b/>
          <w:bCs/>
        </w:rPr>
      </w:pPr>
    </w:p>
    <w:p w14:paraId="1372596A" w14:textId="3E3BDB9D" w:rsidR="00B85876" w:rsidRPr="003A5646" w:rsidRDefault="00B85876" w:rsidP="003A5646">
      <w:pPr>
        <w:rPr>
          <w:rFonts w:ascii="Times New Roman" w:hAnsi="Times New Roman" w:cs="Times New Roman"/>
        </w:rPr>
      </w:pPr>
      <w:r w:rsidRPr="003A5646">
        <w:rPr>
          <w:rFonts w:ascii="Times New Roman" w:hAnsi="Times New Roman" w:cs="Times New Roman"/>
        </w:rPr>
        <w:t xml:space="preserve">Macro </w:t>
      </w:r>
      <w:r w:rsidRPr="003A5646">
        <w:rPr>
          <w:rFonts w:ascii="Times New Roman" w:hAnsi="Times New Roman" w:cs="Times New Roman" w:hint="eastAsia"/>
        </w:rPr>
        <w:t>Factors</w:t>
      </w:r>
      <w:r w:rsidRPr="003A5646">
        <w:rPr>
          <w:rFonts w:ascii="Times New Roman" w:hAnsi="Times New Roman" w:cs="Times New Roman"/>
        </w:rPr>
        <w:t xml:space="preserve"> from Taylor Rule</w:t>
      </w:r>
    </w:p>
    <w:p w14:paraId="21026EC7" w14:textId="77777777" w:rsidR="000A6B92" w:rsidRDefault="000A6B92" w:rsidP="004B5FF2">
      <w:pPr>
        <w:rPr>
          <w:rFonts w:ascii="Times New Roman" w:hAnsi="Times New Roman" w:cs="Times New Roman"/>
        </w:rPr>
      </w:pPr>
    </w:p>
    <w:p w14:paraId="22231EA6" w14:textId="45A88965" w:rsidR="00F500F5" w:rsidRPr="00C36894" w:rsidRDefault="00EA22C9" w:rsidP="004B5FF2">
      <w:pPr>
        <w:rPr>
          <w:rFonts w:ascii="Times New Roman" w:hAnsi="Times New Roman" w:cs="Times New Roman"/>
          <w:b/>
          <w:bCs/>
        </w:rPr>
      </w:pPr>
      <w:r w:rsidRPr="00C36894">
        <w:rPr>
          <w:rFonts w:ascii="Times New Roman" w:hAnsi="Times New Roman" w:cs="Times New Roman"/>
          <w:b/>
          <w:bCs/>
        </w:rPr>
        <w:t>??</w:t>
      </w:r>
    </w:p>
    <w:p w14:paraId="12FFF4A7" w14:textId="2E59427C" w:rsidR="000A6B92" w:rsidRDefault="00CE79E8" w:rsidP="004B5FF2">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sidR="00ED2FB6">
        <w:rPr>
          <w:rFonts w:ascii="Times New Roman" w:hAnsi="Times New Roman" w:cs="Times New Roman"/>
        </w:rPr>
        <w:t xml:space="preserve"> [</w:t>
      </w:r>
      <w:r w:rsidR="0093025C">
        <w:rPr>
          <w:rFonts w:ascii="Times New Roman" w:hAnsi="Times New Roman" w:cs="Times New Roman"/>
        </w:rPr>
        <w:t>17</w:t>
      </w:r>
      <w:r w:rsidR="00ED2FB6">
        <w:rPr>
          <w:rFonts w:ascii="Times New Roman" w:hAnsi="Times New Roman" w:cs="Times New Roman"/>
        </w:rPr>
        <w:t>]</w:t>
      </w:r>
      <w:r w:rsidRPr="00CE79E8">
        <w:rPr>
          <w:rFonts w:ascii="Times New Roman" w:hAnsi="Times New Roman" w:cs="Times New Roman"/>
        </w:rPr>
        <w:t>.</w:t>
      </w:r>
      <w:r w:rsidR="00ED2FB6">
        <w:rPr>
          <w:rFonts w:ascii="Times New Roman" w:hAnsi="Times New Roman" w:cs="Times New Roman"/>
        </w:rPr>
        <w:t xml:space="preserve"> </w:t>
      </w:r>
      <w:r w:rsidR="00931A10"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sidR="00FF0083">
        <w:rPr>
          <w:rFonts w:ascii="Times New Roman" w:hAnsi="Times New Roman" w:cs="Times New Roman"/>
        </w:rPr>
        <w:t xml:space="preserve"> </w:t>
      </w:r>
      <w:r w:rsidR="00FF0083" w:rsidRPr="00FF0083">
        <w:rPr>
          <w:rFonts w:ascii="Times New Roman" w:hAnsi="Times New Roman" w:cs="Times New Roman"/>
        </w:rPr>
        <w:t xml:space="preserve">This is also the case in our study, although based on the Taylor </w:t>
      </w:r>
      <w:r w:rsidR="0036086A">
        <w:rPr>
          <w:rFonts w:ascii="Times New Roman" w:hAnsi="Times New Roman" w:cs="Times New Roman"/>
        </w:rPr>
        <w:t>Rule</w:t>
      </w:r>
      <w:r w:rsidR="00FF0083" w:rsidRPr="00FF0083">
        <w:rPr>
          <w:rFonts w:ascii="Times New Roman" w:hAnsi="Times New Roman" w:cs="Times New Roman"/>
        </w:rPr>
        <w:t>, the FFR can be calculated using the relevant macroeconomic indicators for this period, the corresponding macroeconomic indicators are published 1-2 days after the publication time of the FFR</w:t>
      </w:r>
      <w:r w:rsidR="00017178">
        <w:rPr>
          <w:rFonts w:ascii="Times New Roman" w:hAnsi="Times New Roman" w:cs="Times New Roman"/>
        </w:rPr>
        <w:t xml:space="preserve"> (see </w:t>
      </w:r>
      <w:proofErr w:type="gramStart"/>
      <w:r w:rsidR="00017178">
        <w:rPr>
          <w:rFonts w:ascii="Times New Roman" w:hAnsi="Times New Roman" w:cs="Times New Roman"/>
        </w:rPr>
        <w:t>Fig. )</w:t>
      </w:r>
      <w:proofErr w:type="gramEnd"/>
      <w:r w:rsidR="00FF0083" w:rsidRPr="00FF0083">
        <w:rPr>
          <w:rFonts w:ascii="Times New Roman" w:hAnsi="Times New Roman" w:cs="Times New Roman"/>
        </w:rPr>
        <w:t xml:space="preserve">, and therefore in practice it is not possible to use such future information for </w:t>
      </w:r>
      <w:r w:rsidR="00663A5D">
        <w:rPr>
          <w:rFonts w:ascii="Times New Roman" w:hAnsi="Times New Roman" w:cs="Times New Roman"/>
        </w:rPr>
        <w:t>FFR determination</w:t>
      </w:r>
      <w:r w:rsidR="00FF0083" w:rsidRPr="00FF0083">
        <w:rPr>
          <w:rFonts w:ascii="Times New Roman" w:hAnsi="Times New Roman" w:cs="Times New Roman"/>
        </w:rPr>
        <w:t>.</w:t>
      </w:r>
      <w:r w:rsidR="00884D96">
        <w:rPr>
          <w:rFonts w:ascii="Times New Roman" w:hAnsi="Times New Roman" w:cs="Times New Roman"/>
        </w:rPr>
        <w:t xml:space="preserve"> </w:t>
      </w:r>
      <w:r w:rsidR="00545C79"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35F83EA9" w14:textId="77777777" w:rsidR="0010724F" w:rsidRDefault="0010724F" w:rsidP="004B5FF2">
      <w:pPr>
        <w:rPr>
          <w:rFonts w:ascii="Times New Roman" w:hAnsi="Times New Roman" w:cs="Times New Roman"/>
        </w:rPr>
      </w:pPr>
    </w:p>
    <w:p w14:paraId="0A67D570" w14:textId="6F596F1D" w:rsidR="0010724F" w:rsidRDefault="003512EA" w:rsidP="004B5FF2">
      <w:pPr>
        <w:rPr>
          <w:rFonts w:ascii="Times New Roman" w:hAnsi="Times New Roman" w:cs="Times New Roman"/>
        </w:rPr>
      </w:pPr>
      <w:bookmarkStart w:id="17" w:name="_Hlk147761170"/>
      <w:r>
        <w:rPr>
          <w:rFonts w:ascii="Times New Roman" w:hAnsi="Times New Roman" w:cs="Times New Roman"/>
        </w:rPr>
        <w:t>Perfect Situation:</w:t>
      </w:r>
      <w:bookmarkEnd w:id="17"/>
    </w:p>
    <w:p w14:paraId="0D40ABA5" w14:textId="050589A6" w:rsidR="00363AFA" w:rsidRDefault="00000000" w:rsidP="004B5FF2">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7A00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T</m:t>
            </m:r>
          </m:sup>
        </m:sSup>
      </m:oMath>
    </w:p>
    <w:p w14:paraId="2D38C9C9" w14:textId="77777777" w:rsidR="009B3B3C" w:rsidRDefault="009B3B3C" w:rsidP="004B5FF2">
      <w:pPr>
        <w:rPr>
          <w:rFonts w:ascii="Times New Roman" w:hAnsi="Times New Roman" w:cs="Times New Roman"/>
        </w:rPr>
      </w:pPr>
    </w:p>
    <w:p w14:paraId="602B8940" w14:textId="41A69660" w:rsidR="009B3B3C" w:rsidRPr="003440A3" w:rsidRDefault="009B3B3C" w:rsidP="004B5FF2">
      <w:pPr>
        <w:rPr>
          <w:rFonts w:ascii="Times New Roman" w:hAnsi="Times New Roman" w:cs="Times New Roman"/>
        </w:rPr>
      </w:pPr>
      <w:r>
        <w:rPr>
          <w:rFonts w:ascii="Times New Roman" w:hAnsi="Times New Roman" w:cs="Times New Roman"/>
        </w:rPr>
        <w:t>Real Implication</w:t>
      </w:r>
    </w:p>
    <w:p w14:paraId="511EB77A" w14:textId="4D196BE9" w:rsidR="00363AFA"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363A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4B61D66" w14:textId="24069532" w:rsidR="0010724F" w:rsidRDefault="00000000" w:rsidP="004B5FF2">
      <w:pP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sidR="00834301">
        <w:rPr>
          <w:rFonts w:ascii="Times New Roman" w:hAnsi="Times New Roman" w:cs="Times New Roman"/>
        </w:rPr>
        <w:t xml:space="preserve"> is biased as it doesn’t consider the information from </w:t>
      </w:r>
      <m:oMath>
        <m:r>
          <w:rPr>
            <w:rFonts w:ascii="Cambria Math" w:hAnsi="Cambria Math" w:cs="Times New Roman"/>
          </w:rPr>
          <m:t>T-1</m:t>
        </m:r>
      </m:oMath>
      <w:r w:rsidR="00834301">
        <w:rPr>
          <w:rFonts w:ascii="Times New Roman" w:hAnsi="Times New Roman" w:cs="Times New Roman"/>
        </w:rPr>
        <w:t xml:space="preserve"> to </w:t>
      </w:r>
      <m:oMath>
        <m:r>
          <w:rPr>
            <w:rFonts w:ascii="Cambria Math" w:hAnsi="Cambria Math" w:cs="Times New Roman"/>
          </w:rPr>
          <m:t>T</m:t>
        </m:r>
      </m:oMath>
      <w:r w:rsidR="00834301">
        <w:rPr>
          <w:rFonts w:ascii="Times New Roman" w:hAnsi="Times New Roman" w:cs="Times New Roman"/>
        </w:rPr>
        <w:t>.</w:t>
      </w:r>
    </w:p>
    <w:p w14:paraId="40D0708B" w14:textId="13396C4D" w:rsidR="00834301" w:rsidRDefault="00A85E6E" w:rsidP="004B5FF2">
      <w:pPr>
        <w:rPr>
          <w:rFonts w:ascii="Times New Roman" w:hAnsi="Times New Roman" w:cs="Times New Roman"/>
        </w:rPr>
      </w:pPr>
      <w:r>
        <w:rPr>
          <w:rFonts w:ascii="Times New Roman" w:hAnsi="Times New Roman" w:cs="Times New Roman"/>
        </w:rPr>
        <w:t xml:space="preserve">We aim to provide an equation to build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Pr>
          <w:rFonts w:ascii="Times New Roman" w:hAnsi="Times New Roman" w:cs="Times New Roman"/>
        </w:rPr>
        <w:t xml:space="preserve"> with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e>
        </m:acc>
      </m:oMath>
      <w:r>
        <w:rPr>
          <w:rFonts w:ascii="Times New Roman" w:hAnsi="Times New Roman" w:cs="Times New Roman"/>
        </w:rPr>
        <w:t xml:space="preserve"> and the information from </w:t>
      </w:r>
      <m:oMath>
        <m:r>
          <w:rPr>
            <w:rFonts w:ascii="Cambria Math" w:hAnsi="Cambria Math" w:cs="Times New Roman"/>
          </w:rPr>
          <m:t>T-1</m:t>
        </m:r>
      </m:oMath>
      <w:r>
        <w:rPr>
          <w:rFonts w:ascii="Times New Roman" w:hAnsi="Times New Roman" w:cs="Times New Roman"/>
        </w:rPr>
        <w:t xml:space="preserve"> to </w:t>
      </w:r>
      <m:oMath>
        <m:r>
          <w:rPr>
            <w:rFonts w:ascii="Cambria Math" w:hAnsi="Cambria Math" w:cs="Times New Roman"/>
          </w:rPr>
          <m:t>T</m:t>
        </m:r>
      </m:oMath>
      <w:r>
        <w:rPr>
          <w:rFonts w:ascii="Times New Roman" w:hAnsi="Times New Roman" w:cs="Times New Roman"/>
        </w:rPr>
        <w:t xml:space="preserve">, which is denoted by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oMath>
      <w:r w:rsidR="004B5FF2">
        <w:rPr>
          <w:rFonts w:ascii="Times New Roman" w:hAnsi="Times New Roman" w:cs="Times New Roman"/>
        </w:rPr>
        <w:t xml:space="preserve"> is the hidden information during the period of (</w:t>
      </w:r>
      <m:oMath>
        <m:r>
          <w:rPr>
            <w:rFonts w:ascii="Cambria Math" w:hAnsi="Cambria Math" w:cs="Times New Roman"/>
          </w:rPr>
          <m:t>T-1</m:t>
        </m:r>
      </m:oMath>
      <w:r w:rsidR="004B5FF2">
        <w:rPr>
          <w:rFonts w:ascii="Times New Roman" w:hAnsi="Times New Roman" w:cs="Times New Roman"/>
        </w:rPr>
        <w:t xml:space="preserve">,T), it is unobservable, but </w:t>
      </w:r>
      <w:r w:rsidR="00961EEC">
        <w:rPr>
          <w:rFonts w:ascii="Times New Roman" w:hAnsi="Times New Roman" w:cs="Times New Roman"/>
        </w:rPr>
        <w:t xml:space="preserve">should still has the linear relationship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00961EEC">
        <w:rPr>
          <w:rFonts w:ascii="Times New Roman" w:hAnsi="Times New Roman" w:cs="Times New Roman"/>
        </w:rPr>
        <w:t>. Therefore, we have the new established formula:</w:t>
      </w:r>
    </w:p>
    <w:p w14:paraId="2FA37B50" w14:textId="0CF39354" w:rsidR="00961EEC" w:rsidRDefault="00000000" w:rsidP="00961EE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+ϵ</m:t>
        </m:r>
      </m:oMath>
      <w:r w:rsidR="00961EE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sSup>
          <m:sSupPr>
            <m:ctrlPr>
              <w:rPr>
                <w:rFonts w:ascii="Cambria Math" w:hAnsi="Cambria Math" w:cs="Times New Roman"/>
                <w:i/>
              </w:rPr>
            </m:ctrlPr>
          </m:sSupPr>
          <m:e>
            <m:d>
              <m:dPr>
                <m:beg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T-1</m:t>
                </m:r>
              </m:sub>
            </m:sSub>
            <m:r>
              <w:rPr>
                <w:rFonts w:ascii="Cambria Math" w:hAnsi="Cambria Math" w:cs="Times New Roman"/>
              </w:rPr>
              <m:t>]</m:t>
            </m:r>
          </m:e>
          <m:sup>
            <m:r>
              <w:rPr>
                <w:rFonts w:ascii="Cambria Math" w:hAnsi="Cambria Math" w:cs="Times New Roman"/>
              </w:rPr>
              <m:t>T</m:t>
            </m:r>
          </m:sup>
        </m:sSup>
      </m:oMath>
    </w:p>
    <w:p w14:paraId="1CBAC33A" w14:textId="0FFC91A2" w:rsidR="00961EEC" w:rsidRDefault="00961EEC" w:rsidP="004B5FF2">
      <w:pPr>
        <w:rPr>
          <w:rFonts w:ascii="Times New Roman" w:hAnsi="Times New Roman" w:cs="Times New Roman"/>
        </w:rPr>
      </w:pPr>
    </w:p>
    <w:p w14:paraId="74840ACD" w14:textId="64EFA809" w:rsidR="0010724F" w:rsidRDefault="009C7BFD" w:rsidP="004B5FF2">
      <w:pPr>
        <w:rPr>
          <w:rFonts w:ascii="Times New Roman" w:hAnsi="Times New Roman" w:cs="Times New Roman"/>
        </w:rPr>
      </w:pPr>
      <w:r w:rsidRPr="009C7BFD">
        <w:rPr>
          <w:rFonts w:ascii="Times New Roman" w:hAnsi="Times New Roman" w:cs="Times New Roman"/>
        </w:rPr>
        <w:t xml:space="preserve">Based on our thinking, when the FFR is adjusted, Treasury Yield is affected first, while macroeconomic indicators are affected </w:t>
      </w:r>
      <w:r w:rsidR="0009271A">
        <w:rPr>
          <w:rFonts w:ascii="Times New Roman" w:hAnsi="Times New Roman" w:cs="Times New Roman"/>
        </w:rPr>
        <w:t>later on</w:t>
      </w:r>
      <w:r w:rsidRPr="009C7BFD">
        <w:rPr>
          <w:rFonts w:ascii="Times New Roman" w:hAnsi="Times New Roman" w:cs="Times New Roman"/>
        </w:rPr>
        <w:t>. This is because the adjustment of the FFR directly affects the cost of short-term borrowing, so that the short-term borrowing rates of banks and other financial institutions usually quickly follow the change in the FFR, which in turn affects Treasury Yield.</w:t>
      </w:r>
      <w:r w:rsidR="00403170">
        <w:rPr>
          <w:rFonts w:ascii="Times New Roman" w:hAnsi="Times New Roman" w:cs="Times New Roman"/>
        </w:rPr>
        <w:t xml:space="preserve"> </w:t>
      </w:r>
      <w:r w:rsidRPr="009C7BFD">
        <w:rPr>
          <w:rFonts w:ascii="Times New Roman" w:hAnsi="Times New Roman" w:cs="Times New Roman"/>
        </w:rPr>
        <w:t xml:space="preserve">However, macroeconomic indicators are affected by a variety of factors, and it usually takes time for changes in the economy to be transmitted, </w:t>
      </w:r>
      <w:proofErr w:type="gramStart"/>
      <w:r w:rsidRPr="009C7BFD">
        <w:rPr>
          <w:rFonts w:ascii="Times New Roman" w:hAnsi="Times New Roman" w:cs="Times New Roman"/>
        </w:rPr>
        <w:t>e.g.</w:t>
      </w:r>
      <w:proofErr w:type="gramEnd"/>
      <w:r w:rsidRPr="009C7BFD">
        <w:rPr>
          <w:rFonts w:ascii="Times New Roman" w:hAnsi="Times New Roman" w:cs="Times New Roman"/>
        </w:rPr>
        <w:t xml:space="preserve"> it takes some time for firms and individuals to make decisions about investing and consuming. time to adjust to the new interest rate environment.</w:t>
      </w:r>
      <w:r w:rsidR="004F4E41">
        <w:rPr>
          <w:rFonts w:ascii="Times New Roman" w:hAnsi="Times New Roman" w:cs="Times New Roman"/>
        </w:rPr>
        <w:t xml:space="preserve"> </w:t>
      </w:r>
      <w:r w:rsidR="00402BED" w:rsidRPr="00402BED">
        <w:rPr>
          <w:rFonts w:ascii="Times New Roman" w:hAnsi="Times New Roman" w:cs="Times New Roman"/>
        </w:rPr>
        <w:t xml:space="preserve">In addition, changes in Treasury yields have a direct impact on capital markets, which in turn affect economic activity and ultimately the macroeconomy. </w:t>
      </w:r>
      <w:r w:rsidR="009D5939">
        <w:rPr>
          <w:rFonts w:ascii="Times New Roman" w:hAnsi="Times New Roman" w:cs="Times New Roman"/>
        </w:rPr>
        <w:t>[</w:t>
      </w:r>
      <w:r w:rsidR="0093025C">
        <w:rPr>
          <w:rFonts w:ascii="Times New Roman" w:hAnsi="Times New Roman" w:cs="Times New Roman"/>
        </w:rPr>
        <w:t>18</w:t>
      </w:r>
      <w:r w:rsidR="009D5939">
        <w:rPr>
          <w:rFonts w:ascii="Times New Roman" w:hAnsi="Times New Roman" w:cs="Times New Roman"/>
        </w:rPr>
        <w:t>]</w:t>
      </w:r>
      <w:r w:rsidR="00402BED" w:rsidRPr="00402BED">
        <w:rPr>
          <w:rFonts w:ascii="Times New Roman" w:hAnsi="Times New Roman" w:cs="Times New Roman"/>
        </w:rPr>
        <w:t xml:space="preserve"> stated that </w:t>
      </w:r>
      <w:r w:rsidR="00AE0466">
        <w:rPr>
          <w:rFonts w:ascii="Times New Roman" w:hAnsi="Times New Roman" w:cs="Times New Roman"/>
        </w:rPr>
        <w:t>the s</w:t>
      </w:r>
      <w:r w:rsidR="00402BED" w:rsidRPr="00402BED">
        <w:rPr>
          <w:rFonts w:ascii="Times New Roman" w:hAnsi="Times New Roman" w:cs="Times New Roman"/>
        </w:rPr>
        <w:t>hort-term bond yields have relatively significant transmission effects on some output variables, such as consumption, investment, and the consumer price index</w:t>
      </w:r>
      <w:r w:rsidR="001603F9">
        <w:rPr>
          <w:rFonts w:ascii="Times New Roman" w:hAnsi="Times New Roman" w:cs="Times New Roman"/>
        </w:rPr>
        <w:t xml:space="preserve">, which are the macro indicators we concerned. </w:t>
      </w:r>
    </w:p>
    <w:p w14:paraId="61F3CCC9" w14:textId="77777777" w:rsidR="0010724F" w:rsidRDefault="0010724F" w:rsidP="004B5FF2">
      <w:pPr>
        <w:rPr>
          <w:rFonts w:ascii="Times New Roman" w:hAnsi="Times New Roman" w:cs="Times New Roman"/>
        </w:rPr>
      </w:pPr>
    </w:p>
    <w:p w14:paraId="287B5DE8" w14:textId="3108A762" w:rsidR="00F500F5" w:rsidRPr="0004300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0420A088" w14:textId="77777777" w:rsidR="007F59B1" w:rsidRDefault="007F59B1" w:rsidP="004B5FF2">
      <w:pPr>
        <w:rPr>
          <w:rFonts w:ascii="Times New Roman" w:hAnsi="Times New Roman" w:cs="Times New Roman"/>
        </w:rPr>
      </w:pPr>
    </w:p>
    <w:p w14:paraId="01B0E9C5" w14:textId="77777777" w:rsidR="000A6B92" w:rsidRDefault="000A6B92" w:rsidP="004B5FF2">
      <w:pPr>
        <w:rPr>
          <w:rFonts w:ascii="Times New Roman" w:hAnsi="Times New Roman" w:cs="Times New Roman"/>
        </w:rPr>
      </w:pPr>
    </w:p>
    <w:p w14:paraId="13642E37" w14:textId="286F1EC9" w:rsidR="007F59B1" w:rsidRPr="00043005" w:rsidRDefault="00990FA5" w:rsidP="004B5FF2">
      <w:pPr>
        <w:rPr>
          <w:rFonts w:ascii="Times New Roman" w:hAnsi="Times New Roman" w:cs="Times New Roman"/>
          <w:b/>
          <w:bCs/>
        </w:rPr>
      </w:pPr>
      <w:r w:rsidRPr="00043005">
        <w:rPr>
          <w:rFonts w:ascii="Times New Roman" w:hAnsi="Times New Roman" w:cs="Times New Roman"/>
          <w:b/>
          <w:bCs/>
        </w:rPr>
        <w:t>Conclusion</w:t>
      </w:r>
    </w:p>
    <w:p w14:paraId="349307D7" w14:textId="77777777" w:rsidR="00CE4800" w:rsidRDefault="00CE4800" w:rsidP="004B5FF2">
      <w:pPr>
        <w:rPr>
          <w:rFonts w:ascii="Times New Roman" w:hAnsi="Times New Roman" w:cs="Times New Roman"/>
        </w:rPr>
      </w:pPr>
    </w:p>
    <w:p w14:paraId="2EBD4FCD" w14:textId="77777777" w:rsidR="00260926" w:rsidRDefault="00260926" w:rsidP="004B5FF2">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0C8DE2E" w14:textId="77777777"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8"/>
      <w:r w:rsidR="001E0256">
        <w:rPr>
          <w:rFonts w:ascii="Times New Roman" w:hAnsi="Times New Roman" w:cs="Times New Roman"/>
        </w:rPr>
        <w:t>[]</w:t>
      </w:r>
      <w:commentRangeEnd w:id="18"/>
      <w:r w:rsidR="00893701">
        <w:rPr>
          <w:rStyle w:val="CommentReference"/>
        </w:rPr>
        <w:commentReference w:id="18"/>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0EED03B6" w14:textId="77777777" w:rsidR="00D3669E" w:rsidRDefault="00D3669E" w:rsidP="00D3669E">
      <w:pPr>
        <w:rPr>
          <w:rFonts w:ascii="Times New Roman" w:hAnsi="Times New Roman" w:cs="Times New Roman"/>
        </w:rPr>
      </w:pPr>
    </w:p>
    <w:p w14:paraId="575CE31C" w14:textId="0F0A4C6E" w:rsidR="00B16D7A" w:rsidRPr="00043005" w:rsidRDefault="00B16D7A" w:rsidP="004B5FF2">
      <w:pPr>
        <w:rPr>
          <w:rFonts w:ascii="Times New Roman" w:hAnsi="Times New Roman" w:cs="Times New Roman"/>
          <w:b/>
          <w:bCs/>
        </w:rPr>
      </w:pPr>
      <w:r w:rsidRPr="00043005">
        <w:rPr>
          <w:rFonts w:ascii="Times New Roman" w:hAnsi="Times New Roman" w:cs="Times New Roman"/>
          <w:b/>
          <w:bCs/>
        </w:rPr>
        <w:t>Reference</w:t>
      </w:r>
    </w:p>
    <w:p w14:paraId="2549556B" w14:textId="77777777" w:rsidR="00351F56" w:rsidRDefault="00351F56" w:rsidP="004B5FF2">
      <w:pPr>
        <w:rPr>
          <w:rFonts w:ascii="Times New Roman" w:hAnsi="Times New Roman" w:cs="Times New Roman"/>
        </w:rPr>
      </w:pPr>
    </w:p>
    <w:p w14:paraId="40AC71CD" w14:textId="56A7AA26" w:rsidR="00D72BB2" w:rsidRPr="0093025C" w:rsidRDefault="00AA70CC" w:rsidP="004B5FF2">
      <w:pPr>
        <w:rPr>
          <w:rFonts w:ascii="Times New Roman" w:hAnsi="Times New Roman" w:cs="Times New Roman"/>
        </w:rPr>
      </w:pPr>
      <w:r>
        <w:rPr>
          <w:rFonts w:ascii="Times New Roman" w:hAnsi="Times New Roman" w:cs="Times New Roman"/>
        </w:rPr>
        <w:t>[1]</w:t>
      </w:r>
      <w:r w:rsidRPr="00AA70CC">
        <w:t xml:space="preserve"> </w:t>
      </w:r>
      <w:r w:rsidR="000F58F8" w:rsidRPr="000F58F8">
        <w:rPr>
          <w:rFonts w:ascii="Times New Roman" w:hAnsi="Times New Roman" w:cs="Times New Roman"/>
        </w:rPr>
        <w:t xml:space="preserve">Hayes, A. (n.d.). Federal Reserve System: What it is and how it works. Investopedia. </w:t>
      </w:r>
      <w:hyperlink r:id="rId21" w:history="1">
        <w:r w:rsidR="000F58F8" w:rsidRPr="007E592F">
          <w:rPr>
            <w:rStyle w:val="Hyperlink"/>
            <w:rFonts w:ascii="Times New Roman" w:hAnsi="Times New Roman" w:cs="Times New Roman"/>
          </w:rPr>
          <w:t>https://www.investopedia.com/terms/f/federalreservebank.asp</w:t>
        </w:r>
      </w:hyperlink>
      <w:r w:rsidR="000F58F8">
        <w:rPr>
          <w:rFonts w:ascii="Times New Roman" w:hAnsi="Times New Roman" w:cs="Times New Roman"/>
        </w:rPr>
        <w:t xml:space="preserve"> </w:t>
      </w:r>
    </w:p>
    <w:p w14:paraId="38B9A34E" w14:textId="49F0DFC5" w:rsidR="00AA70CC" w:rsidRDefault="00AA70CC" w:rsidP="00AA70CC">
      <w:pPr>
        <w:rPr>
          <w:rFonts w:ascii="Times New Roman" w:hAnsi="Times New Roman" w:cs="Times New Roman"/>
        </w:rPr>
      </w:pPr>
      <w:r>
        <w:rPr>
          <w:rFonts w:ascii="Times New Roman" w:hAnsi="Times New Roman" w:cs="Times New Roman"/>
        </w:rPr>
        <w:t>[2]</w:t>
      </w:r>
      <w:r w:rsidRPr="00AA70CC">
        <w:rPr>
          <w:rFonts w:ascii="Times New Roman" w:hAnsi="Times New Roman" w:cs="Times New Roman"/>
        </w:rPr>
        <w:t xml:space="preserve"> Monetary policy: What are its goals? </w:t>
      </w:r>
      <w:proofErr w:type="gramStart"/>
      <w:r w:rsidRPr="00AA70CC">
        <w:rPr>
          <w:rFonts w:ascii="Times New Roman" w:hAnsi="Times New Roman" w:cs="Times New Roman"/>
        </w:rPr>
        <w:t>how</w:t>
      </w:r>
      <w:proofErr w:type="gramEnd"/>
      <w:r w:rsidRPr="00AA70CC">
        <w:rPr>
          <w:rFonts w:ascii="Times New Roman" w:hAnsi="Times New Roman" w:cs="Times New Roman"/>
        </w:rPr>
        <w:t xml:space="preserve"> does it </w:t>
      </w:r>
      <w:proofErr w:type="gramStart"/>
      <w:r w:rsidRPr="00AA70CC">
        <w:rPr>
          <w:rFonts w:ascii="Times New Roman" w:hAnsi="Times New Roman" w:cs="Times New Roman"/>
        </w:rPr>
        <w:t>work?.</w:t>
      </w:r>
      <w:proofErr w:type="gramEnd"/>
      <w:r w:rsidRPr="00AA70CC">
        <w:rPr>
          <w:rFonts w:ascii="Times New Roman" w:hAnsi="Times New Roman" w:cs="Times New Roman"/>
        </w:rPr>
        <w:t xml:space="preserve"> Federal Reserve Board - Monetary Policy: What Are Its Goals? How Does It Work? (n.d.). </w:t>
      </w:r>
      <w:hyperlink r:id="rId22" w:history="1">
        <w:r w:rsidRPr="007E592F">
          <w:rPr>
            <w:rStyle w:val="Hyperlink"/>
            <w:rFonts w:ascii="Times New Roman" w:hAnsi="Times New Roman" w:cs="Times New Roman"/>
          </w:rPr>
          <w:t>https://www.federalreserve.gov/monetarypolicy/monetary-policy-what-are-its-goals-how-does-it-work.htm</w:t>
        </w:r>
      </w:hyperlink>
    </w:p>
    <w:p w14:paraId="32913ED4" w14:textId="400142DA"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Pr="00AA70CC">
        <w:t xml:space="preserve"> </w:t>
      </w:r>
      <w:r w:rsidRPr="00AA70CC">
        <w:rPr>
          <w:rFonts w:ascii="Times New Roman" w:hAnsi="Times New Roman" w:cs="Times New Roman"/>
        </w:rPr>
        <w:t xml:space="preserve">How does the Federal Reserve Affect Inflation and employment?. Board of Governors of the </w:t>
      </w:r>
      <w:r w:rsidRPr="00AA70CC">
        <w:rPr>
          <w:rFonts w:ascii="Times New Roman" w:hAnsi="Times New Roman" w:cs="Times New Roman"/>
        </w:rPr>
        <w:lastRenderedPageBreak/>
        <w:t xml:space="preserve">Federal Reserve System. (n.d.). </w:t>
      </w:r>
      <w:hyperlink r:id="rId23" w:history="1">
        <w:r w:rsidRPr="007E592F">
          <w:rPr>
            <w:rStyle w:val="Hyperlink"/>
            <w:rFonts w:ascii="Times New Roman" w:hAnsi="Times New Roman" w:cs="Times New Roman"/>
          </w:rPr>
          <w:t>https://www.federalreserve.gov/faqs/money_12856.htm</w:t>
        </w:r>
      </w:hyperlink>
    </w:p>
    <w:p w14:paraId="07FB3C3F" w14:textId="189406A5" w:rsidR="00AA70CC" w:rsidRDefault="00AA70CC" w:rsidP="004B5FF2">
      <w:pPr>
        <w:rPr>
          <w:rFonts w:ascii="Times New Roman" w:hAnsi="Times New Roman" w:cs="Times New Roman"/>
        </w:rPr>
      </w:pPr>
      <w:r>
        <w:rPr>
          <w:rFonts w:ascii="Times New Roman" w:hAnsi="Times New Roman" w:cs="Times New Roman"/>
        </w:rPr>
        <w:t>[4]</w:t>
      </w:r>
      <w:r w:rsidRPr="00AA70CC">
        <w:t xml:space="preserve"> </w:t>
      </w:r>
      <w:r w:rsidRPr="00AA70CC">
        <w:rPr>
          <w:rFonts w:ascii="Times New Roman" w:hAnsi="Times New Roman" w:cs="Times New Roman"/>
        </w:rPr>
        <w:t>Rich, R. (n.d.). The great recession. Federal Reserve History. https://www.federalreservehistory.org/essays/great-recession-of-200709</w:t>
      </w:r>
    </w:p>
    <w:p w14:paraId="16D76F09" w14:textId="445B1FA4" w:rsidR="00AA70CC" w:rsidRDefault="00AA70CC" w:rsidP="004B5FF2">
      <w:pPr>
        <w:rPr>
          <w:rFonts w:ascii="Times New Roman" w:hAnsi="Times New Roman" w:cs="Times New Roman"/>
        </w:rPr>
      </w:pPr>
      <w:r>
        <w:rPr>
          <w:rFonts w:ascii="Times New Roman" w:hAnsi="Times New Roman" w:cs="Times New Roman"/>
        </w:rPr>
        <w:t>[5]</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27143D72" w14:textId="13A499F5" w:rsidR="00AA70CC" w:rsidRDefault="00AA70CC" w:rsidP="004B5FF2">
      <w:pPr>
        <w:rPr>
          <w:rFonts w:ascii="Times New Roman" w:hAnsi="Times New Roman" w:cs="Times New Roman"/>
        </w:rPr>
      </w:pPr>
      <w:r>
        <w:rPr>
          <w:rFonts w:ascii="Times New Roman" w:hAnsi="Times New Roman" w:cs="Times New Roman"/>
        </w:rPr>
        <w:t>[6]</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6A0E42B5" w14:textId="715ED401" w:rsidR="00AA70CC" w:rsidRDefault="00AA70C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4"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2566B63F" w14:textId="39F63F2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5DBACCDC" w14:textId="002BB4B3" w:rsid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2372B4D7" w14:textId="04D9E9AF" w:rsidR="0093025C" w:rsidRPr="00AA70C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35367E2B" w14:textId="33F06710" w:rsidR="00CE4800" w:rsidRDefault="00AE47D8" w:rsidP="004B5FF2">
      <w:pPr>
        <w:rPr>
          <w:rFonts w:ascii="Times New Roman" w:hAnsi="Times New Roman" w:cs="Times New Roman"/>
        </w:rPr>
      </w:pPr>
      <w:r>
        <w:rPr>
          <w:rFonts w:ascii="Times New Roman" w:hAnsi="Times New Roman" w:cs="Times New Roman"/>
        </w:rPr>
        <w:t>[</w:t>
      </w:r>
      <w:r w:rsidR="00FA1853">
        <w:rPr>
          <w:rFonts w:ascii="Times New Roman" w:hAnsi="Times New Roman" w:cs="Times New Roman"/>
        </w:rPr>
        <w:t>1</w:t>
      </w:r>
      <w:r w:rsidR="0093025C">
        <w:rPr>
          <w:rFonts w:ascii="Times New Roman" w:hAnsi="Times New Roman" w:cs="Times New Roman"/>
        </w:rPr>
        <w:t>1</w:t>
      </w:r>
      <w:r>
        <w:rPr>
          <w:rFonts w:ascii="Times New Roman" w:hAnsi="Times New Roman" w:cs="Times New Roman"/>
        </w:rPr>
        <w:t xml:space="preserve">] </w:t>
      </w:r>
      <w:r w:rsidR="0093025C" w:rsidRPr="0093025C">
        <w:rPr>
          <w:rFonts w:ascii="Times New Roman" w:hAnsi="Times New Roman" w:cs="Times New Roman"/>
        </w:rPr>
        <w:t>Antti Ilmanen, and Salomon Brothers. Overview of Forward Rate Analysis. 1995.</w:t>
      </w:r>
    </w:p>
    <w:p w14:paraId="6BB06648" w14:textId="0626226F" w:rsidR="0093025C"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93025C">
        <w:t xml:space="preserve"> </w:t>
      </w:r>
      <w:r w:rsidRPr="0093025C">
        <w:rPr>
          <w:rFonts w:ascii="Times New Roman" w:hAnsi="Times New Roman" w:cs="Times New Roman"/>
        </w:rPr>
        <w:t>Afonso, António, and Manuel M.F. Martins. “Level, Slope, Curvature of the Sovereign Yield Curve, and Fiscal Behaviour.” Journal of Banking &amp; Finance, vol. 36, no. 6, June 2012, pp. 1789–1807</w:t>
      </w:r>
      <w:r w:rsidR="00A9432F">
        <w:rPr>
          <w:rFonts w:ascii="Times New Roman" w:hAnsi="Times New Roman" w:cs="Times New Roman"/>
        </w:rPr>
        <w:t>.</w:t>
      </w:r>
    </w:p>
    <w:p w14:paraId="640DA3C6" w14:textId="65F07B9C"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sidR="00ED2FDD">
        <w:rPr>
          <w:rFonts w:ascii="Times New Roman" w:hAnsi="Times New Roman" w:cs="Times New Roman"/>
        </w:rPr>
        <w:t>.</w:t>
      </w:r>
    </w:p>
    <w:p w14:paraId="4E56C68C" w14:textId="2A45B808" w:rsidR="0093025C" w:rsidRDefault="0093025C" w:rsidP="0093025C">
      <w:pPr>
        <w:rPr>
          <w:rFonts w:ascii="Times New Roman" w:hAnsi="Times New Roman" w:cs="Times New Roman"/>
        </w:rPr>
      </w:pPr>
      <w:r>
        <w:rPr>
          <w:rFonts w:ascii="Times New Roman" w:hAnsi="Times New Roman" w:cs="Times New Roman"/>
        </w:rPr>
        <w:t xml:space="preserve">[14] </w:t>
      </w:r>
      <w:r w:rsidRPr="0093025C">
        <w:rPr>
          <w:rFonts w:ascii="Times New Roman" w:hAnsi="Times New Roman" w:cs="Times New Roman"/>
        </w:rPr>
        <w:t>Diebold, Francis X., and Canlin Li. “Forecasting the Term Structure of Government Bond Yields.” Journal of Econometrics, vol. 130, no. 2, Feb. 2006, pp. 337–364, https://doi.org/10.1016/j.jeconom.2005.03.005. Accessed 28 Mar. 2019.</w:t>
      </w:r>
    </w:p>
    <w:p w14:paraId="7FA923D4" w14:textId="27A48EF3" w:rsidR="00D72BB2" w:rsidRDefault="0093025C" w:rsidP="004B5FF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sidRPr="0093025C">
        <w:t xml:space="preserve"> </w:t>
      </w:r>
      <w:r w:rsidRPr="0093025C">
        <w:rPr>
          <w:rFonts w:ascii="Times New Roman" w:hAnsi="Times New Roman" w:cs="Times New Roman"/>
        </w:rPr>
        <w:t>Barber, Joel R., and Mark L. Copper. “Principal Component Analysis of Yield Curve Movements.” Journal of Economics and Finance, vol. 36, no. 3, 11 Aug. 2010, pp. 750–765, https://doi.org/10.1007/s12197-010-9142-y. Accessed 5 Feb. 2023.</w:t>
      </w:r>
    </w:p>
    <w:p w14:paraId="65040DA3" w14:textId="02C2558D" w:rsidR="0093025C" w:rsidRPr="0093025C" w:rsidRDefault="0093025C" w:rsidP="0093025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sidRPr="0093025C">
        <w:rPr>
          <w:rFonts w:ascii="Times New Roman" w:hAnsi="Times New Roman" w:cs="Times New Roman"/>
        </w:rPr>
        <w:t xml:space="preserve"> </w:t>
      </w:r>
      <w:r w:rsidRPr="002041BD">
        <w:rPr>
          <w:rFonts w:ascii="Times New Roman" w:hAnsi="Times New Roman" w:cs="Times New Roman"/>
        </w:rPr>
        <w:t xml:space="preserve">Seip, Knut Lehre,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5A88C909" w14:textId="338D8DFF" w:rsidR="0093025C" w:rsidRPr="0093025C" w:rsidRDefault="0093025C" w:rsidP="004B5FF2">
      <w:pPr>
        <w:rPr>
          <w:rFonts w:ascii="Times New Roman" w:hAnsi="Times New Roman" w:cs="Times New Roman"/>
        </w:rPr>
      </w:pPr>
      <w:r>
        <w:rPr>
          <w:rFonts w:ascii="Times New Roman" w:hAnsi="Times New Roman" w:cs="Times New Roman"/>
        </w:rPr>
        <w:t>[17]</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6D7546F7" w14:textId="08CE5484" w:rsidR="00565DBE" w:rsidRPr="00260926" w:rsidRDefault="0093025C" w:rsidP="0026092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sidRPr="0093025C">
        <w:rPr>
          <w:rFonts w:ascii="Times New Roman" w:hAnsi="Times New Roman" w:cs="Times New Roman"/>
        </w:rPr>
        <w:t xml:space="preserve"> </w:t>
      </w:r>
      <w:r w:rsidRPr="004F4E41">
        <w:rPr>
          <w:rFonts w:ascii="Times New Roman" w:hAnsi="Times New Roman" w:cs="Times New Roman"/>
        </w:rPr>
        <w:t xml:space="preserve">Zhang, Hui, and Hao Huang. “An Empirical Study of the Asset Price Channel of Monetary Policy Transmission in China.” </w:t>
      </w:r>
      <w:r w:rsidRPr="009D2A46">
        <w:rPr>
          <w:rFonts w:ascii="Times New Roman" w:hAnsi="Times New Roman" w:cs="Times New Roman"/>
          <w:i/>
          <w:iCs/>
        </w:rPr>
        <w:t>Emerging Markets Finance and Trade</w:t>
      </w:r>
      <w:r w:rsidRPr="004F4E41">
        <w:rPr>
          <w:rFonts w:ascii="Times New Roman" w:hAnsi="Times New Roman" w:cs="Times New Roman"/>
        </w:rPr>
        <w:t>, vol. 53, no. 6, 8 Nov. 2016, pp. 1278–1288</w:t>
      </w:r>
      <w:r>
        <w:rPr>
          <w:rFonts w:ascii="Times New Roman" w:hAnsi="Times New Roman" w:cs="Times New Roman"/>
        </w:rPr>
        <w:t>.</w:t>
      </w:r>
    </w:p>
    <w:sectPr w:rsidR="00565DBE" w:rsidRPr="00260926">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6"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8"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10"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1"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2"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3"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4"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5"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6"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8"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E405" w14:textId="77777777" w:rsidR="00536A4F" w:rsidRDefault="00536A4F" w:rsidP="003075CB">
      <w:r>
        <w:separator/>
      </w:r>
    </w:p>
  </w:endnote>
  <w:endnote w:type="continuationSeparator" w:id="0">
    <w:p w14:paraId="78938820" w14:textId="77777777" w:rsidR="00536A4F" w:rsidRDefault="00536A4F"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E6E5" w14:textId="77777777" w:rsidR="00536A4F" w:rsidRDefault="00536A4F" w:rsidP="003075CB">
      <w:r>
        <w:separator/>
      </w:r>
    </w:p>
  </w:footnote>
  <w:footnote w:type="continuationSeparator" w:id="0">
    <w:p w14:paraId="4D8DC56B" w14:textId="77777777" w:rsidR="00536A4F" w:rsidRDefault="00536A4F"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5"/>
  </w:num>
  <w:num w:numId="2" w16cid:durableId="1052117842">
    <w:abstractNumId w:val="7"/>
  </w:num>
  <w:num w:numId="3" w16cid:durableId="1116025425">
    <w:abstractNumId w:val="8"/>
  </w:num>
  <w:num w:numId="4" w16cid:durableId="2060934440">
    <w:abstractNumId w:val="6"/>
  </w:num>
  <w:num w:numId="5" w16cid:durableId="1221945434">
    <w:abstractNumId w:val="2"/>
  </w:num>
  <w:num w:numId="6" w16cid:durableId="1062872033">
    <w:abstractNumId w:val="1"/>
  </w:num>
  <w:num w:numId="7" w16cid:durableId="1896625576">
    <w:abstractNumId w:val="4"/>
  </w:num>
  <w:num w:numId="8" w16cid:durableId="1585601371">
    <w:abstractNumId w:val="3"/>
  </w:num>
  <w:num w:numId="9" w16cid:durableId="13962718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6673"/>
    <w:rsid w:val="00017178"/>
    <w:rsid w:val="00021C6B"/>
    <w:rsid w:val="00033817"/>
    <w:rsid w:val="00043005"/>
    <w:rsid w:val="000623CE"/>
    <w:rsid w:val="000801BF"/>
    <w:rsid w:val="0009271A"/>
    <w:rsid w:val="00096D6A"/>
    <w:rsid w:val="000977B0"/>
    <w:rsid w:val="000A6B92"/>
    <w:rsid w:val="000C36A8"/>
    <w:rsid w:val="000D190D"/>
    <w:rsid w:val="000E22F3"/>
    <w:rsid w:val="000F58F8"/>
    <w:rsid w:val="001042EB"/>
    <w:rsid w:val="0010724F"/>
    <w:rsid w:val="0011772B"/>
    <w:rsid w:val="00135C62"/>
    <w:rsid w:val="00140B7B"/>
    <w:rsid w:val="00144610"/>
    <w:rsid w:val="00155EA0"/>
    <w:rsid w:val="00156403"/>
    <w:rsid w:val="001603F9"/>
    <w:rsid w:val="00180D2D"/>
    <w:rsid w:val="001856E4"/>
    <w:rsid w:val="00193267"/>
    <w:rsid w:val="001A1F07"/>
    <w:rsid w:val="001A415C"/>
    <w:rsid w:val="001C55F7"/>
    <w:rsid w:val="001E0256"/>
    <w:rsid w:val="001E6603"/>
    <w:rsid w:val="001F591C"/>
    <w:rsid w:val="001F7212"/>
    <w:rsid w:val="002041BD"/>
    <w:rsid w:val="002131F1"/>
    <w:rsid w:val="0024719A"/>
    <w:rsid w:val="00256D63"/>
    <w:rsid w:val="0026040D"/>
    <w:rsid w:val="00260926"/>
    <w:rsid w:val="0026324F"/>
    <w:rsid w:val="002734BF"/>
    <w:rsid w:val="00291D0C"/>
    <w:rsid w:val="002A216E"/>
    <w:rsid w:val="002B27EA"/>
    <w:rsid w:val="002B60BB"/>
    <w:rsid w:val="002C375D"/>
    <w:rsid w:val="002D505D"/>
    <w:rsid w:val="002D6CB0"/>
    <w:rsid w:val="002E676F"/>
    <w:rsid w:val="002F396B"/>
    <w:rsid w:val="003075CB"/>
    <w:rsid w:val="00314052"/>
    <w:rsid w:val="003512EA"/>
    <w:rsid w:val="00351F56"/>
    <w:rsid w:val="00353C8B"/>
    <w:rsid w:val="0036086A"/>
    <w:rsid w:val="00363AFA"/>
    <w:rsid w:val="003723AE"/>
    <w:rsid w:val="00375E1A"/>
    <w:rsid w:val="00380F2D"/>
    <w:rsid w:val="003A124E"/>
    <w:rsid w:val="003A2B85"/>
    <w:rsid w:val="003A5646"/>
    <w:rsid w:val="003D2CBC"/>
    <w:rsid w:val="00402BED"/>
    <w:rsid w:val="00403170"/>
    <w:rsid w:val="004103F9"/>
    <w:rsid w:val="0042145B"/>
    <w:rsid w:val="004451D6"/>
    <w:rsid w:val="0045499B"/>
    <w:rsid w:val="004825BD"/>
    <w:rsid w:val="00485386"/>
    <w:rsid w:val="004856EE"/>
    <w:rsid w:val="0049410A"/>
    <w:rsid w:val="00494606"/>
    <w:rsid w:val="004A1470"/>
    <w:rsid w:val="004B5432"/>
    <w:rsid w:val="004B5FF2"/>
    <w:rsid w:val="004C3093"/>
    <w:rsid w:val="004E354D"/>
    <w:rsid w:val="004E44FB"/>
    <w:rsid w:val="004F4E41"/>
    <w:rsid w:val="00503ED3"/>
    <w:rsid w:val="005204DD"/>
    <w:rsid w:val="00522F43"/>
    <w:rsid w:val="0053201D"/>
    <w:rsid w:val="00536A4F"/>
    <w:rsid w:val="00541A52"/>
    <w:rsid w:val="00545C79"/>
    <w:rsid w:val="005521B0"/>
    <w:rsid w:val="00561FE7"/>
    <w:rsid w:val="00565721"/>
    <w:rsid w:val="00565DBE"/>
    <w:rsid w:val="00594B3C"/>
    <w:rsid w:val="005B3514"/>
    <w:rsid w:val="005B6A2D"/>
    <w:rsid w:val="005D1839"/>
    <w:rsid w:val="005E07B1"/>
    <w:rsid w:val="00604B28"/>
    <w:rsid w:val="0061051B"/>
    <w:rsid w:val="00611DC9"/>
    <w:rsid w:val="00617749"/>
    <w:rsid w:val="00625CBC"/>
    <w:rsid w:val="00630E05"/>
    <w:rsid w:val="006310CA"/>
    <w:rsid w:val="006440A2"/>
    <w:rsid w:val="00663A5D"/>
    <w:rsid w:val="006652C5"/>
    <w:rsid w:val="006654FF"/>
    <w:rsid w:val="00675718"/>
    <w:rsid w:val="00675796"/>
    <w:rsid w:val="00686B85"/>
    <w:rsid w:val="006D2D83"/>
    <w:rsid w:val="0070170D"/>
    <w:rsid w:val="0074222B"/>
    <w:rsid w:val="00751A7F"/>
    <w:rsid w:val="00755BFE"/>
    <w:rsid w:val="007633C0"/>
    <w:rsid w:val="007652CD"/>
    <w:rsid w:val="00775A57"/>
    <w:rsid w:val="00776C08"/>
    <w:rsid w:val="007A00A8"/>
    <w:rsid w:val="007B50C8"/>
    <w:rsid w:val="007C1C5E"/>
    <w:rsid w:val="007C3705"/>
    <w:rsid w:val="007F59B1"/>
    <w:rsid w:val="00815595"/>
    <w:rsid w:val="00834301"/>
    <w:rsid w:val="00837C1C"/>
    <w:rsid w:val="0084545D"/>
    <w:rsid w:val="0085394B"/>
    <w:rsid w:val="00856D88"/>
    <w:rsid w:val="00857B9F"/>
    <w:rsid w:val="0087720A"/>
    <w:rsid w:val="00884D96"/>
    <w:rsid w:val="00893701"/>
    <w:rsid w:val="008978FD"/>
    <w:rsid w:val="00897A30"/>
    <w:rsid w:val="008E3E72"/>
    <w:rsid w:val="008F3354"/>
    <w:rsid w:val="008F5D69"/>
    <w:rsid w:val="00900095"/>
    <w:rsid w:val="00903B40"/>
    <w:rsid w:val="00922B86"/>
    <w:rsid w:val="0093025C"/>
    <w:rsid w:val="00931A10"/>
    <w:rsid w:val="00932B91"/>
    <w:rsid w:val="00934096"/>
    <w:rsid w:val="00934927"/>
    <w:rsid w:val="00961EEC"/>
    <w:rsid w:val="0096601C"/>
    <w:rsid w:val="00990FA5"/>
    <w:rsid w:val="00992E4E"/>
    <w:rsid w:val="009945CA"/>
    <w:rsid w:val="0099503C"/>
    <w:rsid w:val="009A12AD"/>
    <w:rsid w:val="009A32FE"/>
    <w:rsid w:val="009A3C72"/>
    <w:rsid w:val="009B3B3C"/>
    <w:rsid w:val="009C7BFD"/>
    <w:rsid w:val="009D1B12"/>
    <w:rsid w:val="009D264C"/>
    <w:rsid w:val="009D2A46"/>
    <w:rsid w:val="009D5939"/>
    <w:rsid w:val="009F0AEA"/>
    <w:rsid w:val="009F7FE4"/>
    <w:rsid w:val="00A02687"/>
    <w:rsid w:val="00A04EFA"/>
    <w:rsid w:val="00A2020A"/>
    <w:rsid w:val="00A27401"/>
    <w:rsid w:val="00A31D9D"/>
    <w:rsid w:val="00A54EAE"/>
    <w:rsid w:val="00A60EC4"/>
    <w:rsid w:val="00A7515D"/>
    <w:rsid w:val="00A75B8B"/>
    <w:rsid w:val="00A85E6E"/>
    <w:rsid w:val="00A9432F"/>
    <w:rsid w:val="00AA0E69"/>
    <w:rsid w:val="00AA2633"/>
    <w:rsid w:val="00AA70CC"/>
    <w:rsid w:val="00AC119F"/>
    <w:rsid w:val="00AD0C89"/>
    <w:rsid w:val="00AE0466"/>
    <w:rsid w:val="00AE47D8"/>
    <w:rsid w:val="00AF2275"/>
    <w:rsid w:val="00B130AC"/>
    <w:rsid w:val="00B16D7A"/>
    <w:rsid w:val="00B20CF7"/>
    <w:rsid w:val="00B320B5"/>
    <w:rsid w:val="00B5541F"/>
    <w:rsid w:val="00B64835"/>
    <w:rsid w:val="00B85876"/>
    <w:rsid w:val="00BB238C"/>
    <w:rsid w:val="00BB401E"/>
    <w:rsid w:val="00BC0F7E"/>
    <w:rsid w:val="00C12851"/>
    <w:rsid w:val="00C2257E"/>
    <w:rsid w:val="00C22DEA"/>
    <w:rsid w:val="00C30BA5"/>
    <w:rsid w:val="00C36894"/>
    <w:rsid w:val="00C54D5B"/>
    <w:rsid w:val="00C553DB"/>
    <w:rsid w:val="00C640B4"/>
    <w:rsid w:val="00C8370B"/>
    <w:rsid w:val="00C90CCA"/>
    <w:rsid w:val="00CB5F1B"/>
    <w:rsid w:val="00CC0509"/>
    <w:rsid w:val="00CE4800"/>
    <w:rsid w:val="00CE79E8"/>
    <w:rsid w:val="00CF24EE"/>
    <w:rsid w:val="00CF3007"/>
    <w:rsid w:val="00D10F2B"/>
    <w:rsid w:val="00D12E04"/>
    <w:rsid w:val="00D325CA"/>
    <w:rsid w:val="00D3669E"/>
    <w:rsid w:val="00D40E54"/>
    <w:rsid w:val="00D4409B"/>
    <w:rsid w:val="00D72BB2"/>
    <w:rsid w:val="00D74301"/>
    <w:rsid w:val="00D80C63"/>
    <w:rsid w:val="00D847B9"/>
    <w:rsid w:val="00DA1B00"/>
    <w:rsid w:val="00DA54C8"/>
    <w:rsid w:val="00DB687B"/>
    <w:rsid w:val="00DD2A87"/>
    <w:rsid w:val="00DE30DA"/>
    <w:rsid w:val="00E03F85"/>
    <w:rsid w:val="00E068B7"/>
    <w:rsid w:val="00E12376"/>
    <w:rsid w:val="00E34121"/>
    <w:rsid w:val="00E360EB"/>
    <w:rsid w:val="00E50278"/>
    <w:rsid w:val="00E708FF"/>
    <w:rsid w:val="00E709C4"/>
    <w:rsid w:val="00E97185"/>
    <w:rsid w:val="00EA22C9"/>
    <w:rsid w:val="00EB4326"/>
    <w:rsid w:val="00ED29B7"/>
    <w:rsid w:val="00ED2FB6"/>
    <w:rsid w:val="00ED2FDD"/>
    <w:rsid w:val="00ED5AD0"/>
    <w:rsid w:val="00F1593D"/>
    <w:rsid w:val="00F336C0"/>
    <w:rsid w:val="00F33B43"/>
    <w:rsid w:val="00F500F5"/>
    <w:rsid w:val="00F520DA"/>
    <w:rsid w:val="00F7394E"/>
    <w:rsid w:val="00F77D6A"/>
    <w:rsid w:val="00F83961"/>
    <w:rsid w:val="00F83C58"/>
    <w:rsid w:val="00F84C09"/>
    <w:rsid w:val="00F93F6A"/>
    <w:rsid w:val="00F96235"/>
    <w:rsid w:val="00FA1853"/>
    <w:rsid w:val="00FC599A"/>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vestopedia.com/terms/f/federalreservebank.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brookings.edu/blog/ben-bernanke/2015/03/30/why-are-interest-rates-so-lo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federalreserve.gov/faqs/money_12856.htm"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federalreserve.gov/monetarypolicy/monetary-policy-what-are-its-goals-how-does-it-work.htm"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16</cp:revision>
  <dcterms:created xsi:type="dcterms:W3CDTF">2023-10-28T11:57:00Z</dcterms:created>
  <dcterms:modified xsi:type="dcterms:W3CDTF">2023-10-29T15:37:00Z</dcterms:modified>
</cp:coreProperties>
</file>