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D3CD" w14:textId="08D38B15" w:rsidR="001A415C" w:rsidRPr="00B130AC" w:rsidRDefault="00675796" w:rsidP="004B5FF2">
      <w:pPr>
        <w:jc w:val="center"/>
        <w:rPr>
          <w:rFonts w:ascii="Times New Roman" w:hAnsi="Times New Roman" w:cs="Times New Roman"/>
          <w:b/>
          <w:bCs/>
          <w:sz w:val="24"/>
          <w:szCs w:val="28"/>
        </w:rPr>
      </w:pPr>
      <w:r w:rsidRPr="00B130AC">
        <w:rPr>
          <w:rFonts w:ascii="Times New Roman" w:hAnsi="Times New Roman" w:cs="Times New Roman"/>
          <w:b/>
          <w:bCs/>
          <w:sz w:val="24"/>
          <w:szCs w:val="28"/>
        </w:rPr>
        <w:t>FFR projection based on the factors of FFR and Treasury Yields</w:t>
      </w:r>
      <w:r w:rsidR="00A2020A">
        <w:rPr>
          <w:rFonts w:ascii="Times New Roman" w:hAnsi="Times New Roman" w:cs="Times New Roman"/>
          <w:b/>
          <w:bCs/>
          <w:sz w:val="24"/>
          <w:szCs w:val="28"/>
        </w:rPr>
        <w:t xml:space="preserve"> </w:t>
      </w:r>
      <w:r w:rsidR="00A2020A">
        <w:rPr>
          <w:rFonts w:ascii="Times New Roman" w:hAnsi="Times New Roman" w:cs="Times New Roman" w:hint="eastAsia"/>
          <w:b/>
          <w:bCs/>
          <w:sz w:val="24"/>
          <w:szCs w:val="28"/>
        </w:rPr>
        <w:t>with</w:t>
      </w:r>
      <w:r w:rsidR="00A2020A">
        <w:rPr>
          <w:rFonts w:ascii="Times New Roman" w:hAnsi="Times New Roman" w:cs="Times New Roman"/>
          <w:b/>
          <w:bCs/>
          <w:sz w:val="24"/>
          <w:szCs w:val="28"/>
        </w:rPr>
        <w:t xml:space="preserve"> HMM</w:t>
      </w:r>
    </w:p>
    <w:p w14:paraId="16B5DE17" w14:textId="77777777" w:rsidR="00617749" w:rsidRDefault="00617749" w:rsidP="004B5FF2">
      <w:pPr>
        <w:rPr>
          <w:rFonts w:ascii="Times New Roman" w:hAnsi="Times New Roman" w:cs="Times New Roman"/>
        </w:rPr>
      </w:pPr>
    </w:p>
    <w:p w14:paraId="68749101" w14:textId="062804DC" w:rsidR="0070170D" w:rsidRPr="00043005" w:rsidRDefault="003D2CBC" w:rsidP="004B5FF2">
      <w:pPr>
        <w:rPr>
          <w:rFonts w:ascii="Times New Roman" w:hAnsi="Times New Roman" w:cs="Times New Roman"/>
          <w:b/>
          <w:bCs/>
        </w:rPr>
      </w:pPr>
      <w:r w:rsidRPr="00043005">
        <w:rPr>
          <w:rFonts w:ascii="Times New Roman" w:hAnsi="Times New Roman" w:cs="Times New Roman"/>
          <w:b/>
          <w:bCs/>
        </w:rPr>
        <w:t>Abstract</w:t>
      </w:r>
    </w:p>
    <w:p w14:paraId="013682D0" w14:textId="2D91664A" w:rsidR="00A60EC4" w:rsidRDefault="0074222B" w:rsidP="004B5FF2">
      <w:pPr>
        <w:rPr>
          <w:rFonts w:ascii="Times New Roman" w:hAnsi="Times New Roman" w:cs="Times New Roman"/>
        </w:rPr>
      </w:pPr>
      <w:r w:rsidRPr="0074222B">
        <w:rPr>
          <w:rFonts w:ascii="Times New Roman" w:hAnsi="Times New Roman" w:cs="Times New Roman"/>
        </w:rPr>
        <w:t xml:space="preserve">As we all know, in the last two years the Federal Reserve has raised interest rates </w:t>
      </w:r>
      <w:r>
        <w:rPr>
          <w:rFonts w:ascii="Times New Roman" w:hAnsi="Times New Roman" w:cs="Times New Roman"/>
        </w:rPr>
        <w:t>multiple</w:t>
      </w:r>
      <w:r w:rsidRPr="0074222B">
        <w:rPr>
          <w:rFonts w:ascii="Times New Roman" w:hAnsi="Times New Roman" w:cs="Times New Roman"/>
        </w:rPr>
        <w:t xml:space="preserve"> times (increasing the Federal Funds Rate), which has had a significant impact on financial markets around the world. The rate hikes have not only brought about the strength of the US dollar, which affects the </w:t>
      </w:r>
      <w:r w:rsidR="00E708FF">
        <w:rPr>
          <w:rFonts w:ascii="Times New Roman" w:hAnsi="Times New Roman" w:cs="Times New Roman"/>
        </w:rPr>
        <w:t>Currency</w:t>
      </w:r>
      <w:r w:rsidRPr="0074222B">
        <w:rPr>
          <w:rFonts w:ascii="Times New Roman" w:hAnsi="Times New Roman" w:cs="Times New Roman"/>
        </w:rPr>
        <w:t xml:space="preserve"> </w:t>
      </w:r>
      <w:r w:rsidR="00E708FF">
        <w:rPr>
          <w:rFonts w:ascii="Times New Roman" w:hAnsi="Times New Roman" w:cs="Times New Roman"/>
        </w:rPr>
        <w:t>M</w:t>
      </w:r>
      <w:r w:rsidRPr="0074222B">
        <w:rPr>
          <w:rFonts w:ascii="Times New Roman" w:hAnsi="Times New Roman" w:cs="Times New Roman"/>
        </w:rPr>
        <w:t>arket</w:t>
      </w:r>
      <w:r w:rsidR="00E708FF">
        <w:rPr>
          <w:rFonts w:ascii="Times New Roman" w:hAnsi="Times New Roman" w:cs="Times New Roman"/>
        </w:rPr>
        <w:t>s</w:t>
      </w:r>
      <w:r w:rsidRPr="0074222B">
        <w:rPr>
          <w:rFonts w:ascii="Times New Roman" w:hAnsi="Times New Roman" w:cs="Times New Roman"/>
        </w:rPr>
        <w:t xml:space="preserve">, but also the pricing of global assets and the anchoring of sovereigns' credits, which makes the </w:t>
      </w:r>
      <w:r w:rsidR="008E3E72">
        <w:rPr>
          <w:rFonts w:ascii="Times New Roman" w:hAnsi="Times New Roman" w:cs="Times New Roman"/>
        </w:rPr>
        <w:t>projection</w:t>
      </w:r>
      <w:r w:rsidRPr="0074222B">
        <w:rPr>
          <w:rFonts w:ascii="Times New Roman" w:hAnsi="Times New Roman" w:cs="Times New Roman"/>
        </w:rPr>
        <w:t xml:space="preserve"> of the FFR very important.</w:t>
      </w:r>
      <w:r w:rsidR="00AC119F">
        <w:rPr>
          <w:rFonts w:ascii="Times New Roman" w:hAnsi="Times New Roman" w:cs="Times New Roman"/>
        </w:rPr>
        <w:t xml:space="preserve"> </w:t>
      </w:r>
      <w:r w:rsidR="008F3354" w:rsidRPr="008F3354">
        <w:rPr>
          <w:rFonts w:ascii="Times New Roman" w:hAnsi="Times New Roman" w:cs="Times New Roman"/>
        </w:rPr>
        <w:t>However, there are a number of obstacles to FFR forecasting: 1) lagging and insufficient publicly available data due to the low frequency of macro data releases; and 2) the susceptibility of market participants to historical data bias (e.g., being overly optimistic about FFR reductions).</w:t>
      </w:r>
      <w:r w:rsidR="00156403">
        <w:rPr>
          <w:rFonts w:ascii="Times New Roman" w:hAnsi="Times New Roman" w:cs="Times New Roman"/>
        </w:rPr>
        <w:t xml:space="preserve"> </w:t>
      </w:r>
      <w:r w:rsidR="002D505D" w:rsidRPr="002D505D">
        <w:rPr>
          <w:rFonts w:ascii="Times New Roman" w:hAnsi="Times New Roman" w:cs="Times New Roman"/>
        </w:rPr>
        <w:t xml:space="preserve">This study hopes to combine the Taylor Rule, commonly used by the FOMC, with the </w:t>
      </w:r>
      <w:r w:rsidR="001E6603">
        <w:rPr>
          <w:rFonts w:ascii="Times New Roman" w:hAnsi="Times New Roman" w:cs="Times New Roman"/>
        </w:rPr>
        <w:t>treasury yields</w:t>
      </w:r>
      <w:r w:rsidR="002D505D" w:rsidRPr="002D505D">
        <w:rPr>
          <w:rFonts w:ascii="Times New Roman" w:hAnsi="Times New Roman" w:cs="Times New Roman"/>
        </w:rPr>
        <w:t xml:space="preserve"> to make a more forward-looking judgement on FFR.</w:t>
      </w:r>
    </w:p>
    <w:p w14:paraId="39091C59" w14:textId="77777777" w:rsidR="0010724F" w:rsidRDefault="0010724F" w:rsidP="004B5FF2">
      <w:pPr>
        <w:rPr>
          <w:rFonts w:ascii="Times New Roman" w:hAnsi="Times New Roman" w:cs="Times New Roman"/>
        </w:rPr>
      </w:pPr>
    </w:p>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00C0E4AD" w14:textId="77777777" w:rsidR="00625CBC" w:rsidRDefault="00625CBC" w:rsidP="004B5FF2">
      <w:pPr>
        <w:rPr>
          <w:rFonts w:ascii="Times New Roman" w:hAnsi="Times New Roman" w:cs="Times New Roman"/>
        </w:rPr>
      </w:pPr>
    </w:p>
    <w:p w14:paraId="4F1143C3" w14:textId="77777777" w:rsidR="00EA22C9" w:rsidRDefault="00EA22C9" w:rsidP="004B5FF2">
      <w:pPr>
        <w:rPr>
          <w:rFonts w:ascii="Times New Roman" w:hAnsi="Times New Roman" w:cs="Times New Roman"/>
        </w:rPr>
      </w:pPr>
    </w:p>
    <w:p w14:paraId="0AA3ECEB" w14:textId="77777777" w:rsidR="00EA22C9" w:rsidRDefault="00EA22C9" w:rsidP="004B5FF2">
      <w:pPr>
        <w:rPr>
          <w:rFonts w:ascii="Times New Roman" w:hAnsi="Times New Roman" w:cs="Times New Roman"/>
        </w:rPr>
      </w:pPr>
    </w:p>
    <w:p w14:paraId="2A3524F5" w14:textId="5AC5F9E2" w:rsidR="00A60EC4" w:rsidRPr="00043005" w:rsidRDefault="0061051B" w:rsidP="004B5FF2">
      <w:pPr>
        <w:rPr>
          <w:rFonts w:ascii="Times New Roman" w:hAnsi="Times New Roman" w:cs="Times New Roman"/>
          <w:b/>
          <w:bCs/>
        </w:rPr>
      </w:pPr>
      <w:r w:rsidRPr="00043005">
        <w:rPr>
          <w:rFonts w:ascii="Times New Roman" w:hAnsi="Times New Roman" w:cs="Times New Roman"/>
          <w:b/>
          <w:bCs/>
        </w:rPr>
        <w:t>Literature Review</w:t>
      </w:r>
    </w:p>
    <w:p w14:paraId="119C987D" w14:textId="7BEEA96B" w:rsidR="004856EE" w:rsidRPr="004856EE" w:rsidRDefault="00155EA0" w:rsidP="004B5FF2">
      <w:pPr>
        <w:pStyle w:val="ListParagraph"/>
        <w:numPr>
          <w:ilvl w:val="0"/>
          <w:numId w:val="3"/>
        </w:numPr>
        <w:rPr>
          <w:rFonts w:ascii="Times New Roman" w:hAnsi="Times New Roman" w:cs="Times New Roman"/>
        </w:rPr>
      </w:pPr>
      <w:r>
        <w:rPr>
          <w:rFonts w:ascii="Times New Roman" w:hAnsi="Times New Roman" w:cs="Times New Roman"/>
        </w:rPr>
        <w:t>FFR</w:t>
      </w:r>
    </w:p>
    <w:p w14:paraId="3EC6B731" w14:textId="6380A96B" w:rsidR="005204DD" w:rsidRPr="0011772B" w:rsidRDefault="002A216E" w:rsidP="0011772B">
      <w:pPr>
        <w:ind w:left="720"/>
        <w:jc w:val="center"/>
        <w:rPr>
          <w:rFonts w:ascii="Times New Roman" w:hAnsi="Times New Roman" w:cs="Times New Roman"/>
          <w:i/>
          <w:iCs/>
        </w:rPr>
      </w:pPr>
      <w:r w:rsidRPr="0011772B">
        <w:rPr>
          <w:rFonts w:ascii="Times New Roman" w:hAnsi="Times New Roman" w:cs="Times New Roman"/>
          <w:i/>
          <w:iCs/>
          <w:noProof/>
        </w:rPr>
        <w:drawing>
          <wp:inline distT="0" distB="0" distL="0" distR="0" wp14:anchorId="401BEA53" wp14:editId="4359B4FA">
            <wp:extent cx="5270500" cy="2254250"/>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254250"/>
                    </a:xfrm>
                    <a:prstGeom prst="rect">
                      <a:avLst/>
                    </a:prstGeom>
                    <a:noFill/>
                    <a:ln>
                      <a:noFill/>
                    </a:ln>
                  </pic:spPr>
                </pic:pic>
              </a:graphicData>
            </a:graphic>
          </wp:inline>
        </w:drawing>
      </w:r>
    </w:p>
    <w:p w14:paraId="75181EF6" w14:textId="04D3EB7D" w:rsidR="002A216E" w:rsidRPr="002A216E" w:rsidRDefault="002A216E" w:rsidP="0011772B">
      <w:pPr>
        <w:ind w:left="720"/>
        <w:jc w:val="center"/>
        <w:rPr>
          <w:rFonts w:ascii="Times New Roman" w:hAnsi="Times New Roman" w:cs="Times New Roman"/>
          <w:i/>
          <w:iCs/>
        </w:rPr>
      </w:pPr>
      <w:r w:rsidRPr="002A216E">
        <w:rPr>
          <w:rFonts w:ascii="Times New Roman" w:hAnsi="Times New Roman" w:cs="Times New Roman"/>
          <w:i/>
          <w:iCs/>
        </w:rPr>
        <w:t>Figure 1</w:t>
      </w:r>
      <w:r>
        <w:rPr>
          <w:rFonts w:ascii="Times New Roman" w:hAnsi="Times New Roman" w:cs="Times New Roman"/>
          <w:i/>
          <w:iCs/>
        </w:rPr>
        <w:t xml:space="preserve">. </w:t>
      </w:r>
      <w:r w:rsidR="000E22F3">
        <w:rPr>
          <w:rFonts w:ascii="Times New Roman" w:hAnsi="Times New Roman" w:cs="Times New Roman"/>
          <w:i/>
          <w:iCs/>
        </w:rPr>
        <w:t>US FFR Diagram</w:t>
      </w:r>
    </w:p>
    <w:p w14:paraId="3CBA6E4B" w14:textId="77777777" w:rsidR="00C8370B" w:rsidRDefault="00C8370B" w:rsidP="0045499B">
      <w:pPr>
        <w:ind w:left="720"/>
        <w:rPr>
          <w:rFonts w:ascii="Times New Roman" w:hAnsi="Times New Roman" w:cs="Times New Roman"/>
        </w:rPr>
      </w:pPr>
    </w:p>
    <w:p w14:paraId="7D9932A9" w14:textId="2537D77E" w:rsidR="00C8370B" w:rsidRPr="005204DD" w:rsidRDefault="00C8370B" w:rsidP="00C8370B">
      <w:pPr>
        <w:pStyle w:val="ListParagraph"/>
        <w:numPr>
          <w:ilvl w:val="0"/>
          <w:numId w:val="3"/>
        </w:numPr>
        <w:rPr>
          <w:rFonts w:ascii="Times New Roman" w:hAnsi="Times New Roman" w:cs="Times New Roman"/>
        </w:rPr>
      </w:pPr>
      <w:r>
        <w:rPr>
          <w:rFonts w:ascii="Times New Roman" w:hAnsi="Times New Roman" w:cs="Times New Roman"/>
        </w:rPr>
        <w:t>Taylor Rule</w:t>
      </w:r>
    </w:p>
    <w:p w14:paraId="79396983" w14:textId="77777777" w:rsidR="00C8370B" w:rsidRPr="00193267" w:rsidRDefault="00000000" w:rsidP="00C8370B">
      <w:pPr>
        <w:pStyle w:val="ListParagraph"/>
        <w:rPr>
          <w:rFonts w:ascii="Times New Roman"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2A91CAFD" w14:textId="77777777" w:rsidR="00C8370B" w:rsidRDefault="00C8370B" w:rsidP="00C8370B">
      <w:pPr>
        <w:pStyle w:val="ListParagraph"/>
        <w:rPr>
          <w:rFonts w:ascii="Times New Roman" w:hAnsi="Times New Roman" w:cs="Times New Roman"/>
        </w:rPr>
      </w:pPr>
      <w:r>
        <w:rPr>
          <w:rFonts w:ascii="Times New Roman" w:hAnsi="Times New Roman" w:cs="Times New Roman"/>
        </w:rPr>
        <w:t xml:space="preserve">It means that the FFR is determined by two factors: Actual GDP Growth Rate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Pr>
          <w:rFonts w:ascii="Times New Roman" w:hAnsi="Times New Roman" w:cs="Times New Roman"/>
        </w:rPr>
        <w:t xml:space="preserve"> and Inflation growth rate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oMath>
      <w:r>
        <w:rPr>
          <w:rFonts w:ascii="Times New Roman" w:hAnsi="Times New Roman" w:cs="Times New Roman"/>
        </w:rPr>
        <w:t>. Hence, it can be rewritten as:</w:t>
      </w:r>
    </w:p>
    <w:p w14:paraId="36252440" w14:textId="77777777" w:rsidR="00C8370B" w:rsidRPr="00ED5AD0" w:rsidRDefault="00000000" w:rsidP="00C8370B">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107E3EF7" w14:textId="77777777" w:rsidR="00ED5AD0" w:rsidRPr="00F33B43" w:rsidRDefault="00ED5AD0" w:rsidP="00C8370B">
      <w:pPr>
        <w:pStyle w:val="ListParagraph"/>
        <w:rPr>
          <w:rFonts w:ascii="Times New Roman" w:hAnsi="Times New Roman" w:cs="Times New Roman"/>
        </w:rPr>
      </w:pP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ED5AD0">
      <w:pPr>
        <w:ind w:left="7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w:t>
      </w:r>
      <w:r w:rsidRPr="006D2D83">
        <w:rPr>
          <w:rFonts w:ascii="Times New Roman" w:hAnsi="Times New Roman" w:cs="Times New Roman"/>
        </w:rPr>
        <w:lastRenderedPageBreak/>
        <w:t>having different maturities, including short-term, intermediate-term, and long-term bonds.</w:t>
      </w:r>
      <w:r>
        <w:rPr>
          <w:rFonts w:ascii="Times New Roman" w:hAnsi="Times New Roman" w:cs="Times New Roman"/>
        </w:rPr>
        <w:t xml:space="preserve"> </w:t>
      </w:r>
    </w:p>
    <w:p w14:paraId="09BF979B" w14:textId="77777777" w:rsidR="00ED5AD0" w:rsidRDefault="00ED5AD0" w:rsidP="00ED5AD0">
      <w:pPr>
        <w:ind w:left="7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[5].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75E1A">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[6].</w:t>
      </w:r>
      <w:r w:rsidRPr="008978FD">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 and the remained NAN values are forward filled based on the previous dates’ yield data. A visualization of the Treasury Yields is shown in Fig. 2:</w:t>
      </w:r>
    </w:p>
    <w:p w14:paraId="1627C424" w14:textId="77777777" w:rsidR="00ED5AD0" w:rsidRDefault="00ED5AD0" w:rsidP="00ED5AD0">
      <w:pPr>
        <w:ind w:left="720"/>
        <w:rPr>
          <w:rFonts w:ascii="Times New Roman" w:hAnsi="Times New Roman" w:cs="Times New Roman"/>
        </w:rPr>
      </w:pPr>
      <w:r>
        <w:rPr>
          <w:rFonts w:ascii="Times New Roman" w:hAnsi="Times New Roman" w:cs="Times New Roman"/>
          <w:noProof/>
        </w:rPr>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0E9C60B7" w14:textId="77777777" w:rsidR="00ED5AD0" w:rsidRPr="002A216E" w:rsidRDefault="00ED5AD0" w:rsidP="00ED5AD0">
      <w:pPr>
        <w:ind w:left="720"/>
        <w:jc w:val="center"/>
        <w:rPr>
          <w:rFonts w:ascii="Times New Roman" w:hAnsi="Times New Roman" w:cs="Times New Roman"/>
          <w:i/>
          <w:iCs/>
        </w:rPr>
      </w:pPr>
      <w:r w:rsidRPr="002A216E">
        <w:rPr>
          <w:rFonts w:ascii="Times New Roman" w:hAnsi="Times New Roman" w:cs="Times New Roman"/>
          <w:i/>
          <w:iCs/>
        </w:rPr>
        <w:t xml:space="preserve">Figure </w:t>
      </w:r>
      <w:r>
        <w:rPr>
          <w:rFonts w:ascii="Times New Roman" w:hAnsi="Times New Roman" w:cs="Times New Roman"/>
          <w:i/>
          <w:iCs/>
        </w:rPr>
        <w:t xml:space="preserve">2. US Treasury Yields Diagram (Maturities including 3 Months, 6 Months, 2 </w:t>
      </w:r>
      <w:r>
        <w:rPr>
          <w:rFonts w:ascii="Times New Roman" w:hAnsi="Times New Roman" w:cs="Times New Roman" w:hint="eastAsia"/>
          <w:i/>
          <w:iCs/>
        </w:rPr>
        <w:t>Yea</w:t>
      </w:r>
      <w:r>
        <w:rPr>
          <w:rFonts w:ascii="Times New Roman" w:hAnsi="Times New Roman" w:cs="Times New Roman"/>
          <w:i/>
          <w:iCs/>
        </w:rPr>
        <w:t>r, 5 Year, 10 Year, and 30 Year)</w:t>
      </w:r>
    </w:p>
    <w:p w14:paraId="62C967F3" w14:textId="77777777" w:rsidR="002C375D" w:rsidRDefault="002C375D" w:rsidP="004B5FF2">
      <w:pPr>
        <w:rPr>
          <w:rFonts w:ascii="Times New Roman" w:hAnsi="Times New Roman" w:cs="Times New Roman"/>
        </w:rPr>
      </w:pPr>
    </w:p>
    <w:p w14:paraId="1AC0C530" w14:textId="2FB5B231" w:rsidR="00B20CF7" w:rsidRDefault="00021C6B" w:rsidP="002B27EA">
      <w:pPr>
        <w:ind w:left="7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p>
    <w:p w14:paraId="5478A66D" w14:textId="5A1A0A44" w:rsidR="002B27EA" w:rsidRDefault="00837C1C" w:rsidP="002B27EA">
      <w:pPr>
        <w:ind w:left="720"/>
        <w:rPr>
          <w:rFonts w:ascii="Times New Roman" w:hAnsi="Times New Roman" w:cs="Times New Roman"/>
        </w:rPr>
      </w:pPr>
      <w:r>
        <w:rPr>
          <w:rFonts w:ascii="Times New Roman" w:hAnsi="Times New Roman" w:cs="Times New Roman" w:hint="eastAsia"/>
        </w:rPr>
        <w:t>However</w:t>
      </w:r>
      <w:r>
        <w:rPr>
          <w:rFonts w:ascii="Times New Roman" w:hAnsi="Times New Roman" w:cs="Times New Roman"/>
        </w:rPr>
        <w:t xml:space="preserve">, sometimes the yield curve was inverted, just like the current situation. </w:t>
      </w:r>
    </w:p>
    <w:p w14:paraId="34A5244E" w14:textId="77777777" w:rsidR="00837C1C" w:rsidRDefault="00837C1C" w:rsidP="002B27EA">
      <w:pPr>
        <w:ind w:left="720"/>
        <w:rPr>
          <w:rFonts w:ascii="Times New Roman" w:hAnsi="Times New Roman" w:cs="Times New Roman"/>
        </w:rPr>
      </w:pPr>
    </w:p>
    <w:p w14:paraId="0CD11722" w14:textId="60A9C920" w:rsidR="002B27EA" w:rsidRDefault="002131F1" w:rsidP="002B27EA">
      <w:pPr>
        <w:ind w:left="720"/>
        <w:rPr>
          <w:rFonts w:ascii="Times New Roman" w:hAnsi="Times New Roman" w:cs="Times New Roman"/>
        </w:rPr>
      </w:pPr>
      <w:r>
        <w:rPr>
          <w:rFonts w:ascii="Times New Roman" w:hAnsi="Times New Roman" w:cs="Times New Roman"/>
        </w:rPr>
        <w:t>Indeed, treasury yields have strong correlation with FFR, this is because…</w:t>
      </w:r>
    </w:p>
    <w:p w14:paraId="2B108C70" w14:textId="77777777" w:rsidR="007633C0" w:rsidRDefault="007633C0" w:rsidP="002B27EA">
      <w:pPr>
        <w:ind w:left="720"/>
        <w:rPr>
          <w:rFonts w:ascii="Times New Roman" w:hAnsi="Times New Roman" w:cs="Times New Roman"/>
        </w:rPr>
      </w:pPr>
    </w:p>
    <w:p w14:paraId="6D915714" w14:textId="5924AC56" w:rsidR="00611DC9" w:rsidRPr="00043005" w:rsidRDefault="00611DC9" w:rsidP="004B5FF2">
      <w:pPr>
        <w:rPr>
          <w:rFonts w:ascii="Times New Roman" w:hAnsi="Times New Roman" w:cs="Times New Roman"/>
          <w:b/>
          <w:bCs/>
        </w:rPr>
      </w:pPr>
      <w:r w:rsidRPr="00043005">
        <w:rPr>
          <w:rFonts w:ascii="Times New Roman" w:hAnsi="Times New Roman" w:cs="Times New Roman"/>
          <w:b/>
          <w:bCs/>
        </w:rPr>
        <w:t>Research Objective</w:t>
      </w:r>
    </w:p>
    <w:p w14:paraId="2E3B1E64" w14:textId="195571E7" w:rsidR="00611DC9" w:rsidRPr="002131F1"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into </w:t>
      </w:r>
    </w:p>
    <w:p w14:paraId="04FD85DB" w14:textId="77777777" w:rsidR="002131F1" w:rsidRDefault="002131F1"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25DE84B5" w:rsidR="00DB687B"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Principle Component Analysis</w:t>
      </w:r>
    </w:p>
    <w:p w14:paraId="66081A8E" w14:textId="52554C90" w:rsidR="00A7515D" w:rsidRPr="00A7515D"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GMM-HMM</w:t>
      </w:r>
    </w:p>
    <w:p w14:paraId="4AA87E08" w14:textId="4877A0E3" w:rsidR="006654FF" w:rsidRPr="003A5646" w:rsidRDefault="006654FF" w:rsidP="003A5646">
      <w:pPr>
        <w:rPr>
          <w:rFonts w:ascii="Times New Roman" w:hAnsi="Times New Roman" w:cs="Times New Roman"/>
          <w:b/>
          <w:bCs/>
        </w:rPr>
      </w:pPr>
    </w:p>
    <w:p w14:paraId="1372596A" w14:textId="3E3BDB9D" w:rsidR="00B85876" w:rsidRPr="003A5646" w:rsidRDefault="00B85876" w:rsidP="003A5646">
      <w:pPr>
        <w:rPr>
          <w:rFonts w:ascii="Times New Roman" w:hAnsi="Times New Roman" w:cs="Times New Roman"/>
        </w:rPr>
      </w:pPr>
      <w:r w:rsidRPr="003A5646">
        <w:rPr>
          <w:rFonts w:ascii="Times New Roman" w:hAnsi="Times New Roman" w:cs="Times New Roman"/>
        </w:rPr>
        <w:t xml:space="preserve">Macro </w:t>
      </w:r>
      <w:r w:rsidRPr="003A5646">
        <w:rPr>
          <w:rFonts w:ascii="Times New Roman" w:hAnsi="Times New Roman" w:cs="Times New Roman" w:hint="eastAsia"/>
        </w:rPr>
        <w:t>Factors</w:t>
      </w:r>
      <w:r w:rsidRPr="003A5646">
        <w:rPr>
          <w:rFonts w:ascii="Times New Roman" w:hAnsi="Times New Roman" w:cs="Times New Roman"/>
        </w:rPr>
        <w:t xml:space="preserve"> from Taylor Rule</w:t>
      </w:r>
    </w:p>
    <w:p w14:paraId="21026EC7" w14:textId="77777777" w:rsidR="000A6B92" w:rsidRDefault="000A6B92" w:rsidP="004B5FF2">
      <w:pPr>
        <w:rPr>
          <w:rFonts w:ascii="Times New Roman" w:hAnsi="Times New Roman" w:cs="Times New Roman"/>
        </w:rPr>
      </w:pPr>
    </w:p>
    <w:p w14:paraId="22231EA6" w14:textId="45A88965" w:rsidR="00F500F5" w:rsidRPr="00C36894" w:rsidRDefault="00EA22C9" w:rsidP="004B5FF2">
      <w:pPr>
        <w:rPr>
          <w:rFonts w:ascii="Times New Roman" w:hAnsi="Times New Roman" w:cs="Times New Roman"/>
          <w:b/>
          <w:bCs/>
        </w:rPr>
      </w:pPr>
      <w:r w:rsidRPr="00C36894">
        <w:rPr>
          <w:rFonts w:ascii="Times New Roman" w:hAnsi="Times New Roman" w:cs="Times New Roman"/>
          <w:b/>
          <w:bCs/>
        </w:rPr>
        <w:t>??</w:t>
      </w:r>
    </w:p>
    <w:p w14:paraId="0BD4696C" w14:textId="6D3DB49C" w:rsidR="00EA22C9" w:rsidRDefault="00CE79E8" w:rsidP="004B5FF2">
      <w:pPr>
        <w:rPr>
          <w:rFonts w:ascii="Times New Roman" w:hAnsi="Times New Roman" w:cs="Times New Roman"/>
        </w:rPr>
      </w:pPr>
      <w:r w:rsidRPr="00CE79E8">
        <w:rPr>
          <w:rFonts w:ascii="Times New Roman" w:hAnsi="Times New Roman" w:cs="Times New Roman"/>
        </w:rPr>
        <w:t xml:space="preserve">According to the basic assumptions of time series modelling, forecasts at moment t cannot use </w:t>
      </w:r>
      <w:r w:rsidRPr="00CE79E8">
        <w:rPr>
          <w:rFonts w:ascii="Times New Roman" w:hAnsi="Times New Roman" w:cs="Times New Roman"/>
        </w:rPr>
        <w:lastRenderedPageBreak/>
        <w:t>future information, but only current moment as well as ever information</w:t>
      </w:r>
      <w:r w:rsidR="00ED2FB6">
        <w:rPr>
          <w:rFonts w:ascii="Times New Roman" w:hAnsi="Times New Roman" w:cs="Times New Roman"/>
        </w:rPr>
        <w:t xml:space="preserve"> [3]</w:t>
      </w:r>
      <w:r w:rsidRPr="00CE79E8">
        <w:rPr>
          <w:rFonts w:ascii="Times New Roman" w:hAnsi="Times New Roman" w:cs="Times New Roman"/>
        </w:rPr>
        <w:t>.</w:t>
      </w:r>
      <w:r w:rsidR="00ED2FB6">
        <w:rPr>
          <w:rFonts w:ascii="Times New Roman" w:hAnsi="Times New Roman" w:cs="Times New Roman"/>
        </w:rPr>
        <w:t xml:space="preserve"> </w:t>
      </w:r>
      <w:r w:rsidR="00931A10"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sidR="00FF0083">
        <w:rPr>
          <w:rFonts w:ascii="Times New Roman" w:hAnsi="Times New Roman" w:cs="Times New Roman"/>
        </w:rPr>
        <w:t xml:space="preserve"> </w:t>
      </w:r>
      <w:r w:rsidR="00FF0083" w:rsidRPr="00FF0083">
        <w:rPr>
          <w:rFonts w:ascii="Times New Roman" w:hAnsi="Times New Roman" w:cs="Times New Roman"/>
        </w:rPr>
        <w:t xml:space="preserve">This is also the case in our study, although based on the Taylor </w:t>
      </w:r>
      <w:r w:rsidR="0036086A">
        <w:rPr>
          <w:rFonts w:ascii="Times New Roman" w:hAnsi="Times New Roman" w:cs="Times New Roman"/>
        </w:rPr>
        <w:t>Rule</w:t>
      </w:r>
      <w:r w:rsidR="00FF0083" w:rsidRPr="00FF0083">
        <w:rPr>
          <w:rFonts w:ascii="Times New Roman" w:hAnsi="Times New Roman" w:cs="Times New Roman"/>
        </w:rPr>
        <w:t>, the FFR can be calculated using the relevant macroeconomic indicators for this period, the corresponding macroeconomic indicators are published 1-2 days after the publication time of the FFR</w:t>
      </w:r>
      <w:r w:rsidR="00017178">
        <w:rPr>
          <w:rFonts w:ascii="Times New Roman" w:hAnsi="Times New Roman" w:cs="Times New Roman"/>
        </w:rPr>
        <w:t xml:space="preserve"> (see </w:t>
      </w:r>
      <w:proofErr w:type="gramStart"/>
      <w:r w:rsidR="00017178">
        <w:rPr>
          <w:rFonts w:ascii="Times New Roman" w:hAnsi="Times New Roman" w:cs="Times New Roman"/>
        </w:rPr>
        <w:t>Fig. )</w:t>
      </w:r>
      <w:proofErr w:type="gramEnd"/>
      <w:r w:rsidR="00FF0083" w:rsidRPr="00FF0083">
        <w:rPr>
          <w:rFonts w:ascii="Times New Roman" w:hAnsi="Times New Roman" w:cs="Times New Roman"/>
        </w:rPr>
        <w:t xml:space="preserve">, and therefore in practice it is not possible to use such future information for </w:t>
      </w:r>
      <w:r w:rsidR="00663A5D">
        <w:rPr>
          <w:rFonts w:ascii="Times New Roman" w:hAnsi="Times New Roman" w:cs="Times New Roman"/>
        </w:rPr>
        <w:t>FFR determination</w:t>
      </w:r>
      <w:r w:rsidR="00FF0083" w:rsidRPr="00FF0083">
        <w:rPr>
          <w:rFonts w:ascii="Times New Roman" w:hAnsi="Times New Roman" w:cs="Times New Roman"/>
        </w:rPr>
        <w:t>.</w:t>
      </w:r>
      <w:r w:rsidR="00884D96">
        <w:rPr>
          <w:rFonts w:ascii="Times New Roman" w:hAnsi="Times New Roman" w:cs="Times New Roman"/>
        </w:rPr>
        <w:t xml:space="preserve"> </w:t>
      </w:r>
      <w:r w:rsidR="00545C79"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12FFF4A7" w14:textId="77777777" w:rsidR="000A6B92" w:rsidRDefault="000A6B92" w:rsidP="004B5FF2">
      <w:pPr>
        <w:rPr>
          <w:rFonts w:ascii="Times New Roman" w:hAnsi="Times New Roman" w:cs="Times New Roman"/>
        </w:rPr>
      </w:pPr>
    </w:p>
    <w:p w14:paraId="35F83EA9" w14:textId="77777777" w:rsidR="0010724F" w:rsidRDefault="0010724F" w:rsidP="004B5FF2">
      <w:pPr>
        <w:rPr>
          <w:rFonts w:ascii="Times New Roman" w:hAnsi="Times New Roman" w:cs="Times New Roman"/>
        </w:rPr>
      </w:pPr>
    </w:p>
    <w:p w14:paraId="0A67D570" w14:textId="6F596F1D" w:rsidR="0010724F" w:rsidRDefault="003512EA" w:rsidP="004B5FF2">
      <w:pPr>
        <w:rPr>
          <w:rFonts w:ascii="Times New Roman" w:hAnsi="Times New Roman" w:cs="Times New Roman"/>
        </w:rPr>
      </w:pPr>
      <w:bookmarkStart w:id="0" w:name="_Hlk147761170"/>
      <w:r>
        <w:rPr>
          <w:rFonts w:ascii="Times New Roman" w:hAnsi="Times New Roman" w:cs="Times New Roman"/>
        </w:rPr>
        <w:t>Perfect Situation:</w:t>
      </w:r>
      <w:bookmarkEnd w:id="0"/>
    </w:p>
    <w:p w14:paraId="0D40ABA5" w14:textId="050589A6" w:rsidR="00363AFA" w:rsidRDefault="00000000" w:rsidP="004B5FF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7A00A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e>
          <m:sup>
            <m:r>
              <w:rPr>
                <w:rFonts w:ascii="Cambria Math" w:hAnsi="Cambria Math" w:cs="Times New Roman"/>
              </w:rPr>
              <m:t>T</m:t>
            </m:r>
          </m:sup>
        </m:sSup>
      </m:oMath>
    </w:p>
    <w:p w14:paraId="2D38C9C9" w14:textId="77777777" w:rsidR="009B3B3C" w:rsidRDefault="009B3B3C" w:rsidP="004B5FF2">
      <w:pPr>
        <w:rPr>
          <w:rFonts w:ascii="Times New Roman" w:hAnsi="Times New Roman" w:cs="Times New Roman"/>
        </w:rPr>
      </w:pPr>
    </w:p>
    <w:p w14:paraId="602B8940" w14:textId="41A69660" w:rsidR="009B3B3C" w:rsidRPr="003440A3" w:rsidRDefault="009B3B3C" w:rsidP="004B5FF2">
      <w:pPr>
        <w:rPr>
          <w:rFonts w:ascii="Times New Roman" w:hAnsi="Times New Roman" w:cs="Times New Roman"/>
        </w:rPr>
      </w:pPr>
      <w:r>
        <w:rPr>
          <w:rFonts w:ascii="Times New Roman" w:hAnsi="Times New Roman" w:cs="Times New Roman"/>
        </w:rPr>
        <w:t>Real Implication</w:t>
      </w:r>
    </w:p>
    <w:p w14:paraId="511EB77A" w14:textId="4D196BE9" w:rsidR="00363AFA"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363AF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4B61D66" w14:textId="24069532" w:rsidR="0010724F"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sidR="00834301">
        <w:rPr>
          <w:rFonts w:ascii="Times New Roman" w:hAnsi="Times New Roman" w:cs="Times New Roman"/>
        </w:rPr>
        <w:t xml:space="preserve"> is biased as it doesn’t consider the information from </w:t>
      </w:r>
      <m:oMath>
        <m:r>
          <w:rPr>
            <w:rFonts w:ascii="Cambria Math" w:hAnsi="Cambria Math" w:cs="Times New Roman"/>
          </w:rPr>
          <m:t>T-1</m:t>
        </m:r>
      </m:oMath>
      <w:r w:rsidR="00834301">
        <w:rPr>
          <w:rFonts w:ascii="Times New Roman" w:hAnsi="Times New Roman" w:cs="Times New Roman"/>
        </w:rPr>
        <w:t xml:space="preserve"> to </w:t>
      </w:r>
      <m:oMath>
        <m:r>
          <w:rPr>
            <w:rFonts w:ascii="Cambria Math" w:hAnsi="Cambria Math" w:cs="Times New Roman"/>
          </w:rPr>
          <m:t>T</m:t>
        </m:r>
      </m:oMath>
      <w:r w:rsidR="00834301">
        <w:rPr>
          <w:rFonts w:ascii="Times New Roman" w:hAnsi="Times New Roman" w:cs="Times New Roman"/>
        </w:rPr>
        <w:t>.</w:t>
      </w:r>
    </w:p>
    <w:p w14:paraId="40D0708B" w14:textId="13396C4D" w:rsidR="00834301" w:rsidRDefault="00A85E6E" w:rsidP="004B5FF2">
      <w:pPr>
        <w:rPr>
          <w:rFonts w:ascii="Times New Roman" w:hAnsi="Times New Roman" w:cs="Times New Roman"/>
        </w:rPr>
      </w:pPr>
      <w:r>
        <w:rPr>
          <w:rFonts w:ascii="Times New Roman" w:hAnsi="Times New Roman" w:cs="Times New Roman"/>
        </w:rPr>
        <w:t xml:space="preserve">We aim to provide an equation to build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Pr>
          <w:rFonts w:ascii="Times New Roman" w:hAnsi="Times New Roman" w:cs="Times New Roman"/>
        </w:rPr>
        <w:t xml:space="preserve"> with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Pr>
          <w:rFonts w:ascii="Times New Roman" w:hAnsi="Times New Roman" w:cs="Times New Roman"/>
        </w:rPr>
        <w:t xml:space="preserve"> and the information from </w:t>
      </w:r>
      <m:oMath>
        <m:r>
          <w:rPr>
            <w:rFonts w:ascii="Cambria Math" w:hAnsi="Cambria Math" w:cs="Times New Roman"/>
          </w:rPr>
          <m:t>T-1</m:t>
        </m:r>
      </m:oMath>
      <w:r>
        <w:rPr>
          <w:rFonts w:ascii="Times New Roman" w:hAnsi="Times New Roman" w:cs="Times New Roman"/>
        </w:rPr>
        <w:t xml:space="preserve"> to </w:t>
      </w:r>
      <m:oMath>
        <m:r>
          <w:rPr>
            <w:rFonts w:ascii="Cambria Math" w:hAnsi="Cambria Math" w:cs="Times New Roman"/>
          </w:rPr>
          <m:t>T</m:t>
        </m:r>
      </m:oMath>
      <w:r>
        <w:rPr>
          <w:rFonts w:ascii="Times New Roman" w:hAnsi="Times New Roman" w:cs="Times New Roman"/>
        </w:rPr>
        <w:t xml:space="preserve">, which is denoted by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is the hidden information during the period of (</w:t>
      </w:r>
      <m:oMath>
        <m:r>
          <w:rPr>
            <w:rFonts w:ascii="Cambria Math" w:hAnsi="Cambria Math" w:cs="Times New Roman"/>
          </w:rPr>
          <m:t>T-1</m:t>
        </m:r>
      </m:oMath>
      <w:r w:rsidR="004B5FF2">
        <w:rPr>
          <w:rFonts w:ascii="Times New Roman" w:hAnsi="Times New Roman" w:cs="Times New Roman"/>
        </w:rPr>
        <w:t xml:space="preserve">,T), it is unobservable, but </w:t>
      </w:r>
      <w:r w:rsidR="00961EEC">
        <w:rPr>
          <w:rFonts w:ascii="Times New Roman" w:hAnsi="Times New Roman" w:cs="Times New Roman"/>
        </w:rPr>
        <w:t xml:space="preserve">should still has the linear relationship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00961EEC">
        <w:rPr>
          <w:rFonts w:ascii="Times New Roman" w:hAnsi="Times New Roman" w:cs="Times New Roman"/>
        </w:rPr>
        <w:t>. Therefore, we have the new established formula:</w:t>
      </w:r>
    </w:p>
    <w:p w14:paraId="2FA37B50" w14:textId="0CF39354" w:rsidR="00961EEC" w:rsidRDefault="00000000" w:rsidP="00961EE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961EE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d>
              <m:dPr>
                <m:beg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CBAC33A" w14:textId="0FFC91A2" w:rsidR="00961EEC" w:rsidRDefault="00961EEC" w:rsidP="004B5FF2">
      <w:pPr>
        <w:rPr>
          <w:rFonts w:ascii="Times New Roman" w:hAnsi="Times New Roman" w:cs="Times New Roman"/>
        </w:rPr>
      </w:pPr>
    </w:p>
    <w:p w14:paraId="74840ACD" w14:textId="35174EAC" w:rsidR="0010724F" w:rsidRDefault="009C7BFD" w:rsidP="004B5FF2">
      <w:pPr>
        <w:rPr>
          <w:rFonts w:ascii="Times New Roman" w:hAnsi="Times New Roman" w:cs="Times New Roman"/>
        </w:rPr>
      </w:pPr>
      <w:r w:rsidRPr="009C7BFD">
        <w:rPr>
          <w:rFonts w:ascii="Times New Roman" w:hAnsi="Times New Roman" w:cs="Times New Roman"/>
        </w:rPr>
        <w:t xml:space="preserve">Based on our thinking, when the FFR is adjusted, Treasury Yield is affected first, while macroeconomic indicators are affected </w:t>
      </w:r>
      <w:r w:rsidR="0009271A">
        <w:rPr>
          <w:rFonts w:ascii="Times New Roman" w:hAnsi="Times New Roman" w:cs="Times New Roman"/>
        </w:rPr>
        <w:t>later on</w:t>
      </w:r>
      <w:r w:rsidRPr="009C7BFD">
        <w:rPr>
          <w:rFonts w:ascii="Times New Roman" w:hAnsi="Times New Roman" w:cs="Times New Roman"/>
        </w:rPr>
        <w:t>. This is because the adjustment of the FFR directly affects the cost of short-term borrowing, so that the short-term borrowing rates of banks and other financial institutions usually quickly follow the change in the FFR, which in turn affects Treasury Yield.</w:t>
      </w:r>
      <w:r w:rsidR="00403170">
        <w:rPr>
          <w:rFonts w:ascii="Times New Roman" w:hAnsi="Times New Roman" w:cs="Times New Roman"/>
        </w:rPr>
        <w:t xml:space="preserve"> </w:t>
      </w:r>
      <w:r w:rsidRPr="009C7BFD">
        <w:rPr>
          <w:rFonts w:ascii="Times New Roman" w:hAnsi="Times New Roman" w:cs="Times New Roman"/>
        </w:rPr>
        <w:t xml:space="preserve">However, macroeconomic indicators are affected by a variety of factors, and it usually takes time for changes in the economy to be transmitted, </w:t>
      </w:r>
      <w:proofErr w:type="gramStart"/>
      <w:r w:rsidRPr="009C7BFD">
        <w:rPr>
          <w:rFonts w:ascii="Times New Roman" w:hAnsi="Times New Roman" w:cs="Times New Roman"/>
        </w:rPr>
        <w:t>e.g.</w:t>
      </w:r>
      <w:proofErr w:type="gramEnd"/>
      <w:r w:rsidRPr="009C7BFD">
        <w:rPr>
          <w:rFonts w:ascii="Times New Roman" w:hAnsi="Times New Roman" w:cs="Times New Roman"/>
        </w:rPr>
        <w:t xml:space="preserve"> it takes some time for firms and individuals to make decisions about investing and consuming. time to adjust to the new interest rate environment.</w:t>
      </w:r>
      <w:r w:rsidR="004F4E41">
        <w:rPr>
          <w:rFonts w:ascii="Times New Roman" w:hAnsi="Times New Roman" w:cs="Times New Roman"/>
        </w:rPr>
        <w:t xml:space="preserve"> </w:t>
      </w:r>
      <w:r w:rsidR="00402BED" w:rsidRPr="00402BED">
        <w:rPr>
          <w:rFonts w:ascii="Times New Roman" w:hAnsi="Times New Roman" w:cs="Times New Roman"/>
        </w:rPr>
        <w:t xml:space="preserve">In addition, changes in Treasury yields have a direct impact on capital markets, which in turn affect economic activity and ultimately the macroeconomy. </w:t>
      </w:r>
      <w:r w:rsidR="009D5939">
        <w:rPr>
          <w:rFonts w:ascii="Times New Roman" w:hAnsi="Times New Roman" w:cs="Times New Roman"/>
        </w:rPr>
        <w:t>[4]</w:t>
      </w:r>
      <w:r w:rsidR="00402BED" w:rsidRPr="00402BED">
        <w:rPr>
          <w:rFonts w:ascii="Times New Roman" w:hAnsi="Times New Roman" w:cs="Times New Roman"/>
        </w:rPr>
        <w:t xml:space="preserve"> stated that </w:t>
      </w:r>
      <w:r w:rsidR="00AE0466">
        <w:rPr>
          <w:rFonts w:ascii="Times New Roman" w:hAnsi="Times New Roman" w:cs="Times New Roman"/>
        </w:rPr>
        <w:t>the s</w:t>
      </w:r>
      <w:r w:rsidR="00402BED" w:rsidRPr="00402BED">
        <w:rPr>
          <w:rFonts w:ascii="Times New Roman" w:hAnsi="Times New Roman" w:cs="Times New Roman"/>
        </w:rPr>
        <w:t>hort-term bond yields have relatively significant transmission effects on some output variables, such as consumption, investment, and the consumer price index</w:t>
      </w:r>
      <w:r w:rsidR="001603F9">
        <w:rPr>
          <w:rFonts w:ascii="Times New Roman" w:hAnsi="Times New Roman" w:cs="Times New Roman"/>
        </w:rPr>
        <w:t xml:space="preserve">, which are the macro indicators we concerned. </w:t>
      </w:r>
    </w:p>
    <w:p w14:paraId="61F3CCC9" w14:textId="77777777" w:rsidR="0010724F" w:rsidRDefault="0010724F" w:rsidP="004B5FF2">
      <w:pPr>
        <w:rPr>
          <w:rFonts w:ascii="Times New Roman" w:hAnsi="Times New Roman" w:cs="Times New Roman"/>
        </w:rPr>
      </w:pPr>
    </w:p>
    <w:p w14:paraId="287B5DE8" w14:textId="3108A762" w:rsidR="00F500F5" w:rsidRPr="0004300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0420A088" w14:textId="77777777" w:rsidR="007F59B1" w:rsidRDefault="007F59B1" w:rsidP="004B5FF2">
      <w:pPr>
        <w:rPr>
          <w:rFonts w:ascii="Times New Roman" w:hAnsi="Times New Roman" w:cs="Times New Roman"/>
        </w:rPr>
      </w:pPr>
    </w:p>
    <w:p w14:paraId="01B0E9C5" w14:textId="77777777" w:rsidR="000A6B92" w:rsidRDefault="000A6B92" w:rsidP="004B5FF2">
      <w:pPr>
        <w:rPr>
          <w:rFonts w:ascii="Times New Roman" w:hAnsi="Times New Roman" w:cs="Times New Roman"/>
        </w:rPr>
      </w:pPr>
    </w:p>
    <w:p w14:paraId="13642E37" w14:textId="286F1EC9" w:rsidR="007F59B1" w:rsidRPr="00043005" w:rsidRDefault="00990FA5" w:rsidP="004B5FF2">
      <w:pPr>
        <w:rPr>
          <w:rFonts w:ascii="Times New Roman" w:hAnsi="Times New Roman" w:cs="Times New Roman"/>
          <w:b/>
          <w:bCs/>
        </w:rPr>
      </w:pPr>
      <w:r w:rsidRPr="00043005">
        <w:rPr>
          <w:rFonts w:ascii="Times New Roman" w:hAnsi="Times New Roman" w:cs="Times New Roman"/>
          <w:b/>
          <w:bCs/>
        </w:rPr>
        <w:t>Conclusion</w:t>
      </w:r>
    </w:p>
    <w:p w14:paraId="349307D7" w14:textId="77777777" w:rsidR="00CE4800" w:rsidRDefault="00CE4800" w:rsidP="004B5FF2">
      <w:pPr>
        <w:rPr>
          <w:rFonts w:ascii="Times New Roman" w:hAnsi="Times New Roman" w:cs="Times New Roman"/>
        </w:rPr>
      </w:pPr>
    </w:p>
    <w:p w14:paraId="07D9AA8C" w14:textId="77777777" w:rsidR="00B130AC" w:rsidRDefault="00B130AC" w:rsidP="004B5FF2">
      <w:pPr>
        <w:rPr>
          <w:rFonts w:ascii="Times New Roman" w:hAnsi="Times New Roman" w:cs="Times New Roman"/>
        </w:rPr>
      </w:pPr>
    </w:p>
    <w:p w14:paraId="575CE31C" w14:textId="0F0A4C6E" w:rsidR="00B16D7A" w:rsidRPr="00043005" w:rsidRDefault="00B16D7A" w:rsidP="004B5FF2">
      <w:pPr>
        <w:rPr>
          <w:rFonts w:ascii="Times New Roman" w:hAnsi="Times New Roman" w:cs="Times New Roman"/>
          <w:b/>
          <w:bCs/>
        </w:rPr>
      </w:pPr>
      <w:r w:rsidRPr="00043005">
        <w:rPr>
          <w:rFonts w:ascii="Times New Roman" w:hAnsi="Times New Roman" w:cs="Times New Roman"/>
          <w:b/>
          <w:bCs/>
        </w:rPr>
        <w:t>Reference</w:t>
      </w:r>
    </w:p>
    <w:p w14:paraId="2549556B" w14:textId="77777777" w:rsidR="00351F56" w:rsidRDefault="00351F56" w:rsidP="004B5FF2">
      <w:pPr>
        <w:rPr>
          <w:rFonts w:ascii="Times New Roman" w:hAnsi="Times New Roman" w:cs="Times New Roman"/>
        </w:rPr>
      </w:pPr>
    </w:p>
    <w:p w14:paraId="40AC71CD" w14:textId="77777777" w:rsidR="00D72BB2" w:rsidRDefault="00D72BB2" w:rsidP="004B5FF2">
      <w:pPr>
        <w:rPr>
          <w:rFonts w:ascii="Times New Roman" w:hAnsi="Times New Roman" w:cs="Times New Roman"/>
        </w:rPr>
      </w:pPr>
    </w:p>
    <w:p w14:paraId="35367E2B" w14:textId="08791005" w:rsidR="00CE4800" w:rsidRDefault="00AE47D8"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1</w:t>
      </w:r>
      <w:r>
        <w:rPr>
          <w:rFonts w:ascii="Times New Roman" w:hAnsi="Times New Roman" w:cs="Times New Roman"/>
        </w:rPr>
        <w:t>] Bloomberg Terminal Data on Treasury Yields (USGG). Bloomberg Terminal, 2023-09-25.</w:t>
      </w:r>
    </w:p>
    <w:p w14:paraId="7FA923D4" w14:textId="77777777" w:rsidR="00D72BB2" w:rsidRDefault="00D72BB2" w:rsidP="004B5FF2">
      <w:pPr>
        <w:rPr>
          <w:rFonts w:ascii="Times New Roman" w:hAnsi="Times New Roman" w:cs="Times New Roman"/>
        </w:rPr>
      </w:pPr>
    </w:p>
    <w:p w14:paraId="58AD1155" w14:textId="27683B0D" w:rsidR="00D72BB2" w:rsidRDefault="00541A52"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2</w:t>
      </w:r>
      <w:r>
        <w:rPr>
          <w:rFonts w:ascii="Times New Roman" w:hAnsi="Times New Roman" w:cs="Times New Roman"/>
        </w:rPr>
        <w:t xml:space="preserve">] </w:t>
      </w:r>
      <w:r w:rsidR="00D72BB2" w:rsidRPr="00D72BB2">
        <w:rPr>
          <w:rFonts w:ascii="Times New Roman" w:hAnsi="Times New Roman" w:cs="Times New Roman"/>
        </w:rPr>
        <w:t xml:space="preserve">Brooks, Jordan, et al. “Post-FOMC Announcement Drift in U.S. Bond Markets.” </w:t>
      </w:r>
      <w:r w:rsidR="00D72BB2" w:rsidRPr="00140B7B">
        <w:rPr>
          <w:rFonts w:ascii="Times New Roman" w:hAnsi="Times New Roman" w:cs="Times New Roman"/>
          <w:i/>
          <w:iCs/>
        </w:rPr>
        <w:t>National Bureau of Economic Research</w:t>
      </w:r>
      <w:r w:rsidR="00D72BB2" w:rsidRPr="00D72BB2">
        <w:rPr>
          <w:rFonts w:ascii="Times New Roman" w:hAnsi="Times New Roman" w:cs="Times New Roman"/>
        </w:rPr>
        <w:t xml:space="preserve">, 1 Oct. 2018, </w:t>
      </w:r>
      <w:r w:rsidR="001F7212" w:rsidRPr="001F7212">
        <w:rPr>
          <w:rFonts w:ascii="Times New Roman" w:hAnsi="Times New Roman" w:cs="Times New Roman"/>
        </w:rPr>
        <w:t>www.nber.org/papers/w25127</w:t>
      </w:r>
      <w:r w:rsidR="00D72BB2" w:rsidRPr="00D72BB2">
        <w:rPr>
          <w:rFonts w:ascii="Times New Roman" w:hAnsi="Times New Roman" w:cs="Times New Roman"/>
        </w:rPr>
        <w:t>.</w:t>
      </w:r>
    </w:p>
    <w:p w14:paraId="47268A62" w14:textId="77777777" w:rsidR="001F7212" w:rsidRDefault="001F7212" w:rsidP="004B5FF2">
      <w:pPr>
        <w:rPr>
          <w:rFonts w:ascii="Times New Roman" w:hAnsi="Times New Roman" w:cs="Times New Roman"/>
        </w:rPr>
      </w:pPr>
    </w:p>
    <w:p w14:paraId="21B77BC8" w14:textId="34B7C122" w:rsidR="001F7212" w:rsidRDefault="001F7212"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3</w:t>
      </w:r>
      <w:r>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7AD61DB0" w14:textId="77777777" w:rsidR="004F4E41" w:rsidRDefault="004F4E41" w:rsidP="004B5FF2">
      <w:pPr>
        <w:rPr>
          <w:rFonts w:ascii="Times New Roman" w:hAnsi="Times New Roman" w:cs="Times New Roman"/>
        </w:rPr>
      </w:pPr>
    </w:p>
    <w:p w14:paraId="7703B465" w14:textId="664DB3EB" w:rsidR="004F4E41" w:rsidRDefault="0024719A" w:rsidP="004B5FF2">
      <w:pPr>
        <w:rPr>
          <w:rFonts w:ascii="Times New Roman" w:hAnsi="Times New Roman" w:cs="Times New Roman"/>
        </w:rPr>
      </w:pPr>
      <w:r>
        <w:rPr>
          <w:rFonts w:ascii="Times New Roman" w:hAnsi="Times New Roman" w:cs="Times New Roman"/>
        </w:rPr>
        <w:t xml:space="preserve">[4] </w:t>
      </w:r>
      <w:r w:rsidR="004F4E41" w:rsidRPr="004F4E41">
        <w:rPr>
          <w:rFonts w:ascii="Times New Roman" w:hAnsi="Times New Roman" w:cs="Times New Roman"/>
        </w:rPr>
        <w:t xml:space="preserve">Zhang, Hui, and Hao Huang. “An Empirical Study of the Asset Price Channel of Monetary Policy Transmission in China.” </w:t>
      </w:r>
      <w:r w:rsidR="004F4E41" w:rsidRPr="009D2A46">
        <w:rPr>
          <w:rFonts w:ascii="Times New Roman" w:hAnsi="Times New Roman" w:cs="Times New Roman"/>
          <w:i/>
          <w:iCs/>
        </w:rPr>
        <w:t>Emerging Markets Finance and Trade</w:t>
      </w:r>
      <w:r w:rsidR="004F4E41" w:rsidRPr="004F4E41">
        <w:rPr>
          <w:rFonts w:ascii="Times New Roman" w:hAnsi="Times New Roman" w:cs="Times New Roman"/>
        </w:rPr>
        <w:t>, vol. 53, no. 6, 8 Nov. 2016, pp. 1278–1288</w:t>
      </w:r>
      <w:r w:rsidR="00FC599A">
        <w:rPr>
          <w:rFonts w:ascii="Times New Roman" w:hAnsi="Times New Roman" w:cs="Times New Roman"/>
        </w:rPr>
        <w:t>.</w:t>
      </w:r>
    </w:p>
    <w:p w14:paraId="7FC4C1C7" w14:textId="77777777" w:rsidR="00897A30" w:rsidRDefault="00897A30" w:rsidP="004B5FF2">
      <w:pPr>
        <w:rPr>
          <w:rFonts w:ascii="Times New Roman" w:hAnsi="Times New Roman" w:cs="Times New Roman"/>
        </w:rPr>
      </w:pPr>
    </w:p>
    <w:p w14:paraId="68A1BA7F" w14:textId="7B662957" w:rsidR="00897A30" w:rsidRDefault="0099503C" w:rsidP="004B5FF2">
      <w:pPr>
        <w:rPr>
          <w:rFonts w:ascii="Times New Roman" w:hAnsi="Times New Roman" w:cs="Times New Roman"/>
        </w:rPr>
      </w:pPr>
      <w:r>
        <w:rPr>
          <w:rFonts w:ascii="Times New Roman" w:hAnsi="Times New Roman" w:cs="Times New Roman"/>
        </w:rPr>
        <w:t xml:space="preserve">[5] </w:t>
      </w:r>
      <w:r w:rsidR="00F7394E" w:rsidRPr="00F7394E">
        <w:rPr>
          <w:rFonts w:ascii="Times New Roman" w:hAnsi="Times New Roman" w:cs="Times New Roman"/>
        </w:rPr>
        <w:t xml:space="preserve">Diebold, Francis X, et al. “Modeling Bond Yields in Finance and Macroeconomics.” </w:t>
      </w:r>
      <w:r w:rsidR="00F7394E" w:rsidRPr="00BC0F7E">
        <w:rPr>
          <w:rFonts w:ascii="Times New Roman" w:hAnsi="Times New Roman" w:cs="Times New Roman"/>
          <w:i/>
          <w:iCs/>
        </w:rPr>
        <w:t>American Economic Review</w:t>
      </w:r>
      <w:r w:rsidR="00F7394E" w:rsidRPr="00F7394E">
        <w:rPr>
          <w:rFonts w:ascii="Times New Roman" w:hAnsi="Times New Roman" w:cs="Times New Roman"/>
        </w:rPr>
        <w:t>, vol. 95, no. 2, 1 Apr. 2005, pp. 415–420</w:t>
      </w:r>
      <w:r w:rsidR="0049410A">
        <w:rPr>
          <w:rFonts w:ascii="Times New Roman" w:hAnsi="Times New Roman" w:cs="Times New Roman"/>
        </w:rPr>
        <w:t>.</w:t>
      </w:r>
    </w:p>
    <w:p w14:paraId="7EBAAC18" w14:textId="77777777" w:rsidR="0099503C" w:rsidRDefault="0099503C" w:rsidP="004B5FF2">
      <w:pPr>
        <w:rPr>
          <w:rFonts w:ascii="Times New Roman" w:hAnsi="Times New Roman" w:cs="Times New Roman"/>
        </w:rPr>
      </w:pPr>
    </w:p>
    <w:p w14:paraId="099CD2C8" w14:textId="46C8FD88" w:rsidR="0099503C" w:rsidRDefault="0099503C" w:rsidP="004B5FF2">
      <w:pPr>
        <w:rPr>
          <w:rFonts w:ascii="Times New Roman" w:hAnsi="Times New Roman" w:cs="Times New Roman"/>
        </w:rPr>
      </w:pPr>
      <w:r>
        <w:rPr>
          <w:rFonts w:ascii="Times New Roman" w:hAnsi="Times New Roman" w:cs="Times New Roman"/>
        </w:rPr>
        <w:t xml:space="preserve">[6] </w:t>
      </w:r>
      <w:r w:rsidR="002734BF" w:rsidRPr="002734BF">
        <w:rPr>
          <w:rFonts w:ascii="Times New Roman" w:hAnsi="Times New Roman" w:cs="Times New Roman"/>
        </w:rPr>
        <w:t xml:space="preserve">Evans, Charles L., and David A. Marshall. “Economic Determinants of the Nominal Treasury Yield Curve.” </w:t>
      </w:r>
      <w:r w:rsidR="002734BF" w:rsidRPr="00604B28">
        <w:rPr>
          <w:rFonts w:ascii="Times New Roman" w:hAnsi="Times New Roman" w:cs="Times New Roman"/>
          <w:i/>
          <w:iCs/>
        </w:rPr>
        <w:t>Journal of Monetary Economics</w:t>
      </w:r>
      <w:r w:rsidR="002734BF" w:rsidRPr="002734BF">
        <w:rPr>
          <w:rFonts w:ascii="Times New Roman" w:hAnsi="Times New Roman" w:cs="Times New Roman"/>
        </w:rPr>
        <w:t>, vol. 54, no. 7, Oct. 2007, pp. 1986–2003.</w:t>
      </w:r>
    </w:p>
    <w:p w14:paraId="7A470187" w14:textId="77777777" w:rsidR="0099503C" w:rsidRDefault="0099503C" w:rsidP="004B5FF2">
      <w:pPr>
        <w:rPr>
          <w:rFonts w:ascii="Times New Roman" w:hAnsi="Times New Roman" w:cs="Times New Roman"/>
        </w:rPr>
      </w:pPr>
    </w:p>
    <w:p w14:paraId="0D9346D0" w14:textId="2E3A451B" w:rsidR="0099503C" w:rsidRDefault="0099503C" w:rsidP="004B5FF2">
      <w:pPr>
        <w:rPr>
          <w:rFonts w:ascii="Times New Roman" w:hAnsi="Times New Roman" w:cs="Times New Roman"/>
        </w:rPr>
      </w:pPr>
      <w:r>
        <w:rPr>
          <w:rFonts w:ascii="Times New Roman" w:hAnsi="Times New Roman" w:cs="Times New Roman"/>
        </w:rPr>
        <w:t xml:space="preserve">[7] </w:t>
      </w:r>
    </w:p>
    <w:p w14:paraId="3C7F80EB" w14:textId="77777777" w:rsidR="0099503C" w:rsidRDefault="0099503C" w:rsidP="004B5FF2">
      <w:pPr>
        <w:rPr>
          <w:rFonts w:ascii="Times New Roman" w:hAnsi="Times New Roman" w:cs="Times New Roman"/>
        </w:rPr>
      </w:pPr>
    </w:p>
    <w:p w14:paraId="4005B248" w14:textId="5528F7BC" w:rsidR="0099503C" w:rsidRDefault="0099503C" w:rsidP="004B5FF2">
      <w:pPr>
        <w:rPr>
          <w:rFonts w:ascii="Times New Roman" w:hAnsi="Times New Roman" w:cs="Times New Roman"/>
        </w:rPr>
      </w:pPr>
      <w:r>
        <w:rPr>
          <w:rFonts w:ascii="Times New Roman" w:hAnsi="Times New Roman" w:cs="Times New Roman"/>
        </w:rPr>
        <w:t xml:space="preserve">[8] </w:t>
      </w:r>
    </w:p>
    <w:p w14:paraId="72EC7E32" w14:textId="77777777" w:rsidR="0099503C" w:rsidRDefault="0099503C" w:rsidP="004B5FF2">
      <w:pPr>
        <w:rPr>
          <w:rFonts w:ascii="Times New Roman" w:hAnsi="Times New Roman" w:cs="Times New Roman"/>
        </w:rPr>
      </w:pPr>
    </w:p>
    <w:p w14:paraId="48ADC655" w14:textId="0FE2D616" w:rsidR="0099503C" w:rsidRDefault="00BB401E" w:rsidP="004B5FF2">
      <w:pPr>
        <w:rPr>
          <w:rFonts w:ascii="Times New Roman" w:hAnsi="Times New Roman" w:cs="Times New Roman"/>
        </w:rPr>
      </w:pPr>
      <w:r w:rsidRPr="00BB401E">
        <w:rPr>
          <w:rFonts w:ascii="Times New Roman" w:hAnsi="Times New Roman" w:cs="Times New Roman"/>
        </w:rPr>
        <w:t xml:space="preserve">U.S. BUREAU OF LABOR STATISTICS. “12-Month Percentage Change, Consumer Price Index, Selected Categories.” </w:t>
      </w:r>
      <w:r w:rsidRPr="000623CE">
        <w:rPr>
          <w:rFonts w:ascii="Times New Roman" w:hAnsi="Times New Roman" w:cs="Times New Roman"/>
          <w:i/>
          <w:iCs/>
        </w:rPr>
        <w:t>Bls.gov</w:t>
      </w:r>
      <w:r w:rsidRPr="00BB401E">
        <w:rPr>
          <w:rFonts w:ascii="Times New Roman" w:hAnsi="Times New Roman" w:cs="Times New Roman"/>
        </w:rPr>
        <w:t>, 2023, www.bls.gov/charts/consumer-price-index/consumer-price-index-by-category-line-chart.htm.</w:t>
      </w:r>
    </w:p>
    <w:p w14:paraId="39E70EF2" w14:textId="77777777" w:rsidR="0099503C" w:rsidRDefault="0099503C" w:rsidP="004B5FF2">
      <w:pPr>
        <w:rPr>
          <w:rFonts w:ascii="Times New Roman" w:hAnsi="Times New Roman" w:cs="Times New Roman"/>
        </w:rPr>
      </w:pPr>
    </w:p>
    <w:p w14:paraId="1A4E6B79" w14:textId="77777777" w:rsidR="0099503C" w:rsidRDefault="0099503C" w:rsidP="004B5FF2">
      <w:pPr>
        <w:rPr>
          <w:rFonts w:ascii="Times New Roman" w:hAnsi="Times New Roman" w:cs="Times New Roman"/>
        </w:rPr>
      </w:pPr>
    </w:p>
    <w:p w14:paraId="0A53AC1E" w14:textId="77777777" w:rsidR="00897A30" w:rsidRPr="0070170D" w:rsidRDefault="00897A30" w:rsidP="004B5FF2">
      <w:pPr>
        <w:rPr>
          <w:rFonts w:ascii="Times New Roman" w:hAnsi="Times New Roman" w:cs="Times New Roman"/>
        </w:rPr>
      </w:pPr>
    </w:p>
    <w:sectPr w:rsidR="00897A30" w:rsidRPr="00701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255"/>
    <w:multiLevelType w:val="hybridMultilevel"/>
    <w:tmpl w:val="60A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14A1A"/>
    <w:multiLevelType w:val="hybridMultilevel"/>
    <w:tmpl w:val="299C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24831"/>
    <w:multiLevelType w:val="hybridMultilevel"/>
    <w:tmpl w:val="F250A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535988">
    <w:abstractNumId w:val="2"/>
  </w:num>
  <w:num w:numId="2" w16cid:durableId="1052117842">
    <w:abstractNumId w:val="4"/>
  </w:num>
  <w:num w:numId="3" w16cid:durableId="1116025425">
    <w:abstractNumId w:val="5"/>
  </w:num>
  <w:num w:numId="4" w16cid:durableId="2060934440">
    <w:abstractNumId w:val="3"/>
  </w:num>
  <w:num w:numId="5" w16cid:durableId="1221945434">
    <w:abstractNumId w:val="1"/>
  </w:num>
  <w:num w:numId="6" w16cid:durableId="106287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2A87"/>
    <w:rsid w:val="00017178"/>
    <w:rsid w:val="00021C6B"/>
    <w:rsid w:val="00043005"/>
    <w:rsid w:val="000623CE"/>
    <w:rsid w:val="000801BF"/>
    <w:rsid w:val="0009271A"/>
    <w:rsid w:val="00096D6A"/>
    <w:rsid w:val="000A6B92"/>
    <w:rsid w:val="000D190D"/>
    <w:rsid w:val="000E22F3"/>
    <w:rsid w:val="0010724F"/>
    <w:rsid w:val="0011772B"/>
    <w:rsid w:val="00135C62"/>
    <w:rsid w:val="00140B7B"/>
    <w:rsid w:val="00155EA0"/>
    <w:rsid w:val="00156403"/>
    <w:rsid w:val="001603F9"/>
    <w:rsid w:val="001856E4"/>
    <w:rsid w:val="00193267"/>
    <w:rsid w:val="001A1F07"/>
    <w:rsid w:val="001A415C"/>
    <w:rsid w:val="001E6603"/>
    <w:rsid w:val="001F591C"/>
    <w:rsid w:val="001F7212"/>
    <w:rsid w:val="002131F1"/>
    <w:rsid w:val="0024719A"/>
    <w:rsid w:val="002734BF"/>
    <w:rsid w:val="002A216E"/>
    <w:rsid w:val="002B27EA"/>
    <w:rsid w:val="002B60BB"/>
    <w:rsid w:val="002C375D"/>
    <w:rsid w:val="002D505D"/>
    <w:rsid w:val="002D6CB0"/>
    <w:rsid w:val="002E676F"/>
    <w:rsid w:val="002F396B"/>
    <w:rsid w:val="003512EA"/>
    <w:rsid w:val="00351F56"/>
    <w:rsid w:val="00353C8B"/>
    <w:rsid w:val="0036086A"/>
    <w:rsid w:val="00363AFA"/>
    <w:rsid w:val="00375E1A"/>
    <w:rsid w:val="003A2B85"/>
    <w:rsid w:val="003A5646"/>
    <w:rsid w:val="003D2CBC"/>
    <w:rsid w:val="00402BED"/>
    <w:rsid w:val="00403170"/>
    <w:rsid w:val="004103F9"/>
    <w:rsid w:val="0045499B"/>
    <w:rsid w:val="004856EE"/>
    <w:rsid w:val="0049410A"/>
    <w:rsid w:val="004A1470"/>
    <w:rsid w:val="004B5432"/>
    <w:rsid w:val="004B5FF2"/>
    <w:rsid w:val="004C3093"/>
    <w:rsid w:val="004E44FB"/>
    <w:rsid w:val="004F4E41"/>
    <w:rsid w:val="005204DD"/>
    <w:rsid w:val="00541A52"/>
    <w:rsid w:val="00545C79"/>
    <w:rsid w:val="005521B0"/>
    <w:rsid w:val="00561FE7"/>
    <w:rsid w:val="00594B3C"/>
    <w:rsid w:val="005B3514"/>
    <w:rsid w:val="005D1839"/>
    <w:rsid w:val="00604B28"/>
    <w:rsid w:val="0061051B"/>
    <w:rsid w:val="00611DC9"/>
    <w:rsid w:val="00617749"/>
    <w:rsid w:val="00625CBC"/>
    <w:rsid w:val="00630E05"/>
    <w:rsid w:val="006440A2"/>
    <w:rsid w:val="00663A5D"/>
    <w:rsid w:val="006652C5"/>
    <w:rsid w:val="006654FF"/>
    <w:rsid w:val="00675796"/>
    <w:rsid w:val="006D2D83"/>
    <w:rsid w:val="0070170D"/>
    <w:rsid w:val="0074222B"/>
    <w:rsid w:val="00751A7F"/>
    <w:rsid w:val="007633C0"/>
    <w:rsid w:val="00775A57"/>
    <w:rsid w:val="007A00A8"/>
    <w:rsid w:val="007B50C8"/>
    <w:rsid w:val="007C1C5E"/>
    <w:rsid w:val="007F59B1"/>
    <w:rsid w:val="00834301"/>
    <w:rsid w:val="00837C1C"/>
    <w:rsid w:val="0084545D"/>
    <w:rsid w:val="00884D96"/>
    <w:rsid w:val="008978FD"/>
    <w:rsid w:val="00897A30"/>
    <w:rsid w:val="008E3E72"/>
    <w:rsid w:val="008F3354"/>
    <w:rsid w:val="008F5D69"/>
    <w:rsid w:val="00922B86"/>
    <w:rsid w:val="00931A10"/>
    <w:rsid w:val="00932B91"/>
    <w:rsid w:val="00934927"/>
    <w:rsid w:val="00961EEC"/>
    <w:rsid w:val="0096601C"/>
    <w:rsid w:val="00990FA5"/>
    <w:rsid w:val="00992E4E"/>
    <w:rsid w:val="0099503C"/>
    <w:rsid w:val="009A32FE"/>
    <w:rsid w:val="009A3C72"/>
    <w:rsid w:val="009B3B3C"/>
    <w:rsid w:val="009C7BFD"/>
    <w:rsid w:val="009D264C"/>
    <w:rsid w:val="009D2A46"/>
    <w:rsid w:val="009D5939"/>
    <w:rsid w:val="009F0AEA"/>
    <w:rsid w:val="009F7FE4"/>
    <w:rsid w:val="00A2020A"/>
    <w:rsid w:val="00A60EC4"/>
    <w:rsid w:val="00A7515D"/>
    <w:rsid w:val="00A75B8B"/>
    <w:rsid w:val="00A85E6E"/>
    <w:rsid w:val="00AA0E69"/>
    <w:rsid w:val="00AC119F"/>
    <w:rsid w:val="00AE0466"/>
    <w:rsid w:val="00AE47D8"/>
    <w:rsid w:val="00B130AC"/>
    <w:rsid w:val="00B16D7A"/>
    <w:rsid w:val="00B20CF7"/>
    <w:rsid w:val="00B5541F"/>
    <w:rsid w:val="00B85876"/>
    <w:rsid w:val="00BB401E"/>
    <w:rsid w:val="00BC0F7E"/>
    <w:rsid w:val="00C22DEA"/>
    <w:rsid w:val="00C36894"/>
    <w:rsid w:val="00C640B4"/>
    <w:rsid w:val="00C8370B"/>
    <w:rsid w:val="00CE4800"/>
    <w:rsid w:val="00CE79E8"/>
    <w:rsid w:val="00D12E04"/>
    <w:rsid w:val="00D325CA"/>
    <w:rsid w:val="00D4409B"/>
    <w:rsid w:val="00D72BB2"/>
    <w:rsid w:val="00DA1B00"/>
    <w:rsid w:val="00DA54C8"/>
    <w:rsid w:val="00DB687B"/>
    <w:rsid w:val="00DD2A87"/>
    <w:rsid w:val="00DE30DA"/>
    <w:rsid w:val="00E50278"/>
    <w:rsid w:val="00E708FF"/>
    <w:rsid w:val="00EA22C9"/>
    <w:rsid w:val="00ED29B7"/>
    <w:rsid w:val="00ED2FB6"/>
    <w:rsid w:val="00ED5AD0"/>
    <w:rsid w:val="00F1593D"/>
    <w:rsid w:val="00F33B43"/>
    <w:rsid w:val="00F500F5"/>
    <w:rsid w:val="00F520DA"/>
    <w:rsid w:val="00F7394E"/>
    <w:rsid w:val="00F83961"/>
    <w:rsid w:val="00F83C58"/>
    <w:rsid w:val="00F84C09"/>
    <w:rsid w:val="00F93F6A"/>
    <w:rsid w:val="00FA1853"/>
    <w:rsid w:val="00FC599A"/>
    <w:rsid w:val="00FF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semiHidden/>
    <w:unhideWhenUsed/>
    <w:rsid w:val="000D190D"/>
    <w:rPr>
      <w:sz w:val="20"/>
      <w:szCs w:val="20"/>
    </w:rPr>
  </w:style>
  <w:style w:type="character" w:customStyle="1" w:styleId="CommentTextChar">
    <w:name w:val="Comment Text Char"/>
    <w:basedOn w:val="DefaultParagraphFont"/>
    <w:link w:val="CommentText"/>
    <w:uiPriority w:val="99"/>
    <w:semiHidden/>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159</cp:revision>
  <dcterms:created xsi:type="dcterms:W3CDTF">2023-10-08T09:37:00Z</dcterms:created>
  <dcterms:modified xsi:type="dcterms:W3CDTF">2023-10-22T10:17:00Z</dcterms:modified>
</cp:coreProperties>
</file>