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3366"/>
          <w:sz w:val="56"/>
        </w:rPr>
        <w:t>Rapport de Mise en Place</w:t>
      </w:r>
    </w:p>
    <w:p>
      <w:pPr>
        <w:jc w:val="center"/>
      </w:pPr>
      <w:r>
        <w:rPr>
          <w:color w:val="646464"/>
          <w:sz w:val="32"/>
        </w:rPr>
        <w:t>Analyse des donnees hospitalieres</w:t>
        <w:br/>
        <w:t>PSL-CFX (Pitie-Salpetriere / Charles Foix)</w:t>
      </w:r>
    </w:p>
    <w:p/>
    <w:p>
      <w:pPr>
        <w:jc w:val="center"/>
      </w:pPr>
      <w:r>
        <w:rPr>
          <w:i/>
          <w:color w:val="646464"/>
          <w:sz w:val="24"/>
        </w:rPr>
        <w:t>Propositions pour gerer les afflux de patients</w:t>
        <w:br/>
        <w:t>et se preparer aux crises sanitaires</w:t>
      </w:r>
    </w:p>
    <w:p/>
    <w:p>
      <w:pPr>
        <w:jc w:val="center"/>
      </w:pPr>
      <w:r>
        <w:rPr>
          <w:color w:val="646464"/>
          <w:sz w:val="24"/>
        </w:rPr>
        <w:t>Fevrier 2026</w:t>
      </w:r>
    </w:p>
    <w:p>
      <w:r>
        <w:br w:type="page"/>
      </w:r>
    </w:p>
    <w:p>
      <w:pPr>
        <w:pStyle w:val="Heading1"/>
      </w:pPr>
      <w:r>
        <w:rPr>
          <w:color w:val="003366"/>
        </w:rPr>
        <w:t>Sommaire</w:t>
      </w:r>
    </w:p>
    <w:p/>
    <w:p>
      <w:r>
        <w:rPr>
          <w:b/>
          <w:color w:val="003366"/>
          <w:sz w:val="24"/>
        </w:rPr>
        <w:t xml:space="preserve">1. </w:t>
      </w:r>
      <w:r>
        <w:rPr>
          <w:b/>
          <w:sz w:val="24"/>
        </w:rPr>
        <w:t>Logistique hospitaliere</w:t>
      </w:r>
      <w:r>
        <w:rPr>
          <w:color w:val="646464"/>
          <w:sz w:val="20"/>
        </w:rPr>
        <w:t xml:space="preserve"> -- Synthese des flux materiels</w:t>
      </w:r>
    </w:p>
    <w:p>
      <w:r>
        <w:rPr>
          <w:b/>
          <w:color w:val="003366"/>
          <w:sz w:val="24"/>
        </w:rPr>
        <w:t xml:space="preserve">2. </w:t>
      </w:r>
      <w:r>
        <w:rPr>
          <w:b/>
          <w:sz w:val="24"/>
        </w:rPr>
        <w:t>Patients</w:t>
      </w:r>
      <w:r>
        <w:rPr>
          <w:color w:val="646464"/>
          <w:sz w:val="20"/>
        </w:rPr>
        <w:t xml:space="preserve"> -- Urgences, profil et parcours de soins</w:t>
      </w:r>
    </w:p>
    <w:p>
      <w:r>
        <w:rPr>
          <w:b/>
          <w:color w:val="003366"/>
          <w:sz w:val="24"/>
        </w:rPr>
        <w:t xml:space="preserve">3. </w:t>
      </w:r>
      <w:r>
        <w:rPr>
          <w:b/>
          <w:sz w:val="24"/>
        </w:rPr>
        <w:t>Activite et services</w:t>
      </w:r>
      <w:r>
        <w:rPr>
          <w:color w:val="646464"/>
          <w:sz w:val="20"/>
        </w:rPr>
        <w:t xml:space="preserve"> -- (a venir)</w:t>
      </w:r>
    </w:p>
    <w:p>
      <w:r>
        <w:rPr>
          <w:b/>
          <w:color w:val="003366"/>
          <w:sz w:val="24"/>
        </w:rPr>
        <w:t xml:space="preserve">4. </w:t>
      </w:r>
      <w:r>
        <w:rPr>
          <w:b/>
          <w:sz w:val="24"/>
        </w:rPr>
        <w:t>Capacite d'accueil</w:t>
      </w:r>
      <w:r>
        <w:rPr>
          <w:color w:val="646464"/>
          <w:sz w:val="20"/>
        </w:rPr>
        <w:t xml:space="preserve"> -- (a venir)</w:t>
      </w:r>
    </w:p>
    <w:p>
      <w:r>
        <w:rPr>
          <w:b/>
          <w:color w:val="003366"/>
          <w:sz w:val="24"/>
        </w:rPr>
        <w:t xml:space="preserve">5. </w:t>
      </w:r>
      <w:r>
        <w:rPr>
          <w:b/>
          <w:sz w:val="24"/>
        </w:rPr>
        <w:t>Finance</w:t>
      </w:r>
      <w:r>
        <w:rPr>
          <w:color w:val="646464"/>
          <w:sz w:val="20"/>
        </w:rPr>
        <w:t xml:space="preserve"> -- (a venir)</w:t>
      </w:r>
    </w:p>
    <w:p>
      <w:r>
        <w:rPr>
          <w:b/>
          <w:color w:val="003366"/>
          <w:sz w:val="24"/>
        </w:rPr>
        <w:t xml:space="preserve">6. </w:t>
      </w:r>
      <w:r>
        <w:rPr>
          <w:b/>
          <w:sz w:val="24"/>
        </w:rPr>
        <w:t>Qualite</w:t>
      </w:r>
      <w:r>
        <w:rPr>
          <w:color w:val="646464"/>
          <w:sz w:val="20"/>
        </w:rPr>
        <w:t xml:space="preserve"> -- (a venir)</w:t>
      </w:r>
    </w:p>
    <w:p>
      <w:r>
        <w:rPr>
          <w:b/>
          <w:color w:val="003366"/>
          <w:sz w:val="24"/>
        </w:rPr>
        <w:t xml:space="preserve">7. </w:t>
      </w:r>
      <w:r>
        <w:rPr>
          <w:b/>
          <w:sz w:val="24"/>
        </w:rPr>
        <w:t>Ressources humaines</w:t>
      </w:r>
      <w:r>
        <w:rPr>
          <w:color w:val="646464"/>
          <w:sz w:val="20"/>
        </w:rPr>
        <w:t xml:space="preserve"> -- (a venir)</w:t>
      </w:r>
    </w:p>
    <w:p>
      <w:r>
        <w:rPr>
          <w:b/>
          <w:color w:val="003366"/>
          <w:sz w:val="24"/>
        </w:rPr>
        <w:t xml:space="preserve">8. </w:t>
      </w:r>
      <w:r>
        <w:rPr>
          <w:b/>
          <w:sz w:val="24"/>
        </w:rPr>
        <w:t>Synthese et recommandations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Logistique hospitaliere</w:t>
      </w:r>
    </w:p>
    <w:p>
      <w:r>
        <w:rPr>
          <w:sz w:val="20"/>
        </w:rPr>
        <w:t>La logistique hospitaliere couvre les flux materiels essentiels : restauration, gestion du linge, approvisionnements, traitement des dechets, entretien et courrier. En crise sanitaire, ces postes subissent une augmentation brutale de la demande.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71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tique_synthe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7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0"/>
        </w:rPr>
        <w:t>Tableau recapitulatif (donnees 2015)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Indicateur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Normal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Crise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Ecart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Déchets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5,414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5,414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+0</w:t>
            </w:r>
          </w:p>
        </w:tc>
      </w:tr>
      <w:tr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Hygiène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772,881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772,881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+0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Lingerie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3,277,768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3,277,764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-4</w:t>
            </w:r>
          </w:p>
        </w:tc>
      </w:tr>
      <w:tr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Magasin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845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844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-1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Restauration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3,230,189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3,230,186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-3</w:t>
            </w:r>
          </w:p>
        </w:tc>
      </w:tr>
      <w:tr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Vaguemestre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1,270,526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1,270,524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-2</w:t>
            </w:r>
          </w:p>
        </w:tc>
      </w:tr>
    </w:tbl>
    <w:p/>
    <w:p>
      <w:r>
        <w:rPr>
          <w:sz w:val="20"/>
        </w:rPr>
        <w:t>Profil saisonnier moyen 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7619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tique_saisonnali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61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3366"/>
        </w:rPr>
        <w:t>Plan d'action prioritaire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Priorite</w:t>
            </w:r>
          </w:p>
        </w:tc>
        <w:tc>
          <w:tcPr>
            <w:tcW w:type="dxa" w:w="5102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26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HAUTE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Stock strategique EPI et consommables (30 jours)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Dir. Achats</w:t>
            </w:r>
          </w:p>
        </w:tc>
      </w:tr>
      <w:tr>
        <w:tc>
          <w:tcPr>
            <w:tcW w:type="dxa" w:w="1134"/>
            <w:shd w:fill="EBF5FB" w:val="clear"/>
          </w:tcPr>
          <w:p>
            <w:r>
              <w:rPr>
                <w:sz w:val="18"/>
              </w:rPr>
              <w:t>HAUTE</w:t>
            </w:r>
          </w:p>
        </w:tc>
        <w:tc>
          <w:tcPr>
            <w:tcW w:type="dxa" w:w="5102"/>
            <w:shd w:fill="EBF5FB" w:val="clear"/>
          </w:tcPr>
          <w:p>
            <w:r>
              <w:rPr>
                <w:sz w:val="18"/>
              </w:rPr>
              <w:t>Conventions prestataires de secours (restauration, linge)</w:t>
            </w:r>
          </w:p>
        </w:tc>
        <w:tc>
          <w:tcPr>
            <w:tcW w:type="dxa" w:w="2268"/>
            <w:shd w:fill="EBF5FB" w:val="clear"/>
          </w:tcPr>
          <w:p>
            <w:r>
              <w:rPr>
                <w:sz w:val="18"/>
              </w:rPr>
              <w:t>Dir. Logistique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HAUTE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Protocole bionettoyage niveau crise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Service Hygiene</w:t>
            </w:r>
          </w:p>
        </w:tc>
      </w:tr>
      <w:tr>
        <w:tc>
          <w:tcPr>
            <w:tcW w:type="dxa" w:w="1134"/>
            <w:shd w:fill="EBF5FB" w:val="clear"/>
          </w:tcPr>
          <w:p>
            <w:r>
              <w:rPr>
                <w:sz w:val="18"/>
              </w:rPr>
              <w:t>MOYENNE</w:t>
            </w:r>
          </w:p>
        </w:tc>
        <w:tc>
          <w:tcPr>
            <w:tcW w:type="dxa" w:w="5102"/>
            <w:shd w:fill="EBF5FB" w:val="clear"/>
          </w:tcPr>
          <w:p>
            <w:r>
              <w:rPr>
                <w:sz w:val="18"/>
              </w:rPr>
              <w:t>Systeme d'alerte reapprovisionnement</w:t>
            </w:r>
          </w:p>
        </w:tc>
        <w:tc>
          <w:tcPr>
            <w:tcW w:type="dxa" w:w="2268"/>
            <w:shd w:fill="EBF5FB" w:val="clear"/>
          </w:tcPr>
          <w:p>
            <w:r>
              <w:rPr>
                <w:sz w:val="18"/>
              </w:rPr>
              <w:t>Magasin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BASSE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Dematerialisation courrier administratif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DSI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2. Patients</w:t>
      </w:r>
    </w:p>
    <w:p>
      <w:r>
        <w:rPr>
          <w:sz w:val="20"/>
        </w:rPr>
        <w:t>Cette section analyse le profil des patients, les urgences et les causes d'hospitalisation. En crise sanitaire, l'afflux aux urgences et les hospitalisations augmentent significativement.</w:t>
      </w:r>
    </w:p>
    <w:p>
      <w:pPr>
        <w:pStyle w:val="Heading2"/>
      </w:pPr>
      <w:r>
        <w:rPr>
          <w:color w:val="003366"/>
        </w:rPr>
        <w:t>2.1 Urgences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0209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ients_urgen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20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3366"/>
        </w:rPr>
        <w:t>2.2 Profil des patients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438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ients_prof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43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3366"/>
        </w:rPr>
        <w:t>2.3 Origine geographique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9912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ients_orig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91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3366"/>
        </w:rPr>
        <w:t>2.4 Causes d'hospitalisation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0191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ients_pathologi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19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3366"/>
        </w:rPr>
        <w:t>Propositions pour gerer l'afflux de patients</w:t>
      </w:r>
    </w:p>
    <w:p>
      <w:pPr>
        <w:pStyle w:val="ListBullet"/>
      </w:pPr>
      <w:r>
        <w:rPr>
          <w:b/>
          <w:sz w:val="20"/>
        </w:rPr>
        <w:t>Capacite d'accueil --</w:t>
      </w:r>
      <w:r>
        <w:t xml:space="preserve"> Renforcer les effectifs aux urgences (medecins, infirmiers) avec un plan de rappel.</w:t>
      </w:r>
    </w:p>
    <w:p>
      <w:pPr>
        <w:pStyle w:val="ListBullet"/>
      </w:pPr>
      <w:r>
        <w:rPr>
          <w:b/>
          <w:sz w:val="20"/>
        </w:rPr>
        <w:t>Lits supplementaires --</w:t>
      </w:r>
      <w:r>
        <w:t xml:space="preserve"> Activer les lits de reserve et les unites de debordement.</w:t>
      </w:r>
    </w:p>
    <w:p>
      <w:pPr>
        <w:pStyle w:val="ListBullet"/>
      </w:pPr>
      <w:r>
        <w:rPr>
          <w:b/>
          <w:sz w:val="20"/>
        </w:rPr>
        <w:t>Filiere de soins --</w:t>
      </w:r>
      <w:r>
        <w:t xml:space="preserve"> Orienter les patients stables vers la medecine de ville ou les centres de crise.</w:t>
      </w:r>
    </w:p>
    <w:p>
      <w:pPr>
        <w:pStyle w:val="ListBullet"/>
      </w:pPr>
      <w:r>
        <w:rPr>
          <w:b/>
          <w:sz w:val="20"/>
        </w:rPr>
        <w:t>Coordination --</w:t>
      </w:r>
      <w:r>
        <w:t xml:space="preserve"> Mettre en place un guichet unique d'orientation des patients.</w:t>
      </w:r>
    </w:p>
    <w:p>
      <w:r>
        <w:br w:type="page"/>
      </w:r>
    </w:p>
    <w:p>
      <w:pPr>
        <w:pStyle w:val="Heading1"/>
      </w:pPr>
      <w:r>
        <w:rPr>
          <w:color w:val="003366"/>
        </w:rPr>
        <w:t>3. Activite et services</w:t>
      </w:r>
    </w:p>
    <w:p>
      <w:r>
        <w:rPr>
          <w:i/>
          <w:color w:val="646464"/>
          <w:sz w:val="22"/>
        </w:rPr>
        <w:t>Volumes d'activite et organisation des soins -- Section a completer.</w:t>
      </w:r>
    </w:p>
    <w:p/>
    <w:p>
      <w:pPr>
        <w:pStyle w:val="Heading1"/>
      </w:pPr>
      <w:r>
        <w:rPr>
          <w:color w:val="003366"/>
        </w:rPr>
        <w:t>4. Capacite d'accueil</w:t>
      </w:r>
    </w:p>
    <w:p>
      <w:r>
        <w:rPr>
          <w:i/>
          <w:color w:val="646464"/>
          <w:sz w:val="22"/>
        </w:rPr>
        <w:t>Lits, equipements et plateaux techniques -- Section a completer.</w:t>
      </w:r>
    </w:p>
    <w:p/>
    <w:p>
      <w:pPr>
        <w:pStyle w:val="Heading1"/>
      </w:pPr>
      <w:r>
        <w:rPr>
          <w:color w:val="003366"/>
        </w:rPr>
        <w:t>5. Finance</w:t>
      </w:r>
    </w:p>
    <w:p>
      <w:r>
        <w:rPr>
          <w:i/>
          <w:color w:val="646464"/>
          <w:sz w:val="22"/>
        </w:rPr>
        <w:t>Equilibre budgetaire et investissements -- Section a completer.</w:t>
      </w:r>
    </w:p>
    <w:p/>
    <w:p>
      <w:pPr>
        <w:pStyle w:val="Heading1"/>
      </w:pPr>
      <w:r>
        <w:rPr>
          <w:color w:val="003366"/>
        </w:rPr>
        <w:t>6. Qualite</w:t>
      </w:r>
    </w:p>
    <w:p>
      <w:r>
        <w:rPr>
          <w:i/>
          <w:color w:val="646464"/>
          <w:sz w:val="22"/>
        </w:rPr>
        <w:t>Satisfaction et indicateurs qualite -- Section a completer.</w:t>
      </w:r>
    </w:p>
    <w:p/>
    <w:p>
      <w:pPr>
        <w:pStyle w:val="Heading1"/>
      </w:pPr>
      <w:r>
        <w:rPr>
          <w:color w:val="003366"/>
        </w:rPr>
        <w:t>7. Ressources humaines</w:t>
      </w:r>
    </w:p>
    <w:p>
      <w:r>
        <w:rPr>
          <w:i/>
          <w:color w:val="646464"/>
          <w:sz w:val="22"/>
        </w:rPr>
        <w:t>Effectifs et organisation du personnel -- Section a completer.</w:t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8. Synthese et recommandations</w:t>
      </w:r>
    </w:p>
    <w:p>
      <w:r>
        <w:rPr>
          <w:i/>
          <w:color w:val="646464"/>
        </w:rPr>
        <w:t>Cette section sera completee une fois l'ensemble des categories analysees.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