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Calibri" w:hAnsi="Calibri" w:eastAsia="Microsoft YaHei"/>
          <w:b/>
          <w:color w:val="2E74B5"/>
          <w:sz w:val="22"/>
        </w:rPr>
        <w:t>项目汇报</w:t>
      </w:r>
    </w:p>
    <w:p>
      <w:pPr>
        <w:spacing w:after="160"/>
      </w:pPr>
      <w:r>
        <w:rPr>
          <w:rFonts w:ascii="Calibri" w:hAnsi="Calibri" w:eastAsia="Microsoft YaHei"/>
          <w:b/>
          <w:color w:val="173A5E"/>
          <w:sz w:val="56"/>
        </w:rPr>
        <w:t>TAgent 多模型改造</w:t>
      </w:r>
    </w:p>
    <w:p>
      <w:pPr>
        <w:spacing w:after="440"/>
      </w:pPr>
      <w:r>
        <w:rPr>
          <w:rFonts w:ascii="Calibri" w:hAnsi="Calibri" w:eastAsia="Microsoft YaHei"/>
          <w:b w:val="0"/>
          <w:color w:val="666666"/>
          <w:sz w:val="30"/>
        </w:rPr>
        <w:t>从固定 DeepSeek 到用户级 OpenAI-compatible 动态路由</w:t>
      </w:r>
    </w:p>
    <w:p>
      <w:pPr>
        <w:spacing w:after="60"/>
      </w:pPr>
      <w:r>
        <w:rPr>
          <w:rFonts w:ascii="Calibri" w:hAnsi="Calibri" w:eastAsia="Microsoft YaHei"/>
          <w:b/>
          <w:color w:val="1F2937"/>
          <w:sz w:val="22"/>
        </w:rPr>
        <w:t>汇报对象：</w:t>
      </w:r>
      <w:r>
        <w:rPr>
          <w:rFonts w:ascii="Calibri" w:hAnsi="Calibri" w:eastAsia="Microsoft YaHei"/>
          <w:b w:val="0"/>
          <w:color w:val="1F2937"/>
          <w:sz w:val="22"/>
        </w:rPr>
        <w:t>导师 / 项目负责人</w:t>
      </w:r>
    </w:p>
    <w:p>
      <w:pPr>
        <w:spacing w:after="60"/>
      </w:pPr>
      <w:r>
        <w:rPr>
          <w:rFonts w:ascii="Calibri" w:hAnsi="Calibri" w:eastAsia="Microsoft YaHei"/>
          <w:b/>
          <w:color w:val="1F2937"/>
          <w:sz w:val="22"/>
        </w:rPr>
        <w:t>完成日期：</w:t>
      </w:r>
      <w:r>
        <w:rPr>
          <w:rFonts w:ascii="Calibri" w:hAnsi="Calibri" w:eastAsia="Microsoft YaHei"/>
          <w:b w:val="0"/>
          <w:color w:val="1F2937"/>
          <w:sz w:val="22"/>
        </w:rPr>
        <w:t>2026-07-14</w:t>
      </w:r>
    </w:p>
    <w:p>
      <w:pPr>
        <w:spacing w:after="60"/>
      </w:pPr>
      <w:r>
        <w:rPr>
          <w:rFonts w:ascii="Calibri" w:hAnsi="Calibri" w:eastAsia="Microsoft YaHei"/>
          <w:b/>
          <w:color w:val="1F2937"/>
          <w:sz w:val="22"/>
        </w:rPr>
        <w:t>技术基线：</w:t>
      </w:r>
      <w:r>
        <w:rPr>
          <w:rFonts w:ascii="Calibri" w:hAnsi="Calibri" w:eastAsia="Microsoft YaHei"/>
          <w:b w:val="0"/>
          <w:color w:val="1F2937"/>
          <w:sz w:val="22"/>
        </w:rPr>
        <w:t>Open WebUI v0.8.12 + Flask + LangGraph + SQLite</w:t>
      </w:r>
    </w:p>
    <w:p>
      <w:pPr>
        <w:spacing w:after="60"/>
      </w:pPr>
      <w:r>
        <w:rPr>
          <w:rFonts w:ascii="Calibri" w:hAnsi="Calibri" w:eastAsia="Microsoft YaHei"/>
          <w:b/>
          <w:color w:val="1F2937"/>
          <w:sz w:val="22"/>
        </w:rPr>
        <w:t>交付状态：</w:t>
      </w:r>
      <w:r>
        <w:rPr>
          <w:rFonts w:ascii="Calibri" w:hAnsi="Calibri" w:eastAsia="Microsoft YaHei"/>
          <w:b w:val="0"/>
          <w:color w:val="1F2937"/>
          <w:sz w:val="22"/>
        </w:rPr>
        <w:t>代码、测试、部署脚本、日志与手册已完成；项目后台已关闭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  <w:ind w:left="360"/>
      </w:pPr>
      <w:r>
        <w:t>1. 项目结论</w:t>
      </w:r>
    </w:p>
    <w:p>
      <w:pPr>
        <w:spacing w:after="120"/>
        <w:ind w:left="360"/>
      </w:pPr>
      <w:r>
        <w:t>2. 原始代码的问题</w:t>
      </w:r>
    </w:p>
    <w:p>
      <w:pPr>
        <w:spacing w:after="120"/>
        <w:ind w:left="360"/>
      </w:pPr>
      <w:r>
        <w:t>3. 跑通原项目与固定环境</w:t>
      </w:r>
    </w:p>
    <w:p>
      <w:pPr>
        <w:spacing w:after="120"/>
        <w:ind w:left="360"/>
      </w:pPr>
      <w:r>
        <w:t>4. 核心改造</w:t>
      </w:r>
    </w:p>
    <w:p>
      <w:pPr>
        <w:spacing w:after="120"/>
        <w:ind w:left="360"/>
      </w:pPr>
      <w:r>
        <w:t>5. 安全设计</w:t>
      </w:r>
    </w:p>
    <w:p>
      <w:pPr>
        <w:spacing w:after="120"/>
        <w:ind w:left="360"/>
      </w:pPr>
      <w:r>
        <w:t>6. 测试结果</w:t>
      </w:r>
    </w:p>
    <w:p>
      <w:pPr>
        <w:spacing w:after="120"/>
        <w:ind w:left="360"/>
      </w:pPr>
      <w:r>
        <w:t>7. 运行稳定性收口</w:t>
      </w:r>
    </w:p>
    <w:p>
      <w:pPr>
        <w:spacing w:after="120"/>
        <w:ind w:left="360"/>
      </w:pPr>
      <w:r>
        <w:t>8. 最终成果</w:t>
      </w:r>
    </w:p>
    <w:p>
      <w:pPr>
        <w:spacing w:after="120"/>
        <w:ind w:left="360"/>
      </w:pPr>
      <w:r>
        <w:t>9. 后续建议</w:t>
      </w:r>
    </w:p>
    <w:p>
      <w:r>
        <w:br w:type="page"/>
      </w:r>
    </w:p>
    <w:p>
      <w:pPr>
        <w:keepLines/>
      </w:pPr>
      <w:r>
        <w:t>汇报日期： 2026-07-14</w:t>
      </w:r>
    </w:p>
    <w:p>
      <w:pPr>
        <w:keepLines/>
      </w:pPr>
      <w:r>
        <w:t>项目目标： 跑通 REPO 内的系统建模与仿真智能体，并将固定 DeepSeek 改造成适配任意标准 OpenAI Chat Completions 协议的模型服务。</w:t>
      </w:r>
    </w:p>
    <w:p>
      <w:pPr>
        <w:pStyle w:val="Heading1"/>
      </w:pPr>
      <w:r>
        <w:t>1. 项目结论</w:t>
      </w:r>
    </w:p>
    <w:p>
      <w:pPr>
        <w:keepLines/>
      </w:pPr>
      <w:r>
        <w:t>本次工作完成了从“固定 DeepSeek 单模型”到“管理员全局模型 + 用户私有模型”的两级配置体系。用户可在 Open WebUI 原有 Connections 设置页中维护自己的 Base URL、上游模型、认证方式、API Key 和温度，并在原生模型选择器中切换；聊天、RAG、出题和判题均按请求中的模型 ID 动态路由。</w:t>
      </w:r>
    </w:p>
    <w:p>
      <w:pPr>
        <w:keepLines/>
      </w:pPr>
      <w:r>
        <w:t>私有 Key 使用独立 Fernet 密钥加密后写入 WebUI 数据库，浏览器、其他用户和管理员治理接口均看不到完整值。basic-agent 只在经过内部 token 认证的 localhost 请求中临时接收 provider，不将私有 Key 写入 JSON 或日志。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原始代码的问题</w:t>
      </w:r>
    </w:p>
    <w:p>
      <w:pPr>
        <w:keepLines/>
      </w:pPr>
      <w:r>
        <w:t>原始 Git HEAD 的 basic-agent/main.py 在进程启动时直接创建 LangChainRAGSimulator，固定使用：</w:t>
      </w:r>
    </w:p>
    <w:p>
      <w:pPr>
        <w:spacing w:after="0"/>
        <w:ind w:left="259"/>
      </w:pPr>
      <w:r>
        <w:rPr>
          <w:rFonts w:ascii="Consolas" w:hAnsi="Consolas" w:eastAsia="Microsoft YaHei"/>
          <w:b w:val="0"/>
          <w:color w:val="374151"/>
          <w:sz w:val="17"/>
        </w:rPr>
        <w:t>llm_model="deepseek-chat"</w:t>
      </w:r>
    </w:p>
    <w:p>
      <w:pPr>
        <w:spacing w:after="0"/>
        <w:ind w:left="259"/>
      </w:pPr>
      <w:r>
        <w:rPr>
          <w:rFonts w:ascii="Consolas" w:hAnsi="Consolas" w:eastAsia="Microsoft YaHei"/>
          <w:b w:val="0"/>
          <w:color w:val="374151"/>
          <w:sz w:val="17"/>
        </w:rPr>
        <w:t>llm_base_url="https://api.deepseek.com/v1"</w:t>
      </w:r>
    </w:p>
    <w:p>
      <w:pPr>
        <w:spacing w:after="0"/>
        <w:ind w:left="259"/>
      </w:pPr>
      <w:r>
        <w:rPr>
          <w:rFonts w:ascii="Consolas" w:hAnsi="Consolas" w:eastAsia="Microsoft YaHei"/>
          <w:b w:val="0"/>
          <w:color w:val="374151"/>
          <w:sz w:val="17"/>
        </w:rPr>
        <w:t>llm_api_key=os.getenv("DEEPSEEK_API_KEY")</w:t>
      </w:r>
    </w:p>
    <w:p>
      <w:pPr>
        <w:keepLines/>
      </w:pPr>
      <w:r>
        <w:t>原始 rag_utils.py 在构造函数中固定创建 self.llm；state_graph.py 还在 import 阶段清空 Key、创建 DeepSeek 客户端并发起请求。这导致：</w:t>
      </w:r>
    </w:p>
    <w:p>
      <w:pPr>
        <w:spacing w:after="120"/>
        <w:ind w:left="461" w:hanging="461"/>
      </w:pPr>
      <w:r>
        <w:t>1. 更换模型必须改代码或 .env 并重启服务。</w:t>
      </w:r>
    </w:p>
    <w:p>
      <w:pPr>
        <w:spacing w:after="120"/>
        <w:ind w:left="461" w:hanging="461"/>
      </w:pPr>
      <w:r>
        <w:t>2. 多个用户无法选择不同的 Base URL、模型和 Key。</w:t>
      </w:r>
    </w:p>
    <w:p>
      <w:pPr>
        <w:spacing w:after="120"/>
        <w:ind w:left="461" w:hanging="461"/>
      </w:pPr>
      <w:r>
        <w:t>3. import 即执行会让无效 Key 直接阻断启动。</w:t>
      </w:r>
    </w:p>
    <w:p>
      <w:pPr>
        <w:spacing w:after="120"/>
        <w:ind w:left="461" w:hanging="461"/>
      </w:pPr>
      <w:r>
        <w:t>4. 固定 LangGraph 检查点可能让并发请求共享状态。</w:t>
      </w:r>
    </w:p>
    <w:p>
      <w:pPr>
        <w:spacing w:after="120"/>
        <w:ind w:left="461" w:hanging="461"/>
      </w:pPr>
      <w:r>
        <w:t>5. 原流式响应是把最终文本按行切分，不是真实上游 token 流。</w:t>
      </w:r>
    </w:p>
    <w:p>
      <w:pPr>
        <w:spacing w:after="120"/>
        <w:ind w:left="461" w:hanging="461"/>
      </w:pPr>
      <w:r>
        <w:t>6. Key、错误堆栈和 provider 信息缺少统一的安全边界。</w:t>
      </w:r>
    </w:p>
    <w:p>
      <w:pPr>
        <w:pStyle w:val="Heading1"/>
      </w:pPr>
      <w:r>
        <w:t>3. 跑通原项目与固定环境</w:t>
      </w:r>
    </w:p>
    <w:p>
      <w:pPr>
        <w:keepLines/>
      </w:pPr>
      <w:r>
        <w:t>项目由 basic-agent 与 open-webui 两部分组成。部署时固定 Python 3.12、Node.js 22、Open WebUI v0.8.12，并使用 uv.lock、package-lock.json 复现依赖。</w:t>
      </w:r>
    </w:p>
    <w:p>
      <w:pPr>
        <w:keepLines/>
      </w:pPr>
      <w:r>
        <w:t>标准启动流程：</w:t>
      </w:r>
    </w:p>
    <w:p>
      <w:pPr>
        <w:spacing w:after="0"/>
        <w:ind w:left="259"/>
      </w:pPr>
      <w:r>
        <w:rPr>
          <w:rFonts w:ascii="Consolas" w:hAnsi="Consolas" w:eastAsia="Microsoft YaHei"/>
          <w:b w:val="0"/>
          <w:color w:val="374151"/>
          <w:sz w:val="17"/>
        </w:rPr>
        <w:t>cd D:\Development\SRP\tagent-package</w:t>
      </w:r>
    </w:p>
    <w:p>
      <w:pPr>
        <w:spacing w:after="0"/>
        <w:ind w:left="259"/>
      </w:pPr>
      <w:r>
        <w:rPr>
          <w:rFonts w:ascii="Consolas" w:hAnsi="Consolas" w:eastAsia="Microsoft YaHei"/>
          <w:b w:val="0"/>
          <w:color w:val="374151"/>
          <w:sz w:val="17"/>
        </w:rPr>
        <w:t>.\scripts\init.ps1</w:t>
      </w:r>
    </w:p>
    <w:p>
      <w:pPr>
        <w:spacing w:after="0"/>
        <w:ind w:left="259"/>
      </w:pPr>
      <w:r>
        <w:rPr>
          <w:rFonts w:ascii="Consolas" w:hAnsi="Consolas" w:eastAsia="Microsoft YaHei"/>
          <w:b w:val="0"/>
          <w:color w:val="374151"/>
          <w:sz w:val="17"/>
        </w:rPr>
        <w:t>.\scripts\start.ps1</w:t>
      </w:r>
    </w:p>
    <w:p>
      <w:pPr>
        <w:spacing w:after="0"/>
        <w:ind w:left="259"/>
      </w:pPr>
      <w:r>
        <w:rPr>
          <w:rFonts w:ascii="Consolas" w:hAnsi="Consolas" w:eastAsia="Microsoft YaHei"/>
          <w:b w:val="0"/>
          <w:color w:val="374151"/>
          <w:sz w:val="17"/>
        </w:rPr>
        <w:t>.\scripts\health.ps1</w:t>
      </w:r>
    </w:p>
    <w:p>
      <w:pPr>
        <w:keepLines/>
      </w:pPr>
      <w:r>
        <w:t>初始化脚本会准备两个 Python 3.12 环境、Node 22 依赖、WebUI 会话密钥、私有 provider 加密密钥和内部通道 token。启动脚本记录 PID、轮询健康接口，并将 WebUI 数据目录统一到 open-webui/data。本次迁移前分别备份了 open-webui/data/webui.db 与 open-webui/backend/data/webui.db。</w:t>
      </w:r>
    </w:p>
    <w:p>
      <w:pPr>
        <w:pStyle w:val="Heading1"/>
      </w:pPr>
      <w:r>
        <w:t>4. 核心改造</w:t>
      </w:r>
    </w:p>
    <w:p>
      <w:pPr>
        <w:pStyle w:val="Heading2"/>
      </w:pPr>
      <w:r>
        <w:t>4.1 basic-agent 动态路由</w:t>
      </w:r>
    </w:p>
    <w:p>
      <w:pPr>
        <w:keepLines/>
      </w:pPr>
      <w:r>
        <w:t>basic-agent 被拆分为 Flask app factory、Blueprint、provider 注册表、模型客户端工厂、RAG 服务和统一错误层。</w:t>
      </w:r>
    </w:p>
    <w:p>
      <w:pPr>
        <w:pStyle w:val="ListBullet"/>
      </w:pPr>
      <w:r>
        <w:t>全局 provider 使用 schema v2 JSON，支持 Bearer 与无鉴权模式。</w:t>
      </w:r>
    </w:p>
    <w:p>
      <w:pPr>
        <w:pStyle w:val="ListBullet"/>
      </w:pPr>
      <w:r>
        <w:t>/v1/models 仅返回启用模型，默认模型优先。</w:t>
      </w:r>
    </w:p>
    <w:p>
      <w:pPr>
        <w:pStyle w:val="ListBullet"/>
      </w:pPr>
      <w:r>
        <w:t>/v1/chat/completions、/rag/query、/quiz/generate、/quiz/review 均按 model 选 provider。</w:t>
      </w:r>
    </w:p>
    <w:p>
      <w:pPr>
        <w:pStyle w:val="ListBullet"/>
      </w:pPr>
      <w:r>
        <w:t>模型客户端按 served_model_id + updated_at 缓存，配置变更后失效。</w:t>
      </w:r>
    </w:p>
    <w:p>
      <w:pPr>
        <w:pStyle w:val="ListBullet"/>
      </w:pPr>
      <w:r>
        <w:t>向量库线程安全延迟初始化，请求状态彼此独立。</w:t>
      </w:r>
    </w:p>
    <w:p>
      <w:pPr>
        <w:pStyle w:val="ListBullet"/>
      </w:pPr>
      <w:r>
        <w:t>SSE 直接转发 LangChain 上游 token 流。</w:t>
      </w:r>
    </w:p>
    <w:p>
      <w:pPr>
        <w:pStyle w:val="ListBullet"/>
      </w:pPr>
      <w:r>
        <w:t>出题和判题使用 JSON/Pydantic 解析，不依赖工具调用。</w:t>
      </w:r>
    </w:p>
    <w:p>
      <w:pPr>
        <w:pStyle w:val="Heading2"/>
      </w:pPr>
      <w:r>
        <w:t>4.2 管理员全局模型</w:t>
      </w:r>
    </w:p>
    <w:p>
      <w:pPr>
        <w:keepLines/>
      </w:pPr>
      <w:r>
        <w:t>管理员配置继续保存在被 Git 忽略的 basic-agent/config/model_providers.json。WebUI 管理代理要求管理员身份，并通过 X-Agent-Admin-Token 调用 basic-agent；接口只返回 api_key_masked 与 has_api_key。</w:t>
      </w:r>
    </w:p>
    <w:p>
      <w:pPr>
        <w:pStyle w:val="Heading2"/>
      </w:pPr>
      <w:r>
        <w:t>4.3 用户私有模型</w:t>
      </w:r>
    </w:p>
    <w:p>
      <w:pPr>
        <w:keepLines/>
      </w:pPr>
      <w:r>
        <w:t>Alembic 新增两张表：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表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agent_model_provider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保存用户 ID、显示名称、Base URL、上游模型、认证模式、Key 密文、末四位、温度和状态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agent_model_provider_default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保存每个用户自己的默认模型 ID</w:t>
            </w:r>
          </w:p>
        </w:tc>
      </w:tr>
    </w:tbl>
    <w:p>
      <w:pPr>
        <w:spacing w:after="40"/>
      </w:pPr>
    </w:p>
    <w:p>
      <w:pPr>
        <w:keepLines/>
      </w:pPr>
      <w:r>
        <w:t>私有模型内部 ID 为 tagent-user:&lt;uuid&gt;。/api/models 在响应当前用户时才合并私有模型，不写入 app.state.MODELS 共享缓存，因此同名配置不会跨用户冲突或泄露。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del-config-schemat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聊天与智能体链路</w:t>
      </w:r>
    </w:p>
    <w:p>
      <w:pPr>
        <w:keepLines/>
      </w:pPr>
      <w:r>
        <w:t>主聊天识别 tagent-user: 后执行所有权检查，从数据库解密 Key，复核 URL 安全策略，再通过独立内部 token 调用 basic-agent。浏览器只发送模型 ID 和消息，不能传临时 Base URL 或 Key。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-model-switch-schema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安全设计</w:t>
      </w:r>
    </w:p>
    <w:p>
      <w:pPr>
        <w:spacing w:after="120"/>
        <w:ind w:left="461" w:hanging="461"/>
      </w:pPr>
      <w:r>
        <w:t>1. 私有 Key 使用独立 Fernet 密钥加密，编辑留空保留原 Key，切换无鉴权时删除密文。</w:t>
      </w:r>
    </w:p>
    <w:p>
      <w:pPr>
        <w:spacing w:after="120"/>
        <w:ind w:left="461" w:hanging="461"/>
      </w:pPr>
      <w:r>
        <w:t>2. 提供事务化密钥轮换脚本；任一密文不可解密时整批回滚。</w:t>
      </w:r>
    </w:p>
    <w:p>
      <w:pPr>
        <w:spacing w:after="120"/>
        <w:ind w:left="461" w:hanging="461"/>
      </w:pPr>
      <w:r>
        <w:t>3. 默认仅允许公网 HTTPS；拒绝 URL 内嵌凭据、私网、环回、链路本地和元数据地址。</w:t>
      </w:r>
    </w:p>
    <w:p>
      <w:pPr>
        <w:spacing w:after="120"/>
        <w:ind w:left="461" w:hanging="461"/>
      </w:pPr>
      <w:r>
        <w:t>4. 运行前再次解析 Base URL，缩短 DNS 变化造成的 SSRF 风险窗口。</w:t>
      </w:r>
    </w:p>
    <w:p>
      <w:pPr>
        <w:spacing w:after="120"/>
        <w:ind w:left="461" w:hanging="461"/>
      </w:pPr>
      <w:r>
        <w:t>5. HTTP、本地模型和私网地址只能由管理员主机/CIDR 白名单放行。</w:t>
      </w:r>
    </w:p>
    <w:p>
      <w:pPr>
        <w:spacing w:after="120"/>
        <w:ind w:left="461" w:hanging="461"/>
      </w:pPr>
      <w:r>
        <w:t>6. 审计日志递归脱敏 api_key、token、secret、password 和 authorization。</w:t>
      </w:r>
    </w:p>
    <w:p>
      <w:pPr>
        <w:spacing w:after="120"/>
        <w:ind w:left="461" w:hanging="461"/>
      </w:pPr>
      <w:r>
        <w:t>7. basic-agent 默认只绑定 127.0.0.1；管理通道和私有模型通道使用不同 token。</w:t>
      </w:r>
    </w:p>
    <w:p>
      <w:pPr>
        <w:spacing w:after="120"/>
        <w:ind w:left="461" w:hanging="461"/>
      </w:pPr>
      <w:r>
        <w:t>8. API、日志、Markdown、DOCX 与截图材料均不包含完整 Key。</w:t>
      </w:r>
    </w:p>
    <w:p>
      <w:pPr>
        <w:pStyle w:val="Heading1"/>
      </w:pPr>
      <w:r>
        <w:t>6. 测试结果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结果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basic-agent pytest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34 passed，另有 7 subtests 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WebUI TAgent 后端测试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31 passed，覆盖加密、轮换、双用户隔离、CRUD、SSRF、审计脱敏与代理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前端严格检查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svelte-check found 0 errors and 0 warnings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Vitest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当前上游未配置前端测试文件，passWithNoTests 返回 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Node 22 生产构建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构建前后 package-lock.json、Pyodide lock 哈希不变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fake OpenAI provider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非流式、SSE、RAG、出题、判题全部通过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WebUI 私有主聊天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fake provider 非流式与 SSE 均通过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simulation-teacher 首次响应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预热后首个 SSE 数据约 1.024 秒，完整回答约 1.952 秒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GPT 模型出题与参考内容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出题约 5.79 秒；参考内容公式边界、页码标记和 LaTeX 环境检查通过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真实 DeepSeek V4 Flash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未通过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已按通用 provider 加密保存；现有本地凭据被上游统一返回 401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浏览器自动交互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未执行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本机浏览器安全策略阻止继续访问 127.0.0.1；未绕过该限制</w:t>
            </w:r>
          </w:p>
        </w:tc>
      </w:tr>
    </w:tbl>
    <w:p>
      <w:pPr>
        <w:spacing w:after="40"/>
      </w:pPr>
    </w:p>
    <w:p>
      <w:pPr>
        <w:keepLines/>
      </w:pPr>
      <w:r>
        <w:t>真实测试还发现并修复了一个重要问题：Open WebUI 原异常捕获曾把私有主聊天的上游 401 包装成 HTTP 200 空响应。修复后，聊天、SSE、RAG、出题和判题均一致返回 401 与稳定错误码。</w:t>
      </w:r>
    </w:p>
    <w:p>
      <w:pPr>
        <w:pStyle w:val="Heading1"/>
      </w:pPr>
      <w:r>
        <w:t>7. 运行稳定性收口</w:t>
      </w:r>
    </w:p>
    <w:p>
      <w:pPr>
        <w:keepLines/>
      </w:pPr>
      <w:r>
        <w:t>后续页面复测暴露了四类影响实际使用的问题：首次 simulation-teacher 请求长时间空白、生产构建更新后停留在 OI 启动画面、参考内容混入分页残片或截断公式，以及 GPT 生成的 LaTeX 在测评页按普通文本显示。</w:t>
      </w:r>
    </w:p>
    <w:p>
      <w:pPr>
        <w:keepLines/>
      </w:pPr>
      <w:r>
        <w:t>本轮在不改变整体 UI 风格的前提下完成以下处理：</w:t>
      </w:r>
    </w:p>
    <w:p>
      <w:pPr>
        <w:spacing w:after="120"/>
        <w:ind w:left="461" w:hanging="461"/>
      </w:pPr>
      <w:r>
        <w:t>1. 生产启动时预热知识切分、中文向量模型和 FAISS 索引，健康检查通过后首条问答不再承担 RAG 冷启动成本。</w:t>
      </w:r>
    </w:p>
    <w:p>
      <w:pPr>
        <w:spacing w:after="120"/>
        <w:ind w:left="461" w:hanging="461"/>
      </w:pPr>
      <w:r>
        <w:t>2. 题干、参考内容、评语和参考答案复用 Open WebUI 的 Markdown/KaTeX 渲染组件，修复裸 LaTeX 与公式定界符显示问题。</w:t>
      </w:r>
    </w:p>
    <w:p>
      <w:pPr>
        <w:spacing w:after="120"/>
        <w:ind w:left="461" w:hanging="461"/>
      </w:pPr>
      <w:r>
        <w:t>3. 增加参考文本规范化和安全截断，清理页码残片、孤立数值行、空格公式、未闭合 $$ 与未闭合 LaTeX 环境。</w:t>
      </w:r>
    </w:p>
    <w:p>
      <w:pPr>
        <w:spacing w:after="120"/>
        <w:ind w:left="461" w:hanging="461"/>
      </w:pPr>
      <w:r>
        <w:t>4. 为出题设置受控上下文和 20 秒上游超时；超时时生成基于参考资料的本地单题，避免页面长期停留在骨架屏。</w:t>
      </w:r>
    </w:p>
    <w:p>
      <w:pPr>
        <w:spacing w:after="120"/>
        <w:ind w:left="461" w:hanging="461"/>
      </w:pPr>
      <w:r>
        <w:t>5. WebUI 的 HTML 响应禁用缓存，避免浏览器继续加载失效的哈希静态文件而卡在启动画面。</w:t>
      </w:r>
    </w:p>
    <w:p>
      <w:pPr>
        <w:pStyle w:val="Heading1"/>
      </w:pPr>
      <w:r>
        <w:t>8. 最终成果</w:t>
      </w:r>
    </w:p>
    <w:p>
      <w:pPr>
        <w:pStyle w:val="ListBullet"/>
      </w:pPr>
      <w:r>
        <w:t>固定 DeepSeek 逻辑已移除，DeepSeek 仅作为普通 OpenAI-compatible provider。</w:t>
      </w:r>
    </w:p>
    <w:p>
      <w:pPr>
        <w:pStyle w:val="ListBullet"/>
      </w:pPr>
      <w:r>
        <w:t>管理员可维护全局模型，用户可维护自己的加密私有模型。</w:t>
      </w:r>
    </w:p>
    <w:p>
      <w:pPr>
        <w:pStyle w:val="ListBullet"/>
      </w:pPr>
      <w:r>
        <w:t>原生模型选择器可切换全局和 Personal 模型，UI 风格与导航保持不变。</w:t>
      </w:r>
    </w:p>
    <w:p>
      <w:pPr>
        <w:pStyle w:val="ListBullet"/>
      </w:pPr>
      <w:r>
        <w:t>聊天、RAG、出题、判题使用同一动态路由机制。</w:t>
      </w:r>
    </w:p>
    <w:p>
      <w:pPr>
        <w:pStyle w:val="ListBullet"/>
      </w:pPr>
      <w:r>
        <w:t>环境、迁移、启动、健康检查、停止、fake provider 与真实 smoke test 均有脚本和手册。</w:t>
      </w:r>
    </w:p>
    <w:p>
      <w:pPr>
        <w:pStyle w:val="ListBullet"/>
      </w:pPr>
      <w:r>
        <w:t>项目代码手册给出了完整请求链路、核心类、调试入口与推荐阅读顺序。</w:t>
      </w:r>
    </w:p>
    <w:p>
      <w:pPr>
        <w:pStyle w:val="ListBullet"/>
      </w:pPr>
      <w:r>
        <w:t>最终已执行统一停止脚本，5000、8080、5173、9100 均无监听，交付状态不保留项目后台进程。</w:t>
      </w:r>
    </w:p>
    <w:p>
      <w:pPr>
        <w:pStyle w:val="Heading1"/>
      </w:pPr>
      <w:r>
        <w:t>9. 后续建议</w:t>
      </w:r>
    </w:p>
    <w:p>
      <w:pPr>
        <w:spacing w:after="120"/>
        <w:ind w:left="461" w:hanging="461"/>
      </w:pPr>
      <w:r>
        <w:t>1. 轮换曾出现在聊天记录中的 DeepSeek Key，并在 Connections 页面更新；当前本地凭据返回 401。</w:t>
      </w:r>
    </w:p>
    <w:p>
      <w:pPr>
        <w:spacing w:after="120"/>
        <w:ind w:left="461" w:hanging="461"/>
      </w:pPr>
      <w:r>
        <w:t>2. 生产跨主机部署时，将 WebUI 到 basic-agent 的内部通道升级为 HTTPS/mTLS。</w:t>
      </w:r>
    </w:p>
    <w:p>
      <w:pPr>
        <w:spacing w:after="120"/>
        <w:ind w:left="461" w:hanging="461"/>
      </w:pPr>
      <w:r>
        <w:t>3. provider 数量增长后，将本地 JSON 全局注册表迁移到数据库，并接入集中式密钥管理。</w:t>
      </w:r>
    </w:p>
    <w:p>
      <w:pPr>
        <w:spacing w:after="120"/>
        <w:ind w:left="461" w:hanging="461"/>
      </w:pPr>
      <w:r>
        <w:t>4. 为 Connections 新组件补充独立 Vitest/组件测试，并在允许 localhost 的浏览器环境补录真实配置页与模型切换截图。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TAgent 多模型改造项目汇报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TAgent 多模型改造项目汇报</dc:title>
  <dc:subject>OpenAI-compatible 多模型动态路由改造</dc:subject>
  <dc:creator>TAgent Project</dc:creator>
  <cp:keywords>TAgent, Open WebUI, OpenAI-compatible,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