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1D37" w14:textId="3DD761DB" w:rsidR="00204888" w:rsidRDefault="004A7AE3" w:rsidP="004A7AE3">
      <w:r w:rsidRPr="004A7AE3">
        <w:rPr>
          <w:b/>
          <w:bCs/>
        </w:rPr>
        <w:t>1) Cosa significa “misurare”?</w:t>
      </w:r>
      <w:r w:rsidRPr="004A7AE3">
        <w:rPr>
          <w:b/>
          <w:bCs/>
        </w:rPr>
        <w:br/>
      </w:r>
      <w:r w:rsidR="00240EEB">
        <w:t xml:space="preserve">“Misurare” significa </w:t>
      </w:r>
      <w:r w:rsidR="0073673F">
        <w:t>effettuare una misurazione</w:t>
      </w:r>
      <w:r w:rsidR="005E54A3">
        <w:t xml:space="preserve">, ovvero esercitare </w:t>
      </w:r>
      <w:r w:rsidR="005D42F1">
        <w:t>su un attributo di una particolare entità un processo che abbia lo scopo di</w:t>
      </w:r>
      <w:r w:rsidR="00C60497">
        <w:t xml:space="preserve"> ottenere un risultato di misurazione</w:t>
      </w:r>
      <w:r w:rsidR="00A060A4">
        <w:t>; il risultato di misurazione è un valore</w:t>
      </w:r>
      <w:r w:rsidR="00467135">
        <w:t xml:space="preserve"> appartenente alla scala utilizzata che viene associato all’attributo a seguito del</w:t>
      </w:r>
      <w:r w:rsidR="00816A07">
        <w:t>l’operazione di misurazione.</w:t>
      </w:r>
    </w:p>
    <w:p w14:paraId="5E2340EA" w14:textId="3D7EF4B1" w:rsidR="000B1DE8" w:rsidRDefault="000B1DE8" w:rsidP="004A7AE3">
      <w:r w:rsidRPr="000B1DE8">
        <w:rPr>
          <w:b/>
          <w:bCs/>
        </w:rPr>
        <w:t>2) Cosa consente di fare la misurazione di un’entità?</w:t>
      </w:r>
      <w:r w:rsidRPr="000B1DE8">
        <w:rPr>
          <w:b/>
          <w:bCs/>
        </w:rPr>
        <w:br/>
      </w:r>
      <w:r>
        <w:t>Consente di:</w:t>
      </w:r>
      <w:r>
        <w:br/>
        <w:t>-</w:t>
      </w:r>
      <w:r w:rsidR="00E118F2">
        <w:t xml:space="preserve"> </w:t>
      </w:r>
      <w:r w:rsidR="000E240B">
        <w:t>C</w:t>
      </w:r>
      <w:r w:rsidR="00A207F3">
        <w:t>aratterizzare, cioè estrarre delle informazioni da una propri</w:t>
      </w:r>
      <w:r w:rsidR="00ED3EAD">
        <w:t>età (attributo) dell’entità.</w:t>
      </w:r>
      <w:r w:rsidR="00ED3EAD">
        <w:br/>
        <w:t xml:space="preserve">- Comparare </w:t>
      </w:r>
      <w:r w:rsidR="00C34DE5">
        <w:t>una proprietà dell’entità con l’analoga proprietà di un’entità simile.</w:t>
      </w:r>
      <w:r w:rsidR="00C34DE5">
        <w:br/>
        <w:t>- Controllare e monitorare l’entità.</w:t>
      </w:r>
      <w:r w:rsidR="00C34DE5">
        <w:br/>
        <w:t>- Valutare, cioè dare un valore a una proprietà dell’entità.</w:t>
      </w:r>
      <w:r w:rsidR="00C34DE5">
        <w:br/>
        <w:t>- Predire il valore di una proprietà dell’entità.</w:t>
      </w:r>
    </w:p>
    <w:p w14:paraId="5C854915" w14:textId="6D394735" w:rsidR="00D638CE" w:rsidRDefault="00D638CE" w:rsidP="004A7AE3">
      <w:r w:rsidRPr="00ED1B47">
        <w:rPr>
          <w:b/>
          <w:bCs/>
        </w:rPr>
        <w:t>3) A cosa servono le scale</w:t>
      </w:r>
      <w:r w:rsidR="00ED1B47" w:rsidRPr="00ED1B47">
        <w:rPr>
          <w:b/>
          <w:bCs/>
        </w:rPr>
        <w:t>?</w:t>
      </w:r>
      <w:r w:rsidR="00ED1B47" w:rsidRPr="00ED1B47">
        <w:rPr>
          <w:b/>
          <w:bCs/>
        </w:rPr>
        <w:br/>
      </w:r>
      <w:r w:rsidR="00697A26">
        <w:t xml:space="preserve">Le scale servono a </w:t>
      </w:r>
      <w:r w:rsidR="00A7665A">
        <w:t>definire il dominio dei valori che possono essere assegnat</w:t>
      </w:r>
      <w:r w:rsidR="00162E62">
        <w:t>i</w:t>
      </w:r>
      <w:r w:rsidR="00A7665A">
        <w:t xml:space="preserve"> all’attributo dell’entità che si sta misurando; inoltre, </w:t>
      </w:r>
      <w:r w:rsidR="00697A26">
        <w:t>forni</w:t>
      </w:r>
      <w:r w:rsidR="00A7665A">
        <w:t>scono</w:t>
      </w:r>
      <w:r w:rsidR="00AF3F56">
        <w:t xml:space="preserve"> </w:t>
      </w:r>
      <w:r w:rsidR="0067508B">
        <w:t xml:space="preserve">un’indicazione univoca e ben precisa </w:t>
      </w:r>
      <w:r w:rsidR="00F0082B">
        <w:t>s</w:t>
      </w:r>
      <w:r w:rsidR="00282CC5">
        <w:t>u cosa indica</w:t>
      </w:r>
      <w:r w:rsidR="00016B3D">
        <w:t xml:space="preserve"> ciascun valore che può essere associato all’attributo </w:t>
      </w:r>
      <w:r w:rsidR="00A7665A">
        <w:t>stesso.</w:t>
      </w:r>
      <w:r w:rsidR="003277B3">
        <w:t xml:space="preserve"> </w:t>
      </w:r>
    </w:p>
    <w:p w14:paraId="5C751056" w14:textId="252E2881" w:rsidR="000648C2" w:rsidRDefault="000648C2" w:rsidP="004A7AE3">
      <w:r w:rsidRPr="006004A9">
        <w:rPr>
          <w:b/>
          <w:bCs/>
        </w:rPr>
        <w:t xml:space="preserve">4) </w:t>
      </w:r>
      <w:r w:rsidR="006004A9" w:rsidRPr="006004A9">
        <w:rPr>
          <w:b/>
          <w:bCs/>
        </w:rPr>
        <w:t>Puoi descrivere nel dettaglio la CMO?</w:t>
      </w:r>
      <w:r w:rsidR="006004A9" w:rsidRPr="006004A9">
        <w:rPr>
          <w:b/>
          <w:bCs/>
        </w:rPr>
        <w:br/>
      </w:r>
      <w:r w:rsidR="00856E5C">
        <w:t>La CMO (Classic Measurement</w:t>
      </w:r>
      <w:r w:rsidR="003B49E7">
        <w:t xml:space="preserve"> Ontology) è un modello di rappresentazione formale </w:t>
      </w:r>
      <w:r w:rsidR="008E3A70">
        <w:t>secondo cui:</w:t>
      </w:r>
      <w:r w:rsidR="008E3A70">
        <w:br/>
        <w:t xml:space="preserve">- </w:t>
      </w:r>
      <w:r w:rsidR="000723A7">
        <w:t>Un attributo</w:t>
      </w:r>
      <w:r w:rsidR="00A01DCD">
        <w:t xml:space="preserve"> può essere definito per una misura</w:t>
      </w:r>
      <w:r w:rsidR="004B41F5">
        <w:t>, ovvero può essere assiociato tramite quest’ultima a un valore appartenente a una determinata scala</w:t>
      </w:r>
      <w:r w:rsidR="006C2E07">
        <w:t>.</w:t>
      </w:r>
      <w:r w:rsidR="006C2E07">
        <w:br/>
        <w:t xml:space="preserve">- Un attributo può essere </w:t>
      </w:r>
      <w:r w:rsidR="00B478B6">
        <w:t>esterno (se è osservabile direttamente a partire da un’e</w:t>
      </w:r>
      <w:r w:rsidR="00D62CB1">
        <w:t>ntità differente) oppure interno (se è osservabile solo prendendo l’entità isolatamente).</w:t>
      </w:r>
      <w:r w:rsidR="00D62CB1">
        <w:br/>
      </w:r>
      <w:r w:rsidR="008F69F9">
        <w:t>- Ciascuna misura è espressa in un’unità di misura.</w:t>
      </w:r>
      <w:r w:rsidR="008F69F9">
        <w:br/>
        <w:t>- Una misura può essere di base oppure indiretta</w:t>
      </w:r>
      <w:r w:rsidR="00042736">
        <w:t xml:space="preserve">; </w:t>
      </w:r>
      <w:r w:rsidR="00F27CEA">
        <w:t>quest’ultima usa una o più misure di base.</w:t>
      </w:r>
      <w:r w:rsidR="00F27CEA">
        <w:br/>
        <w:t xml:space="preserve">- </w:t>
      </w:r>
      <w:r w:rsidR="009B7296">
        <w:t xml:space="preserve">Una misurazione </w:t>
      </w:r>
      <w:r w:rsidR="0095664E">
        <w:t>fa uso di una misura per produrre il risultato della misurazione.</w:t>
      </w:r>
      <w:r w:rsidR="0095664E">
        <w:br/>
        <w:t>- Il risultato della misurazione appartiene a una determinata scala</w:t>
      </w:r>
      <w:r w:rsidR="00005490">
        <w:t>, e non è altro che il valore che viene associato a un attributo di un’entità a seguito del processo di misurazione.</w:t>
      </w:r>
      <w:r w:rsidR="00005490">
        <w:br/>
      </w:r>
      <w:r w:rsidR="00166515">
        <w:t>- Ciascuna misura ha una o più scale; è possibile effettuare delle trasformazioni da una scala all’altra</w:t>
      </w:r>
      <w:r w:rsidR="000E1319">
        <w:t xml:space="preserve"> (dette somiglian</w:t>
      </w:r>
      <w:r w:rsidR="00D122BD">
        <w:t>ze) mediante delle operazioni matematiche.</w:t>
      </w:r>
      <w:r w:rsidR="00F336B7">
        <w:br/>
        <w:t>In conclusione</w:t>
      </w:r>
      <w:r w:rsidR="00A4156C">
        <w:t>, la CMO può essere rappresentata mediante il seguente diagramma UML:</w:t>
      </w:r>
      <w:r w:rsidR="00A4156C">
        <w:br/>
      </w:r>
      <w:r w:rsidR="005C50C9">
        <w:rPr>
          <w:noProof/>
        </w:rPr>
        <w:drawing>
          <wp:inline distT="0" distB="0" distL="0" distR="0" wp14:anchorId="76D4B400" wp14:editId="313441F2">
            <wp:extent cx="5867400" cy="31623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FE32" w14:textId="5C545039" w:rsidR="00D122BD" w:rsidRDefault="00D122BD" w:rsidP="004A7AE3">
      <w:r w:rsidRPr="00F336B7">
        <w:rPr>
          <w:b/>
          <w:bCs/>
        </w:rPr>
        <w:lastRenderedPageBreak/>
        <w:t xml:space="preserve">5) Creare un esempio reale </w:t>
      </w:r>
      <w:r w:rsidR="00F336B7" w:rsidRPr="00F336B7">
        <w:rPr>
          <w:b/>
          <w:bCs/>
        </w:rPr>
        <w:t>istanziando in uno specifico dominio applicativo la CMO. Descrivere in dettaglio il diagramma UML risultante e il dominio di partenza.</w:t>
      </w:r>
      <w:r w:rsidR="00F336B7" w:rsidRPr="00F336B7">
        <w:rPr>
          <w:b/>
          <w:bCs/>
        </w:rPr>
        <w:br/>
      </w:r>
      <w:r w:rsidR="00830E71">
        <w:t>Dominio di partenza: persona di cui si vuole conoscere sesso, peso, altezza e indice IMD.</w:t>
      </w:r>
      <w:r w:rsidR="00830E71">
        <w:br/>
      </w:r>
      <w:r w:rsidR="00830E71">
        <w:rPr>
          <w:noProof/>
        </w:rPr>
        <w:drawing>
          <wp:inline distT="0" distB="0" distL="0" distR="0" wp14:anchorId="3573057F" wp14:editId="55FB499B">
            <wp:extent cx="6238875" cy="43815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80C3" w14:textId="21F6A480" w:rsidR="0082613A" w:rsidRDefault="0082613A" w:rsidP="004A7AE3">
      <w:r>
        <w:br/>
      </w:r>
      <w:r w:rsidRPr="005512DD">
        <w:rPr>
          <w:b/>
          <w:bCs/>
        </w:rPr>
        <w:t>6)</w:t>
      </w:r>
      <w:r w:rsidR="00F67DCF" w:rsidRPr="005512DD">
        <w:rPr>
          <w:b/>
          <w:bCs/>
        </w:rPr>
        <w:t xml:space="preserve"> </w:t>
      </w:r>
      <w:r w:rsidR="000071C6" w:rsidRPr="005512DD">
        <w:rPr>
          <w:b/>
          <w:bCs/>
        </w:rPr>
        <w:t>Definire le metriche funzionali e non funzionali.</w:t>
      </w:r>
      <w:r w:rsidR="005512DD" w:rsidRPr="005512DD">
        <w:rPr>
          <w:b/>
          <w:bCs/>
        </w:rPr>
        <w:br/>
      </w:r>
      <w:r w:rsidR="0092236C">
        <w:t xml:space="preserve">Le metriche funzionali </w:t>
      </w:r>
      <w:r w:rsidR="00D80696">
        <w:t>sono</w:t>
      </w:r>
      <w:r w:rsidR="00E76109">
        <w:t xml:space="preserve"> metriche </w:t>
      </w:r>
      <w:r w:rsidR="0014362F">
        <w:t xml:space="preserve">del software che misurano aspetti riguardanti i requisiti funzionali del sistema </w:t>
      </w:r>
      <w:r w:rsidR="004B0194">
        <w:t>(= ciò che il sistema dovrebbe fare). Le metriche non funzionali, invece, sono metriche del software che misurano</w:t>
      </w:r>
      <w:r w:rsidR="0022203A">
        <w:t xml:space="preserve"> tutto ciò che riguarda i requisiti non funzionali (= </w:t>
      </w:r>
      <w:r w:rsidR="003B69C5">
        <w:t>come il sistema dovrebbe offrire le proprie funzionalità).</w:t>
      </w:r>
    </w:p>
    <w:p w14:paraId="53F54F4B" w14:textId="59EE5AD5" w:rsidR="003B69C5" w:rsidRDefault="00FD38B8" w:rsidP="004A7AE3">
      <w:r w:rsidRPr="00FD38B8">
        <w:rPr>
          <w:b/>
          <w:bCs/>
        </w:rPr>
        <w:t>7) Cosa misurano le metriche funzionali?</w:t>
      </w:r>
      <w:r>
        <w:rPr>
          <w:b/>
          <w:bCs/>
        </w:rPr>
        <w:br/>
      </w:r>
      <w:r>
        <w:t>Le metriche funzionali</w:t>
      </w:r>
      <w:r w:rsidR="004B04D3">
        <w:t xml:space="preserve"> m</w:t>
      </w:r>
      <w:r w:rsidR="00B16997">
        <w:t>isurano</w:t>
      </w:r>
      <w:r w:rsidR="003C0FAE">
        <w:t xml:space="preserve"> la quantità </w:t>
      </w:r>
      <w:r w:rsidR="00EE17DC">
        <w:t>e l’effort richiesto per implementare i requisiti funzionali del sist</w:t>
      </w:r>
      <w:r w:rsidR="00F83B6D">
        <w:t>ema.</w:t>
      </w:r>
    </w:p>
    <w:p w14:paraId="5DEAA5F3" w14:textId="165B2DCA" w:rsidR="00F83B6D" w:rsidRDefault="00F83B6D" w:rsidP="004A7AE3">
      <w:r w:rsidRPr="00F83B6D">
        <w:rPr>
          <w:b/>
          <w:bCs/>
        </w:rPr>
        <w:t>8) Cosa misurano le metriche non funzionali?</w:t>
      </w:r>
      <w:r w:rsidRPr="00F83B6D">
        <w:rPr>
          <w:b/>
          <w:bCs/>
        </w:rPr>
        <w:br/>
      </w:r>
      <w:r w:rsidR="004B2091">
        <w:t>Le metriche non funzionali</w:t>
      </w:r>
      <w:r w:rsidR="00574321">
        <w:t xml:space="preserve"> misurano aspetti del sistema software concernenti la sua qualità e le sue caratteristiche non funzionali come </w:t>
      </w:r>
      <w:r w:rsidR="00AB580A">
        <w:t>la disponibilità, l’affidabilità, l’usabilità, la manutenibilità, la sicurezza e così via.</w:t>
      </w:r>
    </w:p>
    <w:p w14:paraId="51BFE06A" w14:textId="3E2802B0" w:rsidR="00AB580A" w:rsidRDefault="001C3DC6" w:rsidP="004A7AE3">
      <w:r w:rsidRPr="001C3DC6">
        <w:rPr>
          <w:b/>
          <w:bCs/>
        </w:rPr>
        <w:t>9) Cosa sono i function point?</w:t>
      </w:r>
      <w:r w:rsidRPr="001C3DC6">
        <w:rPr>
          <w:b/>
          <w:bCs/>
        </w:rPr>
        <w:br/>
      </w:r>
      <w:r>
        <w:t>I</w:t>
      </w:r>
      <w:r w:rsidR="0047784D">
        <w:t xml:space="preserve"> function point sono l’unità di misura </w:t>
      </w:r>
      <w:r w:rsidR="00D60AFC">
        <w:t>che quantifica</w:t>
      </w:r>
      <w:r w:rsidR="0088012C">
        <w:t xml:space="preserve"> la funzionalità aziendale di un sistema (senza però tener conto </w:t>
      </w:r>
      <w:r w:rsidR="00A67CC5">
        <w:t>dei requisiti non funzionali).</w:t>
      </w:r>
    </w:p>
    <w:p w14:paraId="214DB940" w14:textId="7D88443C" w:rsidR="00A67CC5" w:rsidRDefault="009B1CF2" w:rsidP="004A7AE3">
      <w:r w:rsidRPr="00FB64F4">
        <w:rPr>
          <w:b/>
          <w:bCs/>
        </w:rPr>
        <w:t xml:space="preserve">10) In cosa consiste </w:t>
      </w:r>
      <w:r w:rsidR="00FB64F4" w:rsidRPr="00FB64F4">
        <w:rPr>
          <w:b/>
          <w:bCs/>
        </w:rPr>
        <w:t>il calcolo dei function point?</w:t>
      </w:r>
      <w:r w:rsidR="00FB64F4" w:rsidRPr="00FB64F4">
        <w:rPr>
          <w:b/>
          <w:bCs/>
        </w:rPr>
        <w:br/>
      </w:r>
      <w:r w:rsidR="00401E8F">
        <w:t xml:space="preserve">Il conteggio dei function point restituisce una funzione </w:t>
      </w:r>
      <w:r w:rsidR="00D7508E">
        <w:t>di ILF (file logici interni), EIF (file di interfaccia esterna)</w:t>
      </w:r>
      <w:r w:rsidR="007D44D3">
        <w:t>, EI (input esterni), EO (output esterni), EQ (richieste esterne)</w:t>
      </w:r>
      <w:r w:rsidR="00FB1DF8">
        <w:t xml:space="preserve">, RET (record element type), DET (data </w:t>
      </w:r>
      <w:r w:rsidR="00FB1DF8">
        <w:lastRenderedPageBreak/>
        <w:t>element type)</w:t>
      </w:r>
      <w:r w:rsidR="00F54034">
        <w:t xml:space="preserve"> e</w:t>
      </w:r>
      <w:r w:rsidR="00FB1DF8">
        <w:t xml:space="preserve"> FTR (file type </w:t>
      </w:r>
      <w:r w:rsidR="00F54034">
        <w:t xml:space="preserve">referenced). In particolare, per effettuare </w:t>
      </w:r>
      <w:r w:rsidR="00A3567C">
        <w:t>il calcolo dei function point bisogna seguire i seguenti passaggi (di cui gli ultimi due in realtà sono facoltativi):</w:t>
      </w:r>
      <w:r w:rsidR="00A3567C">
        <w:br/>
      </w:r>
      <w:r w:rsidR="00DA05E9">
        <w:t>I</w:t>
      </w:r>
      <w:r w:rsidR="00A3567C">
        <w:t>) Definire il tipo di conteggio.</w:t>
      </w:r>
      <w:r w:rsidR="00A3567C">
        <w:br/>
      </w:r>
      <w:r w:rsidR="00DA05E9">
        <w:t>II</w:t>
      </w:r>
      <w:r w:rsidR="00A3567C">
        <w:t>) Definire il limite del conteggio.</w:t>
      </w:r>
      <w:r w:rsidR="00A3567C">
        <w:br/>
      </w:r>
      <w:r w:rsidR="00DA05E9">
        <w:t>III</w:t>
      </w:r>
      <w:r w:rsidR="00A3567C">
        <w:t xml:space="preserve">) </w:t>
      </w:r>
      <w:r w:rsidR="00910583">
        <w:t>Individuare gli EP (processi elementari) del sistema.</w:t>
      </w:r>
      <w:r w:rsidR="00910583">
        <w:br/>
      </w:r>
      <w:r w:rsidR="00DA05E9">
        <w:t>IV</w:t>
      </w:r>
      <w:r w:rsidR="00910583">
        <w:t xml:space="preserve">) </w:t>
      </w:r>
      <w:r w:rsidR="00977B2F">
        <w:t>Identificare gli EP unici.</w:t>
      </w:r>
      <w:r w:rsidR="00977B2F">
        <w:br/>
      </w:r>
      <w:r w:rsidR="00DA05E9">
        <w:t>V</w:t>
      </w:r>
      <w:r w:rsidR="00977B2F">
        <w:t>) Misurare le funzioni dati</w:t>
      </w:r>
      <w:r w:rsidR="003738A0">
        <w:t xml:space="preserve"> del sistema.</w:t>
      </w:r>
      <w:r w:rsidR="003738A0">
        <w:br/>
      </w:r>
      <w:r w:rsidR="00DA05E9">
        <w:t>VI</w:t>
      </w:r>
      <w:r w:rsidR="003738A0">
        <w:t>) Misurare le funzioni di transizione del sistema.</w:t>
      </w:r>
      <w:r w:rsidR="003738A0">
        <w:br/>
      </w:r>
      <w:r w:rsidR="00DA05E9">
        <w:t>VII</w:t>
      </w:r>
      <w:r w:rsidR="003738A0">
        <w:t xml:space="preserve">) Calcolare il conteggio dei function point </w:t>
      </w:r>
      <w:r w:rsidR="00C062BA">
        <w:t>non aggiustato.</w:t>
      </w:r>
      <w:r w:rsidR="00C062BA">
        <w:br/>
      </w:r>
      <w:r w:rsidR="00DA05E9">
        <w:t>VIII</w:t>
      </w:r>
      <w:r w:rsidR="00C062BA">
        <w:t>) Calcolare il coefficiente di aggiustamento (VAF).</w:t>
      </w:r>
      <w:r w:rsidR="00C062BA">
        <w:br/>
      </w:r>
      <w:r w:rsidR="00DA05E9">
        <w:t>IX</w:t>
      </w:r>
      <w:r w:rsidR="00C062BA">
        <w:t>) Calcolare il conteggio dei function point aggiustato.</w:t>
      </w:r>
    </w:p>
    <w:p w14:paraId="084CE4C6" w14:textId="1B252C34" w:rsidR="00FB2CA9" w:rsidRDefault="00DA05E9" w:rsidP="004A7AE3">
      <w:r w:rsidRPr="00DA05E9">
        <w:rPr>
          <w:b/>
          <w:bCs/>
        </w:rPr>
        <w:t>11) È possibile automatizzare il calcolo dei FP?</w:t>
      </w:r>
      <w:r w:rsidRPr="00DA05E9">
        <w:rPr>
          <w:b/>
          <w:bCs/>
        </w:rPr>
        <w:br/>
      </w:r>
      <w:r w:rsidR="00992B9C">
        <w:t xml:space="preserve">Sì purché </w:t>
      </w:r>
      <w:r w:rsidR="00B55FD3">
        <w:t xml:space="preserve">non </w:t>
      </w:r>
      <w:r w:rsidR="00B02EFC">
        <w:t xml:space="preserve">si utilizzi </w:t>
      </w:r>
      <w:r w:rsidR="00B55FD3">
        <w:t xml:space="preserve">lo use case </w:t>
      </w:r>
      <w:r w:rsidR="00B02EFC">
        <w:t xml:space="preserve">diagram </w:t>
      </w:r>
      <w:r w:rsidR="00476E8A">
        <w:t>come supporto.</w:t>
      </w:r>
    </w:p>
    <w:p w14:paraId="6E73D9EB" w14:textId="652A2EFD" w:rsidR="00D67756" w:rsidRPr="00FE25B4" w:rsidRDefault="00476E8A" w:rsidP="004A7AE3">
      <w:r w:rsidRPr="00FE25B4">
        <w:rPr>
          <w:b/>
          <w:bCs/>
        </w:rPr>
        <w:t>12) Come può aiutare la documentazione UML</w:t>
      </w:r>
      <w:r w:rsidR="00FE25B4" w:rsidRPr="00FE25B4">
        <w:rPr>
          <w:b/>
          <w:bCs/>
        </w:rPr>
        <w:t xml:space="preserve"> di un sistema software a calcolare i FP?</w:t>
      </w:r>
      <w:r w:rsidR="00FE25B4" w:rsidRPr="00FE25B4">
        <w:rPr>
          <w:b/>
          <w:bCs/>
        </w:rPr>
        <w:br/>
      </w:r>
      <w:r w:rsidR="00BC69DF">
        <w:t xml:space="preserve">La documentazione UML </w:t>
      </w:r>
      <w:r w:rsidR="00862AE2">
        <w:t xml:space="preserve">è d’aiuto mediante lo </w:t>
      </w:r>
      <w:r w:rsidR="00862AE2" w:rsidRPr="006F2C9A">
        <w:rPr>
          <w:color w:val="FF0000"/>
        </w:rPr>
        <w:t>use case diagram</w:t>
      </w:r>
      <w:r w:rsidR="00862AE2">
        <w:t xml:space="preserve">, il </w:t>
      </w:r>
      <w:r w:rsidR="00862AE2" w:rsidRPr="006F2C9A">
        <w:rPr>
          <w:color w:val="0070C0"/>
        </w:rPr>
        <w:t xml:space="preserve">class diagram </w:t>
      </w:r>
      <w:r w:rsidR="00862AE2">
        <w:t xml:space="preserve">e il </w:t>
      </w:r>
      <w:r w:rsidR="00862AE2" w:rsidRPr="006F2C9A">
        <w:rPr>
          <w:color w:val="00B050"/>
        </w:rPr>
        <w:t>sequence diagram</w:t>
      </w:r>
      <w:r w:rsidR="00862AE2">
        <w:t>. In particolare: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D67756" w:rsidRPr="0074514D" w14:paraId="5BC8EF3A" w14:textId="77777777" w:rsidTr="003B1450">
        <w:tc>
          <w:tcPr>
            <w:tcW w:w="2547" w:type="dxa"/>
            <w:shd w:val="clear" w:color="auto" w:fill="FFD966" w:themeFill="accent4" w:themeFillTint="99"/>
          </w:tcPr>
          <w:p w14:paraId="6D7BF964" w14:textId="7A05B9FC" w:rsidR="00D67756" w:rsidRPr="0074514D" w:rsidRDefault="00D67756" w:rsidP="00F83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7081" w:type="dxa"/>
            <w:shd w:val="clear" w:color="auto" w:fill="FFD966" w:themeFill="accent4" w:themeFillTint="99"/>
          </w:tcPr>
          <w:p w14:paraId="481B5642" w14:textId="4FB504A0" w:rsidR="00D67756" w:rsidRPr="0074514D" w:rsidRDefault="00D67756" w:rsidP="00F83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Calcolo da effettuare</w:t>
            </w:r>
          </w:p>
        </w:tc>
      </w:tr>
      <w:tr w:rsidR="00D67756" w14:paraId="5503CC9E" w14:textId="77777777" w:rsidTr="003B1450">
        <w:tc>
          <w:tcPr>
            <w:tcW w:w="2547" w:type="dxa"/>
          </w:tcPr>
          <w:p w14:paraId="468E6853" w14:textId="0D56A1BC" w:rsidR="00D67756" w:rsidRPr="006F2C9A" w:rsidRDefault="00F8725F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Attore umano</w:t>
            </w:r>
          </w:p>
        </w:tc>
        <w:tc>
          <w:tcPr>
            <w:tcW w:w="7081" w:type="dxa"/>
          </w:tcPr>
          <w:p w14:paraId="60451357" w14:textId="20EB574C" w:rsidR="00D67756" w:rsidRPr="006F2C9A" w:rsidRDefault="00854F5B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È sorgente / destinazione di funzioni transazionali.</w:t>
            </w:r>
          </w:p>
        </w:tc>
      </w:tr>
      <w:tr w:rsidR="00733C6A" w14:paraId="090455B6" w14:textId="77777777" w:rsidTr="003B1450">
        <w:tc>
          <w:tcPr>
            <w:tcW w:w="2547" w:type="dxa"/>
          </w:tcPr>
          <w:p w14:paraId="0DCDA557" w14:textId="226ACA38" w:rsidR="00733C6A" w:rsidRPr="006F2C9A" w:rsidRDefault="00733C6A" w:rsidP="00733C6A">
            <w:pPr>
              <w:rPr>
                <w:color w:val="FF0000"/>
              </w:rPr>
            </w:pPr>
            <w:r w:rsidRPr="006F2C9A">
              <w:rPr>
                <w:color w:val="FF0000"/>
              </w:rPr>
              <w:t>Attore non umano</w:t>
            </w:r>
          </w:p>
        </w:tc>
        <w:tc>
          <w:tcPr>
            <w:tcW w:w="7081" w:type="dxa"/>
          </w:tcPr>
          <w:p w14:paraId="254CA936" w14:textId="3B3967FA" w:rsidR="00733C6A" w:rsidRPr="006F2C9A" w:rsidRDefault="00733C6A" w:rsidP="00733C6A">
            <w:pPr>
              <w:rPr>
                <w:color w:val="FF0000"/>
              </w:rPr>
            </w:pPr>
            <w:r w:rsidRPr="006F2C9A">
              <w:rPr>
                <w:color w:val="FF0000"/>
              </w:rPr>
              <w:t>È sorgente / destinazione di funzioni transazionali.</w:t>
            </w:r>
          </w:p>
        </w:tc>
      </w:tr>
      <w:tr w:rsidR="00D67756" w14:paraId="044231DD" w14:textId="77777777" w:rsidTr="003B1450">
        <w:tc>
          <w:tcPr>
            <w:tcW w:w="2547" w:type="dxa"/>
          </w:tcPr>
          <w:p w14:paraId="0658D979" w14:textId="473F7E8D" w:rsidR="00D67756" w:rsidRPr="006F2C9A" w:rsidRDefault="00733C6A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Altro tipo di attore (e.g. stampante, timer)</w:t>
            </w:r>
          </w:p>
        </w:tc>
        <w:tc>
          <w:tcPr>
            <w:tcW w:w="7081" w:type="dxa"/>
          </w:tcPr>
          <w:p w14:paraId="199BACD5" w14:textId="619B9A23" w:rsidR="00D67756" w:rsidRPr="006F2C9A" w:rsidRDefault="00733C6A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Deve essere scartato dall’analisi dei function point.</w:t>
            </w:r>
          </w:p>
        </w:tc>
      </w:tr>
      <w:tr w:rsidR="00D67756" w14:paraId="6B780820" w14:textId="77777777" w:rsidTr="003B1450">
        <w:tc>
          <w:tcPr>
            <w:tcW w:w="2547" w:type="dxa"/>
          </w:tcPr>
          <w:p w14:paraId="7A7F8D86" w14:textId="348FB7F1" w:rsidR="00D67756" w:rsidRPr="006F2C9A" w:rsidRDefault="00216D5D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Associazione tra caso d’uso e attore</w:t>
            </w:r>
          </w:p>
        </w:tc>
        <w:tc>
          <w:tcPr>
            <w:tcW w:w="7081" w:type="dxa"/>
          </w:tcPr>
          <w:p w14:paraId="0A654E43" w14:textId="4D8204E2" w:rsidR="00D67756" w:rsidRPr="006F2C9A" w:rsidRDefault="00216D5D" w:rsidP="00F839A5">
            <w:pPr>
              <w:rPr>
                <w:color w:val="FF0000"/>
              </w:rPr>
            </w:pPr>
            <w:r w:rsidRPr="006F2C9A">
              <w:rPr>
                <w:color w:val="FF0000"/>
              </w:rPr>
              <w:t>È candidato per alcune funzioni transazionali (e.g. EI, EO, EQ).</w:t>
            </w:r>
          </w:p>
        </w:tc>
      </w:tr>
      <w:tr w:rsidR="003B1450" w14:paraId="5DC8C6DE" w14:textId="77777777" w:rsidTr="003B1450">
        <w:tc>
          <w:tcPr>
            <w:tcW w:w="2547" w:type="dxa"/>
          </w:tcPr>
          <w:p w14:paraId="76DC9EC5" w14:textId="23731FAB" w:rsidR="003B1450" w:rsidRPr="006F2C9A" w:rsidRDefault="003B1450" w:rsidP="003B1450">
            <w:pPr>
              <w:rPr>
                <w:color w:val="FF0000"/>
              </w:rPr>
            </w:pPr>
            <w:r w:rsidRPr="006F2C9A">
              <w:rPr>
                <w:color w:val="FF0000"/>
              </w:rPr>
              <w:t>Caso d’uso di estensione o di inclusione</w:t>
            </w:r>
          </w:p>
        </w:tc>
        <w:tc>
          <w:tcPr>
            <w:tcW w:w="7081" w:type="dxa"/>
          </w:tcPr>
          <w:p w14:paraId="08C3E22E" w14:textId="20A845F2" w:rsidR="003B1450" w:rsidRPr="006F2C9A" w:rsidRDefault="003B1450" w:rsidP="003B1450">
            <w:pPr>
              <w:rPr>
                <w:color w:val="FF0000"/>
              </w:rPr>
            </w:pPr>
            <w:r w:rsidRPr="006F2C9A">
              <w:rPr>
                <w:color w:val="FF0000"/>
              </w:rPr>
              <w:t>È candidato per alcune funzioni transazionali (e.g. EI, EO, EQ).</w:t>
            </w:r>
          </w:p>
        </w:tc>
      </w:tr>
      <w:tr w:rsidR="00D67756" w14:paraId="2224AE94" w14:textId="77777777" w:rsidTr="003B1450">
        <w:tc>
          <w:tcPr>
            <w:tcW w:w="2547" w:type="dxa"/>
          </w:tcPr>
          <w:p w14:paraId="7A82096A" w14:textId="4847F5A1" w:rsidR="00D67756" w:rsidRPr="006F2C9A" w:rsidRDefault="00DA27D0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Classe Entity</w:t>
            </w:r>
          </w:p>
        </w:tc>
        <w:tc>
          <w:tcPr>
            <w:tcW w:w="7081" w:type="dxa"/>
          </w:tcPr>
          <w:p w14:paraId="69B00E62" w14:textId="4E0E3D3D" w:rsidR="00D67756" w:rsidRPr="006F2C9A" w:rsidRDefault="00BF0646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È candidata per ILF o EIF.</w:t>
            </w:r>
          </w:p>
        </w:tc>
      </w:tr>
      <w:tr w:rsidR="00DF2382" w14:paraId="285DE71C" w14:textId="77777777" w:rsidTr="003B1450">
        <w:tc>
          <w:tcPr>
            <w:tcW w:w="2547" w:type="dxa"/>
          </w:tcPr>
          <w:p w14:paraId="4C5D5A50" w14:textId="35EEB2A4" w:rsidR="00DF2382" w:rsidRPr="006F2C9A" w:rsidRDefault="00725F80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Classe non Entity</w:t>
            </w:r>
          </w:p>
        </w:tc>
        <w:tc>
          <w:tcPr>
            <w:tcW w:w="7081" w:type="dxa"/>
          </w:tcPr>
          <w:p w14:paraId="345E7FE9" w14:textId="755E4CBD" w:rsidR="00DF2382" w:rsidRPr="006F2C9A" w:rsidRDefault="00725F80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 xml:space="preserve">Viene sempre </w:t>
            </w:r>
            <w:r w:rsidR="00535C4B" w:rsidRPr="006F2C9A">
              <w:rPr>
                <w:color w:val="0070C0"/>
              </w:rPr>
              <w:t>scartata</w:t>
            </w:r>
            <w:r w:rsidRPr="006F2C9A">
              <w:rPr>
                <w:color w:val="0070C0"/>
              </w:rPr>
              <w:t xml:space="preserve"> (per cui non rientra nei casi esposti dopo).</w:t>
            </w:r>
          </w:p>
        </w:tc>
      </w:tr>
      <w:tr w:rsidR="00D67756" w14:paraId="6DCEE9D7" w14:textId="77777777" w:rsidTr="003B1450">
        <w:tc>
          <w:tcPr>
            <w:tcW w:w="2547" w:type="dxa"/>
          </w:tcPr>
          <w:p w14:paraId="744A2999" w14:textId="1FAC45FE" w:rsidR="00D67756" w:rsidRPr="006F2C9A" w:rsidRDefault="0063140D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Classe astratta</w:t>
            </w:r>
          </w:p>
        </w:tc>
        <w:tc>
          <w:tcPr>
            <w:tcW w:w="7081" w:type="dxa"/>
          </w:tcPr>
          <w:p w14:paraId="5C2AB782" w14:textId="046ADBE4" w:rsidR="00D67756" w:rsidRPr="006F2C9A" w:rsidRDefault="00E82ED7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Ciascuna classe discendente nella gerarchia di generalizzazione corrisponde a 1 RET.</w:t>
            </w:r>
          </w:p>
        </w:tc>
      </w:tr>
      <w:tr w:rsidR="00D67756" w14:paraId="4659196D" w14:textId="77777777" w:rsidTr="003B1450">
        <w:tc>
          <w:tcPr>
            <w:tcW w:w="2547" w:type="dxa"/>
          </w:tcPr>
          <w:p w14:paraId="35EDC15C" w14:textId="202FE49F" w:rsidR="00D67756" w:rsidRPr="006F2C9A" w:rsidRDefault="00CC583D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Attributo semplice</w:t>
            </w:r>
          </w:p>
        </w:tc>
        <w:tc>
          <w:tcPr>
            <w:tcW w:w="7081" w:type="dxa"/>
          </w:tcPr>
          <w:p w14:paraId="7D1FC1C2" w14:textId="44222028" w:rsidR="00D67756" w:rsidRPr="006F2C9A" w:rsidRDefault="00C13E00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Corrisponde a 1 DET.</w:t>
            </w:r>
          </w:p>
        </w:tc>
      </w:tr>
      <w:tr w:rsidR="00D67756" w14:paraId="6098E18E" w14:textId="77777777" w:rsidTr="003B1450">
        <w:tc>
          <w:tcPr>
            <w:tcW w:w="2547" w:type="dxa"/>
          </w:tcPr>
          <w:p w14:paraId="63313E71" w14:textId="1EC657C5" w:rsidR="00D67756" w:rsidRPr="006F2C9A" w:rsidRDefault="00C13E00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Attributo complesso</w:t>
            </w:r>
          </w:p>
        </w:tc>
        <w:tc>
          <w:tcPr>
            <w:tcW w:w="7081" w:type="dxa"/>
          </w:tcPr>
          <w:p w14:paraId="733558B4" w14:textId="30945A45" w:rsidR="00D67756" w:rsidRPr="006F2C9A" w:rsidRDefault="00C13E00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Corrisponde a 1 RET.</w:t>
            </w:r>
          </w:p>
        </w:tc>
      </w:tr>
      <w:tr w:rsidR="00C13E00" w14:paraId="4C186BB8" w14:textId="77777777" w:rsidTr="003B1450">
        <w:tc>
          <w:tcPr>
            <w:tcW w:w="2547" w:type="dxa"/>
          </w:tcPr>
          <w:p w14:paraId="4A9E1C7A" w14:textId="28C3F04A" w:rsidR="00C13E00" w:rsidRPr="006F2C9A" w:rsidRDefault="004D383B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Associazione con molteplicità max &gt; 1</w:t>
            </w:r>
          </w:p>
        </w:tc>
        <w:tc>
          <w:tcPr>
            <w:tcW w:w="7081" w:type="dxa"/>
          </w:tcPr>
          <w:p w14:paraId="2EB76131" w14:textId="0A24EB02" w:rsidR="00C13E00" w:rsidRPr="006F2C9A" w:rsidRDefault="004067DD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Aumenta la complessità di 1 RET.</w:t>
            </w:r>
          </w:p>
        </w:tc>
      </w:tr>
      <w:tr w:rsidR="004067DD" w14:paraId="744F9E67" w14:textId="77777777" w:rsidTr="003B1450">
        <w:tc>
          <w:tcPr>
            <w:tcW w:w="2547" w:type="dxa"/>
          </w:tcPr>
          <w:p w14:paraId="576B422E" w14:textId="14619A62" w:rsidR="004067DD" w:rsidRPr="006F2C9A" w:rsidRDefault="00257031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Ereditarietà multipla</w:t>
            </w:r>
          </w:p>
        </w:tc>
        <w:tc>
          <w:tcPr>
            <w:tcW w:w="7081" w:type="dxa"/>
          </w:tcPr>
          <w:p w14:paraId="48D6D253" w14:textId="4D95EFF5" w:rsidR="004067DD" w:rsidRPr="006F2C9A" w:rsidRDefault="00A81242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Ciascuna superclasse di una particolare classe corrisponde a 1 RET.</w:t>
            </w:r>
          </w:p>
        </w:tc>
      </w:tr>
      <w:tr w:rsidR="00535C4B" w14:paraId="2BD626B4" w14:textId="77777777" w:rsidTr="003B1450">
        <w:tc>
          <w:tcPr>
            <w:tcW w:w="2547" w:type="dxa"/>
          </w:tcPr>
          <w:p w14:paraId="01B73257" w14:textId="4649093D" w:rsidR="00535C4B" w:rsidRPr="006F2C9A" w:rsidRDefault="00535C4B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Gerarchia di classi</w:t>
            </w:r>
          </w:p>
        </w:tc>
        <w:tc>
          <w:tcPr>
            <w:tcW w:w="7081" w:type="dxa"/>
          </w:tcPr>
          <w:p w14:paraId="6C12E488" w14:textId="4744D4B0" w:rsidR="00535C4B" w:rsidRPr="006F2C9A" w:rsidRDefault="00535C4B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Ciascuna sottoclasse corrisponde a 1 RET.</w:t>
            </w:r>
          </w:p>
        </w:tc>
      </w:tr>
      <w:tr w:rsidR="00F67C37" w14:paraId="4F1067C5" w14:textId="77777777" w:rsidTr="003B1450">
        <w:tc>
          <w:tcPr>
            <w:tcW w:w="2547" w:type="dxa"/>
          </w:tcPr>
          <w:p w14:paraId="64BADB44" w14:textId="73AD59DD" w:rsidR="00F67C37" w:rsidRPr="006F2C9A" w:rsidRDefault="00481A78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Aggregazione</w:t>
            </w:r>
          </w:p>
        </w:tc>
        <w:tc>
          <w:tcPr>
            <w:tcW w:w="7081" w:type="dxa"/>
          </w:tcPr>
          <w:p w14:paraId="6F7AA4C7" w14:textId="353DD890" w:rsidR="00F67C37" w:rsidRPr="006F2C9A" w:rsidRDefault="00481A78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Aumenta la complessità di 1 RET.</w:t>
            </w:r>
          </w:p>
        </w:tc>
      </w:tr>
      <w:tr w:rsidR="00232644" w14:paraId="6F05B5A3" w14:textId="77777777" w:rsidTr="003B1450">
        <w:tc>
          <w:tcPr>
            <w:tcW w:w="2547" w:type="dxa"/>
          </w:tcPr>
          <w:p w14:paraId="136FF555" w14:textId="1B24CF53" w:rsidR="00232644" w:rsidRPr="006F2C9A" w:rsidRDefault="00232644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Dipendenza tra classi</w:t>
            </w:r>
          </w:p>
        </w:tc>
        <w:tc>
          <w:tcPr>
            <w:tcW w:w="7081" w:type="dxa"/>
          </w:tcPr>
          <w:p w14:paraId="49236C7C" w14:textId="6F44FF42" w:rsidR="00232644" w:rsidRPr="006F2C9A" w:rsidRDefault="00232644" w:rsidP="00F839A5">
            <w:pPr>
              <w:rPr>
                <w:color w:val="0070C0"/>
              </w:rPr>
            </w:pPr>
            <w:r w:rsidRPr="006F2C9A">
              <w:rPr>
                <w:color w:val="0070C0"/>
              </w:rPr>
              <w:t>Non ha impatto nel conteggio dei function point.</w:t>
            </w:r>
          </w:p>
        </w:tc>
      </w:tr>
      <w:tr w:rsidR="006B5CF3" w14:paraId="6F36D3E1" w14:textId="77777777" w:rsidTr="003B1450">
        <w:tc>
          <w:tcPr>
            <w:tcW w:w="2547" w:type="dxa"/>
          </w:tcPr>
          <w:p w14:paraId="07D6462E" w14:textId="59B93287" w:rsidR="006B5CF3" w:rsidRPr="0050422B" w:rsidRDefault="006B5CF3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 xml:space="preserve">External </w:t>
            </w:r>
            <w:r w:rsidR="00DE4784" w:rsidRPr="0050422B">
              <w:rPr>
                <w:color w:val="00B050"/>
              </w:rPr>
              <w:t>Input Pattern</w:t>
            </w:r>
          </w:p>
        </w:tc>
        <w:tc>
          <w:tcPr>
            <w:tcW w:w="7081" w:type="dxa"/>
          </w:tcPr>
          <w:p w14:paraId="424F171F" w14:textId="32965D19" w:rsidR="006B5CF3" w:rsidRPr="0050422B" w:rsidRDefault="00DE4784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>Se tutti i messaggi rivolti verso la Entity hanno argomenti</w:t>
            </w:r>
            <w:r w:rsidR="009A3A45" w:rsidRPr="0050422B">
              <w:rPr>
                <w:color w:val="00B050"/>
              </w:rPr>
              <w:t>, viene conteggiata una funzione transazionale EI.</w:t>
            </w:r>
          </w:p>
        </w:tc>
      </w:tr>
      <w:tr w:rsidR="009A3A45" w14:paraId="45FE23EB" w14:textId="77777777" w:rsidTr="003B1450">
        <w:tc>
          <w:tcPr>
            <w:tcW w:w="2547" w:type="dxa"/>
          </w:tcPr>
          <w:p w14:paraId="1DADFCA4" w14:textId="3F578226" w:rsidR="009A3A45" w:rsidRPr="0050422B" w:rsidRDefault="009A3A45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>External Output Pattern</w:t>
            </w:r>
          </w:p>
        </w:tc>
        <w:tc>
          <w:tcPr>
            <w:tcW w:w="7081" w:type="dxa"/>
          </w:tcPr>
          <w:p w14:paraId="36C1DB12" w14:textId="2A5336FE" w:rsidR="009A3A45" w:rsidRPr="0050422B" w:rsidRDefault="00F767B8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 xml:space="preserve">Se </w:t>
            </w:r>
            <w:r w:rsidR="00E13545" w:rsidRPr="0050422B">
              <w:rPr>
                <w:color w:val="00B050"/>
              </w:rPr>
              <w:t>gli argomenti di tutti i messaggi includono alcuni ma non tutti gli attributi</w:t>
            </w:r>
            <w:r w:rsidR="00377473" w:rsidRPr="0050422B">
              <w:rPr>
                <w:color w:val="00B050"/>
              </w:rPr>
              <w:t xml:space="preserve"> letti</w:t>
            </w:r>
            <w:r w:rsidR="00E13545" w:rsidRPr="0050422B">
              <w:rPr>
                <w:color w:val="00B050"/>
              </w:rPr>
              <w:t xml:space="preserve"> </w:t>
            </w:r>
            <w:r w:rsidR="00291B20" w:rsidRPr="0050422B">
              <w:rPr>
                <w:color w:val="00B050"/>
              </w:rPr>
              <w:t>d</w:t>
            </w:r>
            <w:r w:rsidR="00377473" w:rsidRPr="0050422B">
              <w:rPr>
                <w:color w:val="00B050"/>
              </w:rPr>
              <w:t>a</w:t>
            </w:r>
            <w:r w:rsidR="00291B20" w:rsidRPr="0050422B">
              <w:rPr>
                <w:color w:val="00B050"/>
              </w:rPr>
              <w:t>lle Entity, viene conteggiata una funzione transazionale EO; se invece</w:t>
            </w:r>
            <w:r w:rsidR="00584BB2" w:rsidRPr="0050422B">
              <w:rPr>
                <w:color w:val="00B050"/>
              </w:rPr>
              <w:t xml:space="preserve"> includono tutti gli attributi, viene conteggiata una funzione transazionale EQ</w:t>
            </w:r>
            <w:r w:rsidR="00E43424" w:rsidRPr="0050422B">
              <w:rPr>
                <w:color w:val="00B050"/>
              </w:rPr>
              <w:t>; negli altri casi il pattern viene scartato.</w:t>
            </w:r>
          </w:p>
        </w:tc>
      </w:tr>
      <w:tr w:rsidR="000B3807" w14:paraId="1426370F" w14:textId="77777777" w:rsidTr="003B1450">
        <w:tc>
          <w:tcPr>
            <w:tcW w:w="2547" w:type="dxa"/>
          </w:tcPr>
          <w:p w14:paraId="66C43C97" w14:textId="4E667760" w:rsidR="000B3807" w:rsidRPr="0050422B" w:rsidRDefault="000B3807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>External Input Pattern + External Output Pattern</w:t>
            </w:r>
          </w:p>
        </w:tc>
        <w:tc>
          <w:tcPr>
            <w:tcW w:w="7081" w:type="dxa"/>
          </w:tcPr>
          <w:p w14:paraId="11556591" w14:textId="68E32071" w:rsidR="000B3807" w:rsidRPr="0050422B" w:rsidRDefault="00F33E23" w:rsidP="00F839A5">
            <w:pPr>
              <w:rPr>
                <w:color w:val="00B050"/>
              </w:rPr>
            </w:pPr>
            <w:r w:rsidRPr="0050422B">
              <w:rPr>
                <w:color w:val="00B050"/>
              </w:rPr>
              <w:t>Il numero di argomenti del messaggio che sono attributi di oggetti Entity</w:t>
            </w:r>
            <w:r w:rsidR="00645826" w:rsidRPr="0050422B">
              <w:rPr>
                <w:color w:val="00B050"/>
              </w:rPr>
              <w:t xml:space="preserve"> corrisponde al conteggio de</w:t>
            </w:r>
            <w:r w:rsidR="009D4CFC" w:rsidRPr="0050422B">
              <w:rPr>
                <w:color w:val="00B050"/>
              </w:rPr>
              <w:t>i</w:t>
            </w:r>
            <w:r w:rsidR="00645826" w:rsidRPr="0050422B">
              <w:rPr>
                <w:color w:val="00B050"/>
              </w:rPr>
              <w:t xml:space="preserve"> DET; d’altra parte, il numero di oggetti Entity che partecipano allo scambio di messaggi corrisponde al conteggio de</w:t>
            </w:r>
            <w:r w:rsidR="009D4CFC" w:rsidRPr="0050422B">
              <w:rPr>
                <w:color w:val="00B050"/>
              </w:rPr>
              <w:t>i</w:t>
            </w:r>
            <w:r w:rsidR="00645826" w:rsidRPr="0050422B">
              <w:rPr>
                <w:color w:val="00B050"/>
              </w:rPr>
              <w:t xml:space="preserve"> FTR</w:t>
            </w:r>
            <w:r w:rsidR="009D4CFC" w:rsidRPr="0050422B">
              <w:rPr>
                <w:color w:val="00B050"/>
              </w:rPr>
              <w:t>.</w:t>
            </w:r>
          </w:p>
        </w:tc>
      </w:tr>
    </w:tbl>
    <w:p w14:paraId="3EC1A791" w14:textId="6D04DBDF" w:rsidR="00476E8A" w:rsidRDefault="00476E8A" w:rsidP="004A7AE3"/>
    <w:p w14:paraId="55686E37" w14:textId="5B51B937" w:rsidR="0049530C" w:rsidRDefault="0049530C" w:rsidP="004A7AE3"/>
    <w:p w14:paraId="2776F27E" w14:textId="4EDEE663" w:rsidR="0049530C" w:rsidRDefault="0049530C" w:rsidP="004A7AE3">
      <w:r w:rsidRPr="00431F94">
        <w:rPr>
          <w:b/>
          <w:bCs/>
        </w:rPr>
        <w:lastRenderedPageBreak/>
        <w:t>13)</w:t>
      </w:r>
      <w:r w:rsidR="00EE6152" w:rsidRPr="00431F94">
        <w:rPr>
          <w:b/>
          <w:bCs/>
        </w:rPr>
        <w:t xml:space="preserve"> Quale documentazione risulta essere la migliore</w:t>
      </w:r>
      <w:r w:rsidR="00431F94" w:rsidRPr="00431F94">
        <w:rPr>
          <w:b/>
          <w:bCs/>
        </w:rPr>
        <w:t xml:space="preserve"> per l’individuazione delle funzioni transazionali?</w:t>
      </w:r>
      <w:r w:rsidR="00431F94" w:rsidRPr="00431F94">
        <w:rPr>
          <w:b/>
          <w:bCs/>
        </w:rPr>
        <w:br/>
      </w:r>
      <w:r w:rsidR="00356506">
        <w:t>La documentazione data dai sequence diagram</w:t>
      </w:r>
      <w:r w:rsidR="00D82156">
        <w:t>, in cui effettivamente gli EI, EO, EQ sono molto precisi e facili da individuare.</w:t>
      </w:r>
    </w:p>
    <w:p w14:paraId="27E50F6C" w14:textId="2818CE79" w:rsidR="00D82156" w:rsidRDefault="00D82156" w:rsidP="004A7AE3">
      <w:r w:rsidRPr="00921036">
        <w:rPr>
          <w:b/>
          <w:bCs/>
        </w:rPr>
        <w:t>14)</w:t>
      </w:r>
      <w:r w:rsidR="00921036" w:rsidRPr="00921036">
        <w:rPr>
          <w:b/>
          <w:bCs/>
        </w:rPr>
        <w:t xml:space="preserve"> Cosa sono i pattern nell’ambito UML-FP? Come si usano?</w:t>
      </w:r>
      <w:r w:rsidR="00921036" w:rsidRPr="00921036">
        <w:rPr>
          <w:b/>
          <w:bCs/>
        </w:rPr>
        <w:br/>
      </w:r>
      <w:r w:rsidR="00E005DD">
        <w:t>I pattern nell’ambito UML-FP</w:t>
      </w:r>
      <w:r w:rsidR="008A215A">
        <w:t xml:space="preserve"> sono sequenze di messaggi ben precise che si possono trovare all’interno dei sequence diagram e sono:</w:t>
      </w:r>
      <w:r w:rsidR="008A215A">
        <w:br/>
        <w:t>-</w:t>
      </w:r>
      <w:r w:rsidR="00966DB5">
        <w:t xml:space="preserve"> </w:t>
      </w:r>
      <w:r w:rsidR="00BD6853">
        <w:t>External Input Pattern</w:t>
      </w:r>
      <w:r w:rsidR="00E255CE">
        <w:t>, identificato da</w:t>
      </w:r>
      <w:r w:rsidR="00E44E31">
        <w:t xml:space="preserve"> un System Directed Messages Sequence (SDMS):</w:t>
      </w:r>
      <w:r w:rsidR="00BD6853">
        <w:br/>
      </w:r>
      <w:r w:rsidR="00CE3148">
        <w:rPr>
          <w:noProof/>
        </w:rPr>
        <w:drawing>
          <wp:inline distT="0" distB="0" distL="0" distR="0" wp14:anchorId="7E93D816" wp14:editId="0A5914FC">
            <wp:extent cx="5144218" cy="241968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2FB4" w14:textId="640AED10" w:rsidR="00CE3148" w:rsidRDefault="00E325B9" w:rsidP="004A7AE3">
      <w:r>
        <w:t>Qui, s</w:t>
      </w:r>
      <w:r>
        <w:t>e tutti i messaggi</w:t>
      </w:r>
      <w:r w:rsidR="00121C52">
        <w:t xml:space="preserve"> di scrittura</w:t>
      </w:r>
      <w:r>
        <w:t xml:space="preserve"> rivolti verso la Entity </w:t>
      </w:r>
      <w:r w:rsidR="00D6569B">
        <w:t>(= Entity Writing Message Sequence</w:t>
      </w:r>
      <w:r w:rsidR="00E255CE">
        <w:t xml:space="preserve"> – EWMS) </w:t>
      </w:r>
      <w:r>
        <w:t>hanno argomenti, viene conteggiata una funzione transazionale EI.</w:t>
      </w:r>
      <w:r w:rsidR="00FC6215">
        <w:br/>
        <w:t>- External Output Pattern, identificato</w:t>
      </w:r>
      <w:r w:rsidR="001A3522">
        <w:t xml:space="preserve"> da un Actor Directed Messages Sequence (ADMS):</w:t>
      </w:r>
      <w:r w:rsidR="001A3522">
        <w:br/>
      </w:r>
      <w:r w:rsidR="00996CCB">
        <w:rPr>
          <w:noProof/>
        </w:rPr>
        <w:drawing>
          <wp:inline distT="0" distB="0" distL="0" distR="0" wp14:anchorId="1A6B824C" wp14:editId="6094DB78">
            <wp:extent cx="5382376" cy="2800741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7950" w14:textId="5674A23D" w:rsidR="00996CCB" w:rsidRDefault="00121C52" w:rsidP="004A7AE3">
      <w:r>
        <w:t>Qui, se i messaggi</w:t>
      </w:r>
      <w:r w:rsidR="004B2B01">
        <w:t xml:space="preserve"> rivolti verso l’attore contengono tutti gli attributi</w:t>
      </w:r>
      <w:r w:rsidR="00DD0F94">
        <w:t xml:space="preserve"> </w:t>
      </w:r>
      <w:r w:rsidR="00DC7C72">
        <w:t>recuperati mediant</w:t>
      </w:r>
      <w:r w:rsidR="00A17B96">
        <w:t>e</w:t>
      </w:r>
      <w:r w:rsidR="00DC7C72">
        <w:t xml:space="preserve"> i messaggi</w:t>
      </w:r>
      <w:r>
        <w:t xml:space="preserve"> di lettura rivolti verso la Entity (= Entity Reading Message Sequence</w:t>
      </w:r>
      <w:r w:rsidR="00D3526D">
        <w:t xml:space="preserve"> – ERMS)</w:t>
      </w:r>
      <w:r w:rsidR="00DC7C72">
        <w:t xml:space="preserve">, </w:t>
      </w:r>
      <w:r w:rsidR="00DC7C72">
        <w:t>viene conteggiata una funzione transazionale E</w:t>
      </w:r>
      <w:r w:rsidR="00DC7C72">
        <w:t>Q</w:t>
      </w:r>
      <w:r w:rsidR="00DC7C72">
        <w:t>.</w:t>
      </w:r>
      <w:r w:rsidR="00DC7C72">
        <w:t xml:space="preserve"> Se invece ne contengono alcuni ma non tutti, </w:t>
      </w:r>
      <w:r w:rsidR="00DC7C72">
        <w:t>viene conteggiata una funzione transazionale E</w:t>
      </w:r>
      <w:r w:rsidR="00DC7C72">
        <w:t>O</w:t>
      </w:r>
      <w:r w:rsidR="00DC7C72">
        <w:t>.</w:t>
      </w:r>
      <w:r w:rsidR="0088661F">
        <w:br/>
        <w:t>- Composed Pattern, in cui gli External Input Pattern ed External Output Pattern vanno estratti e valutati</w:t>
      </w:r>
      <w:r w:rsidR="00A67FC2">
        <w:t xml:space="preserve"> </w:t>
      </w:r>
      <w:r w:rsidR="0088661F">
        <w:t>separatamente:</w:t>
      </w:r>
    </w:p>
    <w:p w14:paraId="461D37CD" w14:textId="1AFE5266" w:rsidR="00A67FC2" w:rsidRDefault="00A67FC2" w:rsidP="004A7AE3">
      <w:r>
        <w:rPr>
          <w:noProof/>
        </w:rPr>
        <w:lastRenderedPageBreak/>
        <w:drawing>
          <wp:inline distT="0" distB="0" distL="0" distR="0" wp14:anchorId="29ABD0A6" wp14:editId="4DDFACE5">
            <wp:extent cx="4877481" cy="243874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AE8C" w14:textId="42F55240" w:rsidR="00A67FC2" w:rsidRPr="00F3618D" w:rsidRDefault="008E68D9" w:rsidP="004A7AE3">
      <w:r>
        <w:br/>
      </w:r>
      <w:r w:rsidRPr="00F3618D">
        <w:rPr>
          <w:b/>
          <w:bCs/>
        </w:rPr>
        <w:t xml:space="preserve">15) Si è in grado di fare esempi, anche semplici, di utilizzo di elementi in UML per l’individuazione </w:t>
      </w:r>
      <w:r w:rsidR="00F3618D" w:rsidRPr="00F3618D">
        <w:rPr>
          <w:b/>
          <w:bCs/>
        </w:rPr>
        <w:t>dei Processi Elementari?</w:t>
      </w:r>
      <w:r w:rsidR="00F3618D" w:rsidRPr="00F3618D">
        <w:rPr>
          <w:b/>
          <w:bCs/>
        </w:rPr>
        <w:br/>
      </w:r>
      <w:r w:rsidR="001D7F48">
        <w:t>Processo Elementare “Aggiungi libro”:</w:t>
      </w:r>
      <w:r w:rsidR="001D7F48">
        <w:br/>
      </w:r>
      <w:r w:rsidR="001D7F48">
        <w:rPr>
          <w:noProof/>
        </w:rPr>
        <w:drawing>
          <wp:inline distT="0" distB="0" distL="0" distR="0" wp14:anchorId="586135D8" wp14:editId="64B3F896">
            <wp:extent cx="5820587" cy="20767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FC2" w:rsidRPr="00F361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71A"/>
    <w:multiLevelType w:val="hybridMultilevel"/>
    <w:tmpl w:val="DAB6F968"/>
    <w:lvl w:ilvl="0" w:tplc="41467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B5327"/>
    <w:multiLevelType w:val="hybridMultilevel"/>
    <w:tmpl w:val="B754A034"/>
    <w:lvl w:ilvl="0" w:tplc="950672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93B3F"/>
    <w:multiLevelType w:val="hybridMultilevel"/>
    <w:tmpl w:val="E1B6BEF2"/>
    <w:lvl w:ilvl="0" w:tplc="126C2F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19315">
    <w:abstractNumId w:val="2"/>
  </w:num>
  <w:num w:numId="2" w16cid:durableId="1062829982">
    <w:abstractNumId w:val="0"/>
  </w:num>
  <w:num w:numId="3" w16cid:durableId="71510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41"/>
    <w:rsid w:val="00005490"/>
    <w:rsid w:val="000071C6"/>
    <w:rsid w:val="00016B3D"/>
    <w:rsid w:val="00042736"/>
    <w:rsid w:val="000648C2"/>
    <w:rsid w:val="000723A7"/>
    <w:rsid w:val="000B1DE8"/>
    <w:rsid w:val="000B3807"/>
    <w:rsid w:val="000E1319"/>
    <w:rsid w:val="000E240B"/>
    <w:rsid w:val="00121C52"/>
    <w:rsid w:val="0014362F"/>
    <w:rsid w:val="00162E62"/>
    <w:rsid w:val="00166515"/>
    <w:rsid w:val="001A3522"/>
    <w:rsid w:val="001C3DC6"/>
    <w:rsid w:val="001D7F48"/>
    <w:rsid w:val="001F7E29"/>
    <w:rsid w:val="00204888"/>
    <w:rsid w:val="00216D5D"/>
    <w:rsid w:val="0022203A"/>
    <w:rsid w:val="00232644"/>
    <w:rsid w:val="00240EEB"/>
    <w:rsid w:val="00257031"/>
    <w:rsid w:val="00282CC5"/>
    <w:rsid w:val="00291B20"/>
    <w:rsid w:val="003277B3"/>
    <w:rsid w:val="00356506"/>
    <w:rsid w:val="003738A0"/>
    <w:rsid w:val="00377473"/>
    <w:rsid w:val="003B1450"/>
    <w:rsid w:val="003B49E7"/>
    <w:rsid w:val="003B69C5"/>
    <w:rsid w:val="003C0FAE"/>
    <w:rsid w:val="003C4841"/>
    <w:rsid w:val="003E5420"/>
    <w:rsid w:val="00401E8F"/>
    <w:rsid w:val="004067DD"/>
    <w:rsid w:val="00431F94"/>
    <w:rsid w:val="00467135"/>
    <w:rsid w:val="00476E8A"/>
    <w:rsid w:val="0047784D"/>
    <w:rsid w:val="00481A78"/>
    <w:rsid w:val="0049530C"/>
    <w:rsid w:val="004A7AE3"/>
    <w:rsid w:val="004B0194"/>
    <w:rsid w:val="004B04D3"/>
    <w:rsid w:val="004B2091"/>
    <w:rsid w:val="004B2B01"/>
    <w:rsid w:val="004B41F5"/>
    <w:rsid w:val="004D383B"/>
    <w:rsid w:val="0050422B"/>
    <w:rsid w:val="00535C4B"/>
    <w:rsid w:val="005512DD"/>
    <w:rsid w:val="00574321"/>
    <w:rsid w:val="00584BB2"/>
    <w:rsid w:val="005C50C9"/>
    <w:rsid w:val="005D42F1"/>
    <w:rsid w:val="005E14D1"/>
    <w:rsid w:val="005E54A3"/>
    <w:rsid w:val="006004A9"/>
    <w:rsid w:val="0063140D"/>
    <w:rsid w:val="00645826"/>
    <w:rsid w:val="0067508B"/>
    <w:rsid w:val="00697A26"/>
    <w:rsid w:val="006B5CF3"/>
    <w:rsid w:val="006C2E07"/>
    <w:rsid w:val="006F2C9A"/>
    <w:rsid w:val="00725F80"/>
    <w:rsid w:val="00733C6A"/>
    <w:rsid w:val="0073673F"/>
    <w:rsid w:val="007D44D3"/>
    <w:rsid w:val="00816A07"/>
    <w:rsid w:val="0082613A"/>
    <w:rsid w:val="00830E71"/>
    <w:rsid w:val="00854F5B"/>
    <w:rsid w:val="00856E5C"/>
    <w:rsid w:val="00862AE2"/>
    <w:rsid w:val="0088012C"/>
    <w:rsid w:val="0088661F"/>
    <w:rsid w:val="008A215A"/>
    <w:rsid w:val="008E3A70"/>
    <w:rsid w:val="008E68D9"/>
    <w:rsid w:val="008F69F9"/>
    <w:rsid w:val="00910583"/>
    <w:rsid w:val="00921036"/>
    <w:rsid w:val="0092236C"/>
    <w:rsid w:val="0095664E"/>
    <w:rsid w:val="00966DB5"/>
    <w:rsid w:val="00977B2F"/>
    <w:rsid w:val="00992B9C"/>
    <w:rsid w:val="00996CCB"/>
    <w:rsid w:val="009A3A45"/>
    <w:rsid w:val="009B1CF2"/>
    <w:rsid w:val="009B7296"/>
    <w:rsid w:val="009D4CFC"/>
    <w:rsid w:val="009D7C7C"/>
    <w:rsid w:val="00A01DCD"/>
    <w:rsid w:val="00A060A4"/>
    <w:rsid w:val="00A17B96"/>
    <w:rsid w:val="00A207F3"/>
    <w:rsid w:val="00A3567C"/>
    <w:rsid w:val="00A4156C"/>
    <w:rsid w:val="00A62920"/>
    <w:rsid w:val="00A67CC5"/>
    <w:rsid w:val="00A67FC2"/>
    <w:rsid w:val="00A7665A"/>
    <w:rsid w:val="00A81242"/>
    <w:rsid w:val="00AB580A"/>
    <w:rsid w:val="00AF3F56"/>
    <w:rsid w:val="00B02EFC"/>
    <w:rsid w:val="00B16997"/>
    <w:rsid w:val="00B478B6"/>
    <w:rsid w:val="00B55FD3"/>
    <w:rsid w:val="00B65293"/>
    <w:rsid w:val="00BC69DF"/>
    <w:rsid w:val="00BD6853"/>
    <w:rsid w:val="00BF0646"/>
    <w:rsid w:val="00C062BA"/>
    <w:rsid w:val="00C13E00"/>
    <w:rsid w:val="00C34DE5"/>
    <w:rsid w:val="00C60497"/>
    <w:rsid w:val="00CC583D"/>
    <w:rsid w:val="00CE3148"/>
    <w:rsid w:val="00D122BD"/>
    <w:rsid w:val="00D3526D"/>
    <w:rsid w:val="00D36755"/>
    <w:rsid w:val="00D60AFC"/>
    <w:rsid w:val="00D62CB1"/>
    <w:rsid w:val="00D638CE"/>
    <w:rsid w:val="00D6569B"/>
    <w:rsid w:val="00D67756"/>
    <w:rsid w:val="00D7508E"/>
    <w:rsid w:val="00D80696"/>
    <w:rsid w:val="00D82156"/>
    <w:rsid w:val="00DA05E9"/>
    <w:rsid w:val="00DA27D0"/>
    <w:rsid w:val="00DC7C72"/>
    <w:rsid w:val="00DD0F94"/>
    <w:rsid w:val="00DE4784"/>
    <w:rsid w:val="00DF2382"/>
    <w:rsid w:val="00E005DD"/>
    <w:rsid w:val="00E118F2"/>
    <w:rsid w:val="00E13545"/>
    <w:rsid w:val="00E255CE"/>
    <w:rsid w:val="00E325B9"/>
    <w:rsid w:val="00E43424"/>
    <w:rsid w:val="00E44E31"/>
    <w:rsid w:val="00E76109"/>
    <w:rsid w:val="00E82ED7"/>
    <w:rsid w:val="00ED1B47"/>
    <w:rsid w:val="00ED3EAD"/>
    <w:rsid w:val="00EE17DC"/>
    <w:rsid w:val="00EE6152"/>
    <w:rsid w:val="00F0082B"/>
    <w:rsid w:val="00F22243"/>
    <w:rsid w:val="00F27CEA"/>
    <w:rsid w:val="00F336B7"/>
    <w:rsid w:val="00F33E23"/>
    <w:rsid w:val="00F3618D"/>
    <w:rsid w:val="00F54034"/>
    <w:rsid w:val="00F67C37"/>
    <w:rsid w:val="00F67DCF"/>
    <w:rsid w:val="00F767B8"/>
    <w:rsid w:val="00F83B6D"/>
    <w:rsid w:val="00F8725F"/>
    <w:rsid w:val="00FB1DF8"/>
    <w:rsid w:val="00FB2CA9"/>
    <w:rsid w:val="00FB64F4"/>
    <w:rsid w:val="00FC6215"/>
    <w:rsid w:val="00FD38B8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CA65"/>
  <w15:chartTrackingRefBased/>
  <w15:docId w15:val="{378CE9F8-C896-44CF-A3DA-4ABD833C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7A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D67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174</cp:revision>
  <dcterms:created xsi:type="dcterms:W3CDTF">2022-06-18T13:54:00Z</dcterms:created>
  <dcterms:modified xsi:type="dcterms:W3CDTF">2022-06-19T19:30:00Z</dcterms:modified>
</cp:coreProperties>
</file>