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5510" w14:textId="0CA8C42B" w:rsidR="00734A32" w:rsidRPr="00495DB3" w:rsidRDefault="00495DB3">
      <w:pPr>
        <w:rPr>
          <w:b/>
          <w:bCs/>
          <w:sz w:val="28"/>
          <w:szCs w:val="28"/>
        </w:rPr>
      </w:pPr>
      <w:r w:rsidRPr="00495DB3">
        <w:rPr>
          <w:b/>
          <w:bCs/>
          <w:sz w:val="28"/>
          <w:szCs w:val="28"/>
        </w:rPr>
        <w:t>TEORIA DELLA MISURA</w:t>
      </w:r>
    </w:p>
    <w:p w14:paraId="1A833865" w14:textId="77777777" w:rsidR="00D36DB0" w:rsidRDefault="001B082A">
      <w:r>
        <w:rPr>
          <w:b/>
          <w:bCs/>
        </w:rPr>
        <w:t>Perché è importante misurare?</w:t>
      </w:r>
      <w:r>
        <w:rPr>
          <w:b/>
          <w:bCs/>
        </w:rPr>
        <w:br/>
      </w:r>
      <w:r>
        <w:t>Tra le varie cose, misurare serve a:</w:t>
      </w:r>
      <w:r>
        <w:br/>
        <w:t xml:space="preserve">1) </w:t>
      </w:r>
      <w:r w:rsidRPr="00C351D9">
        <w:rPr>
          <w:b/>
          <w:bCs/>
        </w:rPr>
        <w:t>Caratterizzare</w:t>
      </w:r>
      <w:r>
        <w:t>, ovvero estrarre informazioni ben precise su qualche caratteristica</w:t>
      </w:r>
      <w:r w:rsidR="008E3CA7">
        <w:t xml:space="preserve"> di un prodotto.</w:t>
      </w:r>
      <w:r w:rsidR="008E3CA7">
        <w:br/>
        <w:t xml:space="preserve">2) </w:t>
      </w:r>
      <w:r w:rsidR="008E3CA7" w:rsidRPr="00C351D9">
        <w:rPr>
          <w:b/>
          <w:bCs/>
        </w:rPr>
        <w:t>Comparare</w:t>
      </w:r>
      <w:r w:rsidR="008E3CA7">
        <w:t>, ovvero capire se lo sviluppo di un prodotto A sta andando meglio, peggio o come lo sviluppo di un altro prodotto B con caratteristiche analoghe.</w:t>
      </w:r>
      <w:r w:rsidR="008E3CA7">
        <w:br/>
        <w:t xml:space="preserve">3) </w:t>
      </w:r>
      <w:r w:rsidR="008E3CA7" w:rsidRPr="00C351D9">
        <w:rPr>
          <w:b/>
          <w:bCs/>
        </w:rPr>
        <w:t>Controllare</w:t>
      </w:r>
      <w:r w:rsidR="008E3CA7">
        <w:t xml:space="preserve"> o </w:t>
      </w:r>
      <w:r w:rsidR="008E3CA7" w:rsidRPr="00C351D9">
        <w:rPr>
          <w:b/>
          <w:bCs/>
        </w:rPr>
        <w:t>monitorare</w:t>
      </w:r>
      <w:r w:rsidR="008E3CA7">
        <w:t xml:space="preserve"> un prodotto.</w:t>
      </w:r>
      <w:r w:rsidR="008E3CA7">
        <w:br/>
        <w:t xml:space="preserve">4) </w:t>
      </w:r>
      <w:r w:rsidR="008E3CA7" w:rsidRPr="00C351D9">
        <w:rPr>
          <w:b/>
          <w:bCs/>
        </w:rPr>
        <w:t>Valutare</w:t>
      </w:r>
      <w:r w:rsidR="008E3CA7">
        <w:t xml:space="preserve">, ovvero dare valore a </w:t>
      </w:r>
      <w:r w:rsidR="00C351D9">
        <w:t>qualche</w:t>
      </w:r>
      <w:r w:rsidR="008E3CA7">
        <w:t xml:space="preserve"> caratteristica di un prodotto, come la sua difettosità sulla base dei dati raccolti durante il suo sviluppo.</w:t>
      </w:r>
      <w:r w:rsidR="008E3CA7">
        <w:br/>
        <w:t xml:space="preserve">5) </w:t>
      </w:r>
      <w:r w:rsidR="008E3CA7" w:rsidRPr="00C351D9">
        <w:rPr>
          <w:b/>
          <w:bCs/>
        </w:rPr>
        <w:t>Predire</w:t>
      </w:r>
      <w:r w:rsidR="008E3CA7">
        <w:t>, ovvero</w:t>
      </w:r>
      <w:r w:rsidR="00C351D9">
        <w:t xml:space="preserve"> anticipare il valore che assumerà qualche caratteristica di un prodotto, come ad esempio il suo tempo di consegna.</w:t>
      </w:r>
    </w:p>
    <w:p w14:paraId="03FDE9DA" w14:textId="4BE154F0" w:rsidR="00F254C7" w:rsidRDefault="00D36DB0">
      <w:r>
        <w:t>La misurazione, in breve, ci permette di ottenere dei risultati rilevanti</w:t>
      </w:r>
      <w:r w:rsidR="00F254C7">
        <w:t xml:space="preserve"> per il mondo reale</w:t>
      </w:r>
      <w:r>
        <w:t xml:space="preserve"> (come una considerazione, una legge fisica o il risultato di un esperiemento)</w:t>
      </w:r>
      <w:r w:rsidR="00F254C7">
        <w:t xml:space="preserve"> a partire dall’osservazione degli oggetti del mondo reale:</w:t>
      </w:r>
    </w:p>
    <w:p w14:paraId="587B7FC1" w14:textId="144F2CCB" w:rsidR="00425EA7" w:rsidRDefault="00F254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3CB43F" wp14:editId="0C22F62C">
            <wp:extent cx="6120130" cy="2781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1D9">
        <w:rPr>
          <w:b/>
          <w:bCs/>
        </w:rPr>
        <w:br/>
      </w:r>
      <w:r w:rsidR="00425EA7">
        <w:rPr>
          <w:b/>
          <w:bCs/>
        </w:rPr>
        <w:br/>
      </w:r>
      <w:r w:rsidR="00425EA7">
        <w:t>Notiamo che non è possibile avere dei risultati rilevanti per il mondo reale senza ricorrere a un processo di astrazione caratterizzato da operazioni numeriche e risultati numerici e, quindi, senza misurazione</w:t>
      </w:r>
      <w:r w:rsidR="006C1C89">
        <w:t>.</w:t>
      </w:r>
      <w:r w:rsidR="006C1C89">
        <w:br/>
        <w:t>Questo “vincolo” è noto come barriera della conoscenza.</w:t>
      </w:r>
      <w:r w:rsidR="00425EA7">
        <w:rPr>
          <w:b/>
          <w:bCs/>
        </w:rPr>
        <w:br/>
      </w:r>
    </w:p>
    <w:p w14:paraId="4E9BA9B2" w14:textId="4362340D" w:rsidR="00C32B57" w:rsidRPr="00277740" w:rsidRDefault="00495DB3">
      <w:r w:rsidRPr="00495DB3">
        <w:rPr>
          <w:b/>
          <w:bCs/>
        </w:rPr>
        <w:t>Definizione</w:t>
      </w:r>
      <w:r w:rsidRPr="00495DB3">
        <w:rPr>
          <w:b/>
          <w:bCs/>
        </w:rPr>
        <w:br/>
      </w:r>
      <w:r>
        <w:t xml:space="preserve">Un </w:t>
      </w:r>
      <w:r w:rsidRPr="00495DB3">
        <w:rPr>
          <w:b/>
          <w:bCs/>
        </w:rPr>
        <w:t>sistema relazionale</w:t>
      </w:r>
      <w:r>
        <w:t xml:space="preserve"> consiste in una tupla definita da:</w:t>
      </w:r>
      <w:r>
        <w:br/>
        <w:t>- Un insieme di oggetti</w:t>
      </w:r>
      <w:r w:rsidR="00975EE7">
        <w:t>.</w:t>
      </w:r>
      <w:r>
        <w:br/>
        <w:t>- Relazioni tra tali oggetti (“è uguale a”, “è più di”, “è meno di”)</w:t>
      </w:r>
      <w:r w:rsidR="00975EE7">
        <w:t>.</w:t>
      </w:r>
      <w:r>
        <w:br/>
        <w:t>- Operazioni binarie tra tali oggetti (somma, sottrazione).</w:t>
      </w:r>
      <w:r w:rsidR="00C32B57">
        <w:br/>
      </w:r>
    </w:p>
    <w:p w14:paraId="61C4B885" w14:textId="3E93BEA7" w:rsidR="00975EE7" w:rsidRDefault="00B217FE">
      <w:r w:rsidRPr="00B217FE">
        <w:rPr>
          <w:b/>
          <w:bCs/>
        </w:rPr>
        <w:t>Definizione</w:t>
      </w:r>
      <w:r w:rsidRPr="00B217FE">
        <w:rPr>
          <w:b/>
          <w:bCs/>
        </w:rPr>
        <w:br/>
      </w:r>
      <w:r w:rsidR="00975EE7">
        <w:t xml:space="preserve">Sia </w:t>
      </w:r>
      <w:r w:rsidR="00975EE7" w:rsidRPr="00975EE7">
        <w:rPr>
          <w:b/>
          <w:bCs/>
        </w:rPr>
        <w:t>A</w:t>
      </w:r>
      <w:r w:rsidR="00975EE7">
        <w:t xml:space="preserve"> un sistema relazionale di oggetti fisici, sia </w:t>
      </w:r>
      <w:r w:rsidR="00975EE7" w:rsidRPr="00975EE7">
        <w:rPr>
          <w:b/>
          <w:bCs/>
        </w:rPr>
        <w:t>B</w:t>
      </w:r>
      <w:r w:rsidR="00975EE7">
        <w:t xml:space="preserve"> un sistema relazionale di oggetti formali e sia </w:t>
      </w:r>
      <w:r w:rsidR="00975EE7" w:rsidRPr="00975EE7">
        <w:rPr>
          <w:b/>
          <w:bCs/>
        </w:rPr>
        <w:t>m</w:t>
      </w:r>
      <w:r w:rsidR="00975EE7">
        <w:t xml:space="preserve"> una misura da A a B</w:t>
      </w:r>
      <w:r w:rsidR="00C32B57">
        <w:t xml:space="preserve"> (vedere più avanti per la definizione di misura)</w:t>
      </w:r>
      <w:r w:rsidR="00975EE7">
        <w:t xml:space="preserve">. Allora la tupla (A, B, m) è una </w:t>
      </w:r>
      <w:r w:rsidR="00975EE7" w:rsidRPr="00975EE7">
        <w:rPr>
          <w:b/>
          <w:bCs/>
        </w:rPr>
        <w:t>scala</w:t>
      </w:r>
      <w:r w:rsidR="00975EE7">
        <w:t xml:space="preserve"> se:</w:t>
      </w:r>
      <w:r w:rsidR="00975EE7">
        <w:br/>
        <w:t>- Relazioni in A equivalgono a relazioni in B.</w:t>
      </w:r>
      <w:r w:rsidR="00975EE7">
        <w:br/>
        <w:t>- Ogni operazione in A ha una corrispondente operazione in B.</w:t>
      </w:r>
      <w:r w:rsidR="00DC177D">
        <w:br/>
      </w:r>
    </w:p>
    <w:p w14:paraId="2F7ECFBF" w14:textId="6DD60D00" w:rsidR="00914A5A" w:rsidRPr="00975EE7" w:rsidRDefault="00975EE7">
      <w:r>
        <w:lastRenderedPageBreak/>
        <w:t xml:space="preserve"> </w:t>
      </w:r>
      <w:r w:rsidRPr="00975EE7">
        <w:rPr>
          <w:b/>
          <w:bCs/>
        </w:rPr>
        <w:t>Tipi di scale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82"/>
        <w:gridCol w:w="1829"/>
        <w:gridCol w:w="1695"/>
        <w:gridCol w:w="1213"/>
        <w:gridCol w:w="3209"/>
      </w:tblGrid>
      <w:tr w:rsidR="00914A5A" w:rsidRPr="00914A5A" w14:paraId="1859031E" w14:textId="77777777" w:rsidTr="005B1A72">
        <w:tc>
          <w:tcPr>
            <w:tcW w:w="1696" w:type="dxa"/>
            <w:shd w:val="clear" w:color="auto" w:fill="F4B083" w:themeFill="accent2" w:themeFillTint="99"/>
          </w:tcPr>
          <w:p w14:paraId="7446A3E2" w14:textId="2AB2D3DA" w:rsidR="00914A5A" w:rsidRPr="00914A5A" w:rsidRDefault="00914A5A" w:rsidP="00914A5A">
            <w:pPr>
              <w:jc w:val="center"/>
              <w:rPr>
                <w:b/>
                <w:bCs/>
              </w:rPr>
            </w:pPr>
            <w:r w:rsidRPr="00914A5A">
              <w:rPr>
                <w:b/>
                <w:bCs/>
              </w:rPr>
              <w:t>Tipo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550A093D" w14:textId="5DB834BD" w:rsidR="00914A5A" w:rsidRPr="00914A5A" w:rsidRDefault="00914A5A" w:rsidP="00914A5A">
            <w:pPr>
              <w:jc w:val="center"/>
              <w:rPr>
                <w:b/>
                <w:bCs/>
              </w:rPr>
            </w:pPr>
            <w:r w:rsidRPr="00914A5A">
              <w:rPr>
                <w:b/>
                <w:bCs/>
              </w:rPr>
              <w:t>Uso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7D1157FA" w14:textId="4CC5AF3A" w:rsidR="00914A5A" w:rsidRPr="00914A5A" w:rsidRDefault="00914A5A" w:rsidP="00914A5A">
            <w:pPr>
              <w:jc w:val="center"/>
              <w:rPr>
                <w:b/>
                <w:bCs/>
              </w:rPr>
            </w:pPr>
            <w:r w:rsidRPr="00914A5A">
              <w:rPr>
                <w:b/>
                <w:bCs/>
              </w:rPr>
              <w:t>Relazioni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1D690477" w14:textId="352C3642" w:rsidR="00914A5A" w:rsidRPr="00914A5A" w:rsidRDefault="00914A5A" w:rsidP="00914A5A">
            <w:pPr>
              <w:jc w:val="center"/>
              <w:rPr>
                <w:b/>
                <w:bCs/>
              </w:rPr>
            </w:pPr>
            <w:r w:rsidRPr="00914A5A">
              <w:rPr>
                <w:b/>
                <w:bCs/>
              </w:rPr>
              <w:t>Operazioni</w:t>
            </w:r>
          </w:p>
        </w:tc>
        <w:tc>
          <w:tcPr>
            <w:tcW w:w="3254" w:type="dxa"/>
            <w:shd w:val="clear" w:color="auto" w:fill="F4B083" w:themeFill="accent2" w:themeFillTint="99"/>
          </w:tcPr>
          <w:p w14:paraId="60DCF968" w14:textId="0E45EA84" w:rsidR="00914A5A" w:rsidRPr="00914A5A" w:rsidRDefault="00914A5A" w:rsidP="00914A5A">
            <w:pPr>
              <w:jc w:val="center"/>
              <w:rPr>
                <w:b/>
                <w:bCs/>
              </w:rPr>
            </w:pPr>
            <w:r w:rsidRPr="00914A5A">
              <w:rPr>
                <w:b/>
                <w:bCs/>
              </w:rPr>
              <w:t>Esempio</w:t>
            </w:r>
          </w:p>
        </w:tc>
      </w:tr>
      <w:tr w:rsidR="00914A5A" w14:paraId="6EDB0AA2" w14:textId="77777777" w:rsidTr="005B1A72">
        <w:tc>
          <w:tcPr>
            <w:tcW w:w="1696" w:type="dxa"/>
          </w:tcPr>
          <w:p w14:paraId="29D964CD" w14:textId="00F74281" w:rsidR="00914A5A" w:rsidRDefault="00914A5A">
            <w:r>
              <w:t>Scala nominale</w:t>
            </w:r>
          </w:p>
        </w:tc>
        <w:tc>
          <w:tcPr>
            <w:tcW w:w="1843" w:type="dxa"/>
          </w:tcPr>
          <w:p w14:paraId="13FCCA37" w14:textId="60A6406B" w:rsidR="00914A5A" w:rsidRDefault="004E3ED5">
            <w:r>
              <w:t>Dare nomi alle cose.</w:t>
            </w:r>
          </w:p>
        </w:tc>
        <w:tc>
          <w:tcPr>
            <w:tcW w:w="1701" w:type="dxa"/>
          </w:tcPr>
          <w:p w14:paraId="63E66D3B" w14:textId="2B7BED04" w:rsidR="00914A5A" w:rsidRDefault="004E3ED5">
            <w:r>
              <w:t>Uguaglianza</w:t>
            </w:r>
          </w:p>
        </w:tc>
        <w:tc>
          <w:tcPr>
            <w:tcW w:w="1134" w:type="dxa"/>
          </w:tcPr>
          <w:p w14:paraId="19F954B1" w14:textId="2AD47DE1" w:rsidR="00914A5A" w:rsidRDefault="004E3ED5" w:rsidP="004E3ED5">
            <w:pPr>
              <w:jc w:val="center"/>
            </w:pPr>
            <w:r>
              <w:t>-</w:t>
            </w:r>
          </w:p>
        </w:tc>
        <w:tc>
          <w:tcPr>
            <w:tcW w:w="3254" w:type="dxa"/>
          </w:tcPr>
          <w:p w14:paraId="0D32BF21" w14:textId="4F93B566" w:rsidR="00914A5A" w:rsidRDefault="004E3ED5">
            <w:r>
              <w:t>Numeri sulle t-shirt dei giocatori d</w:t>
            </w:r>
            <w:r w:rsidR="006D3C89">
              <w:t>i</w:t>
            </w:r>
            <w:r>
              <w:t xml:space="preserve"> calcio (dove non c’è un numero che ha più valore di un altro).</w:t>
            </w:r>
          </w:p>
        </w:tc>
      </w:tr>
      <w:tr w:rsidR="00914A5A" w14:paraId="27E527B7" w14:textId="77777777" w:rsidTr="005B1A72">
        <w:tc>
          <w:tcPr>
            <w:tcW w:w="1696" w:type="dxa"/>
          </w:tcPr>
          <w:p w14:paraId="6433EB26" w14:textId="39038821" w:rsidR="00914A5A" w:rsidRDefault="00914A5A">
            <w:r>
              <w:t>Scala ordinale</w:t>
            </w:r>
          </w:p>
        </w:tc>
        <w:tc>
          <w:tcPr>
            <w:tcW w:w="1843" w:type="dxa"/>
          </w:tcPr>
          <w:p w14:paraId="36D10C36" w14:textId="313445A5" w:rsidR="00914A5A" w:rsidRDefault="004E3ED5">
            <w:r>
              <w:t>Dare nomi in un ordine specifico.</w:t>
            </w:r>
          </w:p>
        </w:tc>
        <w:tc>
          <w:tcPr>
            <w:tcW w:w="1701" w:type="dxa"/>
          </w:tcPr>
          <w:p w14:paraId="11290926" w14:textId="4397C4AD" w:rsidR="004E3ED5" w:rsidRDefault="004E3ED5">
            <w:r>
              <w:t>- Più di</w:t>
            </w:r>
          </w:p>
          <w:p w14:paraId="0CCE53AE" w14:textId="12DA2AFC" w:rsidR="00914A5A" w:rsidRDefault="004E3ED5">
            <w:r>
              <w:t>- Meno di</w:t>
            </w:r>
          </w:p>
        </w:tc>
        <w:tc>
          <w:tcPr>
            <w:tcW w:w="1134" w:type="dxa"/>
          </w:tcPr>
          <w:p w14:paraId="626CE871" w14:textId="3CABAA4F" w:rsidR="00914A5A" w:rsidRDefault="004E3ED5" w:rsidP="004E3ED5">
            <w:pPr>
              <w:jc w:val="center"/>
            </w:pPr>
            <w:r>
              <w:t>-</w:t>
            </w:r>
          </w:p>
        </w:tc>
        <w:tc>
          <w:tcPr>
            <w:tcW w:w="3254" w:type="dxa"/>
          </w:tcPr>
          <w:p w14:paraId="071E13AA" w14:textId="35A97A75" w:rsidR="00914A5A" w:rsidRDefault="004E3ED5">
            <w:r>
              <w:t xml:space="preserve">Podio olimpionico (dove la medaglia d’oro vale di più di quella d’argento ma </w:t>
            </w:r>
            <w:r w:rsidR="000056BC">
              <w:t>è impossibile assegnare un valore numerico alle varie medaglie).</w:t>
            </w:r>
          </w:p>
        </w:tc>
      </w:tr>
      <w:tr w:rsidR="00914A5A" w14:paraId="05E4CA23" w14:textId="77777777" w:rsidTr="005B1A72">
        <w:tc>
          <w:tcPr>
            <w:tcW w:w="1696" w:type="dxa"/>
          </w:tcPr>
          <w:p w14:paraId="1D3171D9" w14:textId="04C58E4C" w:rsidR="00914A5A" w:rsidRDefault="00914A5A">
            <w:r>
              <w:t>Scala intervallo</w:t>
            </w:r>
          </w:p>
        </w:tc>
        <w:tc>
          <w:tcPr>
            <w:tcW w:w="1843" w:type="dxa"/>
          </w:tcPr>
          <w:p w14:paraId="0CE9478F" w14:textId="0FC967D3" w:rsidR="00914A5A" w:rsidRDefault="000056BC">
            <w:r>
              <w:t>Assegnare numeri al fine di rendere significativo un intervallo.</w:t>
            </w:r>
          </w:p>
        </w:tc>
        <w:tc>
          <w:tcPr>
            <w:tcW w:w="1701" w:type="dxa"/>
          </w:tcPr>
          <w:p w14:paraId="6C6AF57D" w14:textId="65D904D8" w:rsidR="00914A5A" w:rsidRDefault="000056BC">
            <w:r>
              <w:t>Somiglianza, ottenibile tramite relazioni matematiche.</w:t>
            </w:r>
          </w:p>
        </w:tc>
        <w:tc>
          <w:tcPr>
            <w:tcW w:w="1134" w:type="dxa"/>
          </w:tcPr>
          <w:p w14:paraId="25D82B09" w14:textId="77777777" w:rsidR="00914A5A" w:rsidRDefault="000056BC">
            <w:r>
              <w:t>- Mediana</w:t>
            </w:r>
          </w:p>
          <w:p w14:paraId="5E58B39F" w14:textId="5C454D9D" w:rsidR="000056BC" w:rsidRDefault="000056BC">
            <w:r>
              <w:t>- Media</w:t>
            </w:r>
          </w:p>
        </w:tc>
        <w:tc>
          <w:tcPr>
            <w:tcW w:w="3254" w:type="dxa"/>
          </w:tcPr>
          <w:p w14:paraId="0BEFB44E" w14:textId="2A55BDB1" w:rsidR="00914A5A" w:rsidRDefault="000056BC">
            <w:r>
              <w:t>Temperatura su scala Celsius, dove:</w:t>
            </w:r>
            <w:r>
              <w:br/>
              <w:t>Celsius*1,8 + 32 = Fahrenheit</w:t>
            </w:r>
          </w:p>
        </w:tc>
      </w:tr>
      <w:tr w:rsidR="00914A5A" w14:paraId="1816D059" w14:textId="77777777" w:rsidTr="005B1A72">
        <w:tc>
          <w:tcPr>
            <w:tcW w:w="1696" w:type="dxa"/>
          </w:tcPr>
          <w:p w14:paraId="352B643A" w14:textId="0AE65991" w:rsidR="00914A5A" w:rsidRDefault="00914A5A">
            <w:r>
              <w:t>Scala rapporto</w:t>
            </w:r>
          </w:p>
        </w:tc>
        <w:tc>
          <w:tcPr>
            <w:tcW w:w="1843" w:type="dxa"/>
          </w:tcPr>
          <w:p w14:paraId="5CB0D1CC" w14:textId="52467C74" w:rsidR="00914A5A" w:rsidRDefault="000056BC">
            <w:r>
              <w:t>Effettuare un rapporto tra due misure.</w:t>
            </w:r>
          </w:p>
        </w:tc>
        <w:tc>
          <w:tcPr>
            <w:tcW w:w="1701" w:type="dxa"/>
          </w:tcPr>
          <w:p w14:paraId="066D58F4" w14:textId="080FFBB6" w:rsidR="00914A5A" w:rsidRDefault="000056BC">
            <w:r>
              <w:t>Somiglianza, ottenibile tramite relazioni matematiche.</w:t>
            </w:r>
          </w:p>
        </w:tc>
        <w:tc>
          <w:tcPr>
            <w:tcW w:w="1134" w:type="dxa"/>
          </w:tcPr>
          <w:p w14:paraId="2E91ABDC" w14:textId="77777777" w:rsidR="000056BC" w:rsidRDefault="000056BC" w:rsidP="000056BC">
            <w:r>
              <w:t>- Mediana</w:t>
            </w:r>
          </w:p>
          <w:p w14:paraId="2BFA33F3" w14:textId="257AF08A" w:rsidR="00914A5A" w:rsidRDefault="000056BC" w:rsidP="000056BC">
            <w:r>
              <w:t>- Media</w:t>
            </w:r>
          </w:p>
        </w:tc>
        <w:tc>
          <w:tcPr>
            <w:tcW w:w="3254" w:type="dxa"/>
          </w:tcPr>
          <w:p w14:paraId="38A7CAAB" w14:textId="0F9F4A4D" w:rsidR="00914A5A" w:rsidRDefault="00E0471B">
            <w:r>
              <w:t>Lunghezza in metri di un oggetto, che è ottenuta dal rapporto della dimensione dell’oggetto</w:t>
            </w:r>
            <w:r w:rsidR="005B1A72">
              <w:t xml:space="preserve"> stesso</w:t>
            </w:r>
            <w:r>
              <w:t xml:space="preserve"> e la dimensione </w:t>
            </w:r>
            <w:r w:rsidR="005B1A72">
              <w:t xml:space="preserve">(di 1 metro) </w:t>
            </w:r>
            <w:r>
              <w:t>della barra di platino-iridio</w:t>
            </w:r>
            <w:r w:rsidR="005B1A72">
              <w:t xml:space="preserve"> conservata a Sèvres.</w:t>
            </w:r>
          </w:p>
        </w:tc>
      </w:tr>
      <w:tr w:rsidR="00914A5A" w14:paraId="62040B54" w14:textId="77777777" w:rsidTr="005B1A72">
        <w:tc>
          <w:tcPr>
            <w:tcW w:w="1696" w:type="dxa"/>
          </w:tcPr>
          <w:p w14:paraId="3E43B216" w14:textId="276DAF55" w:rsidR="00914A5A" w:rsidRDefault="00914A5A">
            <w:r>
              <w:t>Scala assoluta</w:t>
            </w:r>
          </w:p>
        </w:tc>
        <w:tc>
          <w:tcPr>
            <w:tcW w:w="1843" w:type="dxa"/>
          </w:tcPr>
          <w:p w14:paraId="4613C1F8" w14:textId="5B674E23" w:rsidR="00914A5A" w:rsidRDefault="005B1A72">
            <w:r>
              <w:t>Trattasi di una scala utilizzata quando si ha un unico modo per misurare oggetti.</w:t>
            </w:r>
          </w:p>
        </w:tc>
        <w:tc>
          <w:tcPr>
            <w:tcW w:w="1701" w:type="dxa"/>
          </w:tcPr>
          <w:p w14:paraId="7F0527F9" w14:textId="2D2C6D89" w:rsidR="00914A5A" w:rsidRDefault="005B1A72">
            <w:r>
              <w:t>Somiglianza, ottenibile dalla funzione identità.</w:t>
            </w:r>
          </w:p>
        </w:tc>
        <w:tc>
          <w:tcPr>
            <w:tcW w:w="1134" w:type="dxa"/>
          </w:tcPr>
          <w:p w14:paraId="65DBA7EA" w14:textId="77777777" w:rsidR="005B1A72" w:rsidRDefault="005B1A72">
            <w:r>
              <w:t>- Mediana</w:t>
            </w:r>
          </w:p>
          <w:p w14:paraId="03DB7658" w14:textId="686AD78A" w:rsidR="005B1A72" w:rsidRDefault="005B1A72">
            <w:r>
              <w:t>- Media</w:t>
            </w:r>
          </w:p>
        </w:tc>
        <w:tc>
          <w:tcPr>
            <w:tcW w:w="3254" w:type="dxa"/>
          </w:tcPr>
          <w:p w14:paraId="1557BD40" w14:textId="42CA9AC5" w:rsidR="00914A5A" w:rsidRDefault="005B1A72">
            <w:r>
              <w:t>Conteggio (non esistono più modi per contare il numero di oggetti).</w:t>
            </w:r>
          </w:p>
        </w:tc>
      </w:tr>
    </w:tbl>
    <w:p w14:paraId="7692758A" w14:textId="363C2121" w:rsidR="007757B8" w:rsidRDefault="005B1A72">
      <w:r>
        <w:br/>
        <w:t xml:space="preserve">Tali scale sono caratterizzate da </w:t>
      </w:r>
      <w:r w:rsidR="007757B8">
        <w:t>una relazione di inclusione tra loro:</w:t>
      </w:r>
    </w:p>
    <w:p w14:paraId="3BCFD1D2" w14:textId="679A88B3" w:rsidR="007757B8" w:rsidRDefault="007757B8">
      <w:r>
        <w:rPr>
          <w:noProof/>
        </w:rPr>
        <w:drawing>
          <wp:inline distT="0" distB="0" distL="0" distR="0" wp14:anchorId="58A36012" wp14:editId="08595EE7">
            <wp:extent cx="4752975" cy="40005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8" cy="40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41B2" w14:textId="77777777" w:rsidR="00C32B57" w:rsidRPr="00277740" w:rsidRDefault="00C32B57" w:rsidP="00C32B57">
      <w:r w:rsidRPr="00277740">
        <w:rPr>
          <w:b/>
          <w:bCs/>
        </w:rPr>
        <w:lastRenderedPageBreak/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C32B57" w14:paraId="2B7EE444" w14:textId="77777777" w:rsidTr="00AB7ED6">
        <w:tc>
          <w:tcPr>
            <w:tcW w:w="1838" w:type="dxa"/>
            <w:shd w:val="clear" w:color="auto" w:fill="A8D08D" w:themeFill="accent6" w:themeFillTint="99"/>
          </w:tcPr>
          <w:p w14:paraId="77AD3ABA" w14:textId="77777777" w:rsidR="00C32B57" w:rsidRPr="00277740" w:rsidRDefault="00C32B57" w:rsidP="00AB7ED6">
            <w:pPr>
              <w:jc w:val="center"/>
              <w:rPr>
                <w:b/>
                <w:bCs/>
              </w:rPr>
            </w:pPr>
            <w:r w:rsidRPr="00277740">
              <w:rPr>
                <w:b/>
                <w:bCs/>
              </w:rPr>
              <w:t>Termine</w:t>
            </w:r>
          </w:p>
        </w:tc>
        <w:tc>
          <w:tcPr>
            <w:tcW w:w="7790" w:type="dxa"/>
            <w:shd w:val="clear" w:color="auto" w:fill="A8D08D" w:themeFill="accent6" w:themeFillTint="99"/>
          </w:tcPr>
          <w:p w14:paraId="4BB2F572" w14:textId="77777777" w:rsidR="00C32B57" w:rsidRPr="00277740" w:rsidRDefault="00C32B57" w:rsidP="00AB7ED6">
            <w:pPr>
              <w:jc w:val="center"/>
              <w:rPr>
                <w:b/>
                <w:bCs/>
              </w:rPr>
            </w:pPr>
            <w:r w:rsidRPr="00277740">
              <w:rPr>
                <w:b/>
                <w:bCs/>
              </w:rPr>
              <w:t>Significato</w:t>
            </w:r>
          </w:p>
        </w:tc>
      </w:tr>
      <w:tr w:rsidR="00C32B57" w14:paraId="5D3B946D" w14:textId="77777777" w:rsidTr="00AB7ED6">
        <w:tc>
          <w:tcPr>
            <w:tcW w:w="1838" w:type="dxa"/>
          </w:tcPr>
          <w:p w14:paraId="3E07D3FA" w14:textId="77777777" w:rsidR="00C32B57" w:rsidRDefault="00C32B57" w:rsidP="00AB7ED6">
            <w:r>
              <w:t>Entità</w:t>
            </w:r>
          </w:p>
        </w:tc>
        <w:tc>
          <w:tcPr>
            <w:tcW w:w="7790" w:type="dxa"/>
          </w:tcPr>
          <w:p w14:paraId="4D5BFE67" w14:textId="77777777" w:rsidR="00C32B57" w:rsidRDefault="00C32B57" w:rsidP="00AB7ED6">
            <w:r>
              <w:t>È un elemento dotato di realtà oggettiva. È indipendente e autocontenuta e ha dei caratteri propri. Inoltre è di un certo tipo, che può essere ad esempio un prodotto, un processo o una risorsa.</w:t>
            </w:r>
          </w:p>
        </w:tc>
      </w:tr>
      <w:tr w:rsidR="00C32B57" w14:paraId="3F3A35E1" w14:textId="77777777" w:rsidTr="00AB7ED6">
        <w:tc>
          <w:tcPr>
            <w:tcW w:w="1838" w:type="dxa"/>
          </w:tcPr>
          <w:p w14:paraId="51B9FFB9" w14:textId="77777777" w:rsidR="00C32B57" w:rsidRDefault="00C32B57" w:rsidP="00AB7ED6">
            <w:r>
              <w:t>Entità misurabile</w:t>
            </w:r>
          </w:p>
        </w:tc>
        <w:tc>
          <w:tcPr>
            <w:tcW w:w="7790" w:type="dxa"/>
          </w:tcPr>
          <w:p w14:paraId="67944C26" w14:textId="77777777" w:rsidR="00C32B57" w:rsidRDefault="00C32B57" w:rsidP="00AB7ED6">
            <w:r>
              <w:t>È una qualunque entità che può essere misurata. È caratterizzata da attributi misurabili.</w:t>
            </w:r>
          </w:p>
        </w:tc>
      </w:tr>
      <w:tr w:rsidR="00C32B57" w14:paraId="5CEB7059" w14:textId="77777777" w:rsidTr="00AB7ED6">
        <w:tc>
          <w:tcPr>
            <w:tcW w:w="1838" w:type="dxa"/>
          </w:tcPr>
          <w:p w14:paraId="3731DE0B" w14:textId="77777777" w:rsidR="00C32B57" w:rsidRDefault="00C32B57" w:rsidP="00AB7ED6">
            <w:r>
              <w:t>Tipo di entità misurabile</w:t>
            </w:r>
          </w:p>
        </w:tc>
        <w:tc>
          <w:tcPr>
            <w:tcW w:w="7790" w:type="dxa"/>
          </w:tcPr>
          <w:p w14:paraId="0F2015A7" w14:textId="77777777" w:rsidR="00C32B57" w:rsidRDefault="00C32B57" w:rsidP="00AB7ED6">
            <w:r>
              <w:t>Le entità misurabili, a loro volta, possono essere classificate a seconda del tipo. Per esempio, il processo è un tipo di entità misurabile.</w:t>
            </w:r>
          </w:p>
        </w:tc>
      </w:tr>
      <w:tr w:rsidR="00C32B57" w14:paraId="06D694B6" w14:textId="77777777" w:rsidTr="00AB7ED6">
        <w:tc>
          <w:tcPr>
            <w:tcW w:w="1838" w:type="dxa"/>
          </w:tcPr>
          <w:p w14:paraId="4F41E783" w14:textId="77777777" w:rsidR="00C32B57" w:rsidRDefault="00C32B57" w:rsidP="00AB7ED6">
            <w:r>
              <w:t>Modello di entità</w:t>
            </w:r>
          </w:p>
        </w:tc>
        <w:tc>
          <w:tcPr>
            <w:tcW w:w="7790" w:type="dxa"/>
          </w:tcPr>
          <w:p w14:paraId="2E5B7CFC" w14:textId="77777777" w:rsidR="00C32B57" w:rsidRDefault="00C32B57" w:rsidP="00AB7ED6">
            <w:r>
              <w:t>È un’astrazione di un’entità che viene modellata in relazione agli scopi che si hanno, al grado di conoscenza che si ha dei suoi caratteri e agli strumenti di modellazione.</w:t>
            </w:r>
          </w:p>
        </w:tc>
      </w:tr>
      <w:tr w:rsidR="00C32B57" w14:paraId="5F066AA5" w14:textId="77777777" w:rsidTr="00AB7ED6">
        <w:tc>
          <w:tcPr>
            <w:tcW w:w="1838" w:type="dxa"/>
          </w:tcPr>
          <w:p w14:paraId="7113B054" w14:textId="77777777" w:rsidR="00C32B57" w:rsidRDefault="00C32B57" w:rsidP="00AB7ED6">
            <w:r>
              <w:t>Attributo</w:t>
            </w:r>
          </w:p>
        </w:tc>
        <w:tc>
          <w:tcPr>
            <w:tcW w:w="7790" w:type="dxa"/>
          </w:tcPr>
          <w:p w14:paraId="1B6078C9" w14:textId="77777777" w:rsidR="00C32B57" w:rsidRDefault="00C32B57" w:rsidP="00AB7ED6">
            <w:r>
              <w:t>È una proprietà di un’entità che:</w:t>
            </w:r>
            <w:r>
              <w:br/>
              <w:t>- Concorre a determinare l’eventuale stato e gli eventuali comportamenti dell’entità.</w:t>
            </w:r>
            <w:r>
              <w:br/>
              <w:t>- Definisce una qualità di interesse dell’entità.</w:t>
            </w:r>
          </w:p>
        </w:tc>
      </w:tr>
      <w:tr w:rsidR="00C32B57" w14:paraId="75C6287C" w14:textId="77777777" w:rsidTr="00AB7ED6">
        <w:tc>
          <w:tcPr>
            <w:tcW w:w="1838" w:type="dxa"/>
          </w:tcPr>
          <w:p w14:paraId="14361B8E" w14:textId="77777777" w:rsidR="00C32B57" w:rsidRDefault="00C32B57" w:rsidP="00AB7ED6">
            <w:r>
              <w:t>Attributo misurabile</w:t>
            </w:r>
          </w:p>
        </w:tc>
        <w:tc>
          <w:tcPr>
            <w:tcW w:w="7790" w:type="dxa"/>
          </w:tcPr>
          <w:p w14:paraId="7ACBC15E" w14:textId="77777777" w:rsidR="00C32B57" w:rsidRDefault="00C32B57" w:rsidP="00AB7ED6">
            <w:r>
              <w:t>È una proprietà di un’entità misurabile che, appunto, può essere misurata. Dimensione e produttività sono esempi di attributi misurabili.</w:t>
            </w:r>
          </w:p>
        </w:tc>
      </w:tr>
      <w:tr w:rsidR="00C32B57" w14:paraId="04AED29D" w14:textId="77777777" w:rsidTr="00AB7ED6">
        <w:tc>
          <w:tcPr>
            <w:tcW w:w="1838" w:type="dxa"/>
          </w:tcPr>
          <w:p w14:paraId="4E0C0845" w14:textId="77777777" w:rsidR="00C32B57" w:rsidRDefault="00C32B57" w:rsidP="00AB7ED6">
            <w:r>
              <w:t>Modello di attributo</w:t>
            </w:r>
          </w:p>
        </w:tc>
        <w:tc>
          <w:tcPr>
            <w:tcW w:w="7790" w:type="dxa"/>
          </w:tcPr>
          <w:p w14:paraId="3EA61635" w14:textId="77777777" w:rsidR="00C32B57" w:rsidRDefault="00C32B57" w:rsidP="00AB7ED6">
            <w:r>
              <w:t>È un’astrazione di un attributo che, come i modelli di entità, dipende dagli scopi che si hanno, dal grado di conoscenza che ne si ha e dagli strumenti di rappresentazione.</w:t>
            </w:r>
          </w:p>
        </w:tc>
      </w:tr>
      <w:tr w:rsidR="00C32B57" w14:paraId="7C55B2D1" w14:textId="77777777" w:rsidTr="00AB7ED6">
        <w:tc>
          <w:tcPr>
            <w:tcW w:w="1838" w:type="dxa"/>
          </w:tcPr>
          <w:p w14:paraId="41D27EF7" w14:textId="77777777" w:rsidR="00C32B57" w:rsidRDefault="00C32B57" w:rsidP="00AB7ED6">
            <w:r>
              <w:t>Misurazione</w:t>
            </w:r>
          </w:p>
        </w:tc>
        <w:tc>
          <w:tcPr>
            <w:tcW w:w="7790" w:type="dxa"/>
          </w:tcPr>
          <w:p w14:paraId="435DB0D5" w14:textId="77777777" w:rsidR="00C32B57" w:rsidRDefault="00C32B57" w:rsidP="00AB7ED6">
            <w:r>
              <w:t>È il processo che si esercita su un’entità (in particolar modo su un suo attributo) con lo scopo di produrre un risultato di misurazione.</w:t>
            </w:r>
          </w:p>
        </w:tc>
      </w:tr>
      <w:tr w:rsidR="00C32B57" w14:paraId="4D113F05" w14:textId="77777777" w:rsidTr="00AB7ED6">
        <w:tc>
          <w:tcPr>
            <w:tcW w:w="1838" w:type="dxa"/>
          </w:tcPr>
          <w:p w14:paraId="7EB9FB27" w14:textId="77777777" w:rsidR="00C32B57" w:rsidRDefault="00C32B57" w:rsidP="00AB7ED6">
            <w:r>
              <w:t>Risultato di una misurazione</w:t>
            </w:r>
          </w:p>
        </w:tc>
        <w:tc>
          <w:tcPr>
            <w:tcW w:w="7790" w:type="dxa"/>
          </w:tcPr>
          <w:p w14:paraId="3FE4F17E" w14:textId="77777777" w:rsidR="00C32B57" w:rsidRDefault="00C32B57" w:rsidP="00AB7ED6">
            <w:r>
              <w:t>È un valore associato a un attributo di un’entità a seguito di una misurazione. È tipicamente ma non necessariamente numerico: in particolare, appartiene ai valori ammessi della scala utilizzata.</w:t>
            </w:r>
          </w:p>
        </w:tc>
      </w:tr>
      <w:tr w:rsidR="00C32B57" w14:paraId="677D34B6" w14:textId="77777777" w:rsidTr="00AB7ED6">
        <w:tc>
          <w:tcPr>
            <w:tcW w:w="1838" w:type="dxa"/>
          </w:tcPr>
          <w:p w14:paraId="29AB9143" w14:textId="77777777" w:rsidR="00C32B57" w:rsidRDefault="00C32B57" w:rsidP="00AB7ED6">
            <w:r>
              <w:t>Misura</w:t>
            </w:r>
          </w:p>
        </w:tc>
        <w:tc>
          <w:tcPr>
            <w:tcW w:w="7790" w:type="dxa"/>
          </w:tcPr>
          <w:p w14:paraId="35F08724" w14:textId="77777777" w:rsidR="00C32B57" w:rsidRDefault="00C32B57" w:rsidP="00AB7ED6">
            <w:r>
              <w:t>È uno strumento (una funzione) che permette di associare attributi misurabili con i valori di una scala. Ad esempio, la misura “numero di requisiti” può essere utilizzata per associare un valore all’attributo misurabile “dimensione” che caratterizza il tipo di entità misurabile “progetto”.</w:t>
            </w:r>
          </w:p>
        </w:tc>
      </w:tr>
      <w:tr w:rsidR="00C32B57" w14:paraId="1C8B2E60" w14:textId="77777777" w:rsidTr="00AB7ED6">
        <w:tc>
          <w:tcPr>
            <w:tcW w:w="1838" w:type="dxa"/>
          </w:tcPr>
          <w:p w14:paraId="495C12A4" w14:textId="77777777" w:rsidR="00C32B57" w:rsidRDefault="00C32B57" w:rsidP="00AB7ED6">
            <w:r>
              <w:t>Metrica</w:t>
            </w:r>
          </w:p>
        </w:tc>
        <w:tc>
          <w:tcPr>
            <w:tcW w:w="7790" w:type="dxa"/>
          </w:tcPr>
          <w:p w14:paraId="6C440653" w14:textId="77777777" w:rsidR="00C32B57" w:rsidRDefault="00C32B57" w:rsidP="00AB7ED6">
            <w:r>
              <w:t>È un termine utilizzato con diverse accezioni nell’ambito dell’ingegneria del software:</w:t>
            </w:r>
          </w:p>
          <w:p w14:paraId="08B39BD0" w14:textId="77777777" w:rsidR="00C32B57" w:rsidRDefault="00C32B57" w:rsidP="00AB7ED6">
            <w:r>
              <w:t>- È una particolare grandezza da misurare (come una distanza o una superficie).</w:t>
            </w:r>
          </w:p>
          <w:p w14:paraId="6D6D1F33" w14:textId="77777777" w:rsidR="00C32B57" w:rsidRDefault="00C32B57" w:rsidP="00AB7ED6">
            <w:r>
              <w:t>- È l’insieme delle norme che regolano composizione e strutturazione delle misure.</w:t>
            </w:r>
          </w:p>
          <w:p w14:paraId="0E52E0EA" w14:textId="77777777" w:rsidR="00C32B57" w:rsidRDefault="00C32B57" w:rsidP="00AB7ED6">
            <w:r>
              <w:t>- È l’insieme delle misure di un settore o di un software nel suo complesso.</w:t>
            </w:r>
          </w:p>
        </w:tc>
      </w:tr>
    </w:tbl>
    <w:p w14:paraId="3D7CAC4C" w14:textId="0158BAB9" w:rsidR="00CE7F3A" w:rsidRDefault="00C32B57">
      <w:r>
        <w:br/>
      </w:r>
      <w:r w:rsidRPr="00C32B57">
        <w:rPr>
          <w:u w:val="single"/>
        </w:rPr>
        <w:t>NB</w:t>
      </w:r>
      <w:r>
        <w:t>: Un attributo può essere:</w:t>
      </w:r>
      <w:r>
        <w:br/>
        <w:t xml:space="preserve">- </w:t>
      </w:r>
      <w:r w:rsidRPr="0083464A">
        <w:rPr>
          <w:b/>
          <w:bCs/>
        </w:rPr>
        <w:t>Esterno</w:t>
      </w:r>
      <w:r>
        <w:t xml:space="preserve"> se è </w:t>
      </w:r>
      <w:r w:rsidR="0083464A">
        <w:t>osservabile</w:t>
      </w:r>
      <w:r>
        <w:t xml:space="preserve"> direttamente dall’utilizzatore dell’entità</w:t>
      </w:r>
      <w:r w:rsidR="0083464A">
        <w:t xml:space="preserve"> (come gli attributi public in Java).</w:t>
      </w:r>
      <w:r w:rsidR="0083464A">
        <w:br/>
        <w:t xml:space="preserve">- </w:t>
      </w:r>
      <w:r w:rsidR="0083464A" w:rsidRPr="0083464A">
        <w:rPr>
          <w:b/>
          <w:bCs/>
        </w:rPr>
        <w:t>Interno</w:t>
      </w:r>
      <w:r w:rsidR="0083464A">
        <w:t xml:space="preserve"> se è osservabile esclusivamente nell’ambito dell’entità presa isolatamente, ma non esternamente (come gli attributi private in Java che, per essere acceduti, richiedono l’invocazione di un apposito metodo getter o setter).</w:t>
      </w:r>
    </w:p>
    <w:p w14:paraId="633EE6B2" w14:textId="65D79D25" w:rsidR="00CE7F3A" w:rsidRDefault="00CE7F3A">
      <w:r>
        <w:t>D’altra parte, un attributo può anche essere:</w:t>
      </w:r>
      <w:r>
        <w:br/>
        <w:t xml:space="preserve">- </w:t>
      </w:r>
      <w:r w:rsidRPr="00CE7F3A">
        <w:rPr>
          <w:b/>
          <w:bCs/>
        </w:rPr>
        <w:t>Direttamente misurabile</w:t>
      </w:r>
      <w:r>
        <w:t xml:space="preserve"> (come la dimensione).</w:t>
      </w:r>
      <w:r>
        <w:br/>
        <w:t xml:space="preserve">- </w:t>
      </w:r>
      <w:r w:rsidRPr="00CE7F3A">
        <w:rPr>
          <w:b/>
          <w:bCs/>
        </w:rPr>
        <w:t>Indirettamente misurabile</w:t>
      </w:r>
      <w:r>
        <w:t xml:space="preserve"> (come la produttività) se può essere misurato solo mediante il coinvolgimento di altri attributi di base.</w:t>
      </w:r>
    </w:p>
    <w:p w14:paraId="25D482FC" w14:textId="0F6C084D" w:rsidR="00552BE0" w:rsidRDefault="00552BE0">
      <w:r>
        <w:br/>
      </w:r>
      <w:r w:rsidRPr="00552BE0">
        <w:rPr>
          <w:b/>
          <w:bCs/>
        </w:rPr>
        <w:t>Caratteristiche della misurazione</w:t>
      </w:r>
      <w:r w:rsidRPr="00552BE0">
        <w:rPr>
          <w:b/>
          <w:bCs/>
        </w:rPr>
        <w:br/>
      </w:r>
      <w:r>
        <w:t xml:space="preserve">- </w:t>
      </w:r>
      <w:r w:rsidRPr="00552BE0">
        <w:rPr>
          <w:b/>
          <w:bCs/>
        </w:rPr>
        <w:t>Influenza</w:t>
      </w:r>
      <w:r>
        <w:t>: i sistemi, fra cui le entità che si intendono misurare, sono generalmente modificati e influenzati dalle misurazioni.</w:t>
      </w:r>
      <w:r>
        <w:br/>
        <w:t xml:space="preserve">- </w:t>
      </w:r>
      <w:r w:rsidRPr="00552BE0">
        <w:rPr>
          <w:b/>
          <w:bCs/>
        </w:rPr>
        <w:t>Ripetibilità</w:t>
      </w:r>
      <w:r>
        <w:t>: in analoghe condizioni, le misurazioni dovrebbero dare luogo al medesimo risultato. In altre parole, salvo errori sistematici e/o casuali, una determinata entità, a parità di contesto, stato e attributo misurato, deve essere caratterizzara sempre dalla medesima misura.</w:t>
      </w:r>
      <w:r>
        <w:br/>
      </w:r>
      <w:r>
        <w:lastRenderedPageBreak/>
        <w:t xml:space="preserve">- </w:t>
      </w:r>
      <w:r w:rsidRPr="00552BE0">
        <w:rPr>
          <w:b/>
          <w:bCs/>
        </w:rPr>
        <w:t>Errori</w:t>
      </w:r>
      <w:r>
        <w:t xml:space="preserve">: gli errori di osservazione possono essere sistematici (che sono relativi alla differenza tra il valore reale della grandezza in esame e il valore assunto </w:t>
      </w:r>
      <w:r w:rsidR="00D0346F">
        <w:t>dal risultato della misurazione</w:t>
      </w:r>
      <w:r>
        <w:t xml:space="preserve"> effettuata su di essa) oppure casuali (</w:t>
      </w:r>
      <w:r w:rsidR="00D0346F">
        <w:t>che possono essere dovuti a errori di lettura dello strumento di misurazione o di trascrizione del risultato della misurazione).</w:t>
      </w:r>
    </w:p>
    <w:p w14:paraId="3E872E11" w14:textId="5FE7D57F" w:rsidR="002D12BA" w:rsidRDefault="002D12BA">
      <w:r>
        <w:t>Un insieme di data point</w:t>
      </w:r>
      <w:r w:rsidR="008421FD">
        <w:t xml:space="preserve"> (= risultati di misurazione)</w:t>
      </w:r>
      <w:r>
        <w:t xml:space="preserve"> derivanti da misurazioni ripetute della stessa quantità si definisce:</w:t>
      </w:r>
      <w:r>
        <w:br/>
        <w:t xml:space="preserve">- </w:t>
      </w:r>
      <w:r w:rsidRPr="002D12BA">
        <w:rPr>
          <w:b/>
          <w:bCs/>
        </w:rPr>
        <w:t>Accurato (ISO Trueness)</w:t>
      </w:r>
      <w:r>
        <w:t xml:space="preserve"> se la media del valore dei data point è vicina al vero valore della quantità misurata.</w:t>
      </w:r>
      <w:r>
        <w:br/>
        <w:t xml:space="preserve">- </w:t>
      </w:r>
      <w:r w:rsidRPr="002D12BA">
        <w:rPr>
          <w:b/>
          <w:bCs/>
        </w:rPr>
        <w:t>Preciso</w:t>
      </w:r>
      <w:r>
        <w:t xml:space="preserve"> se i data point </w:t>
      </w:r>
      <w:r w:rsidR="000F2797">
        <w:t>sono</w:t>
      </w:r>
      <w:r>
        <w:t xml:space="preserve"> “vicini” tra loro.</w:t>
      </w:r>
    </w:p>
    <w:p w14:paraId="7D0E540F" w14:textId="008C8AD2" w:rsidR="002D12BA" w:rsidRDefault="002D12BA">
      <w:r>
        <w:rPr>
          <w:noProof/>
        </w:rPr>
        <w:drawing>
          <wp:inline distT="0" distB="0" distL="0" distR="0" wp14:anchorId="50D90859" wp14:editId="2F095CA4">
            <wp:extent cx="5048251" cy="21240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70" cy="21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C450" w14:textId="539EB216" w:rsidR="002D12BA" w:rsidRDefault="008421FD" w:rsidP="002D12BA">
      <w:r>
        <w:t>In realtà, l’accuratezza ha un duplice significato poiché ISO la definisce come l</w:t>
      </w:r>
      <w:r w:rsidR="004673BC">
        <w:t>1</w:t>
      </w:r>
      <w:r>
        <w:t>’unione tra le due definizioni appena elencate, ovvero come la prossimità dei risultati di misurazione al vero valore della quantità misurata.</w:t>
      </w:r>
    </w:p>
    <w:p w14:paraId="21DD7D40" w14:textId="26AD622A" w:rsidR="002A160F" w:rsidRDefault="002A160F" w:rsidP="002D12BA">
      <w:r>
        <w:br/>
      </w:r>
      <w:r w:rsidRPr="002A160F">
        <w:rPr>
          <w:b/>
          <w:bCs/>
        </w:rPr>
        <w:t>Classic Measurement Ontology (CMO)</w:t>
      </w:r>
      <w:r w:rsidRPr="002A160F">
        <w:rPr>
          <w:b/>
          <w:bCs/>
        </w:rPr>
        <w:br/>
      </w:r>
      <w:r>
        <w:t>È un modello di rappresentazione formale che può essere espresso col seguente diagramma UML:</w:t>
      </w:r>
    </w:p>
    <w:p w14:paraId="42AE67BF" w14:textId="690E2416" w:rsidR="002A160F" w:rsidRDefault="002A160F" w:rsidP="002D12BA">
      <w:r>
        <w:rPr>
          <w:noProof/>
        </w:rPr>
        <w:drawing>
          <wp:inline distT="0" distB="0" distL="0" distR="0" wp14:anchorId="5031DC28" wp14:editId="52D2B6BF">
            <wp:extent cx="6120130" cy="36290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4957" w14:textId="4033E0F5" w:rsidR="00020687" w:rsidRPr="00020687" w:rsidRDefault="00020687" w:rsidP="002D12BA">
      <w:pPr>
        <w:rPr>
          <w:b/>
          <w:bCs/>
          <w:sz w:val="28"/>
          <w:szCs w:val="28"/>
        </w:rPr>
      </w:pPr>
      <w:r w:rsidRPr="00020687">
        <w:rPr>
          <w:b/>
          <w:bCs/>
          <w:sz w:val="28"/>
          <w:szCs w:val="28"/>
        </w:rPr>
        <w:lastRenderedPageBreak/>
        <w:t>FUNCTIONAL &amp; NON FUNCTIONAL SOFTWARE METRICS</w:t>
      </w:r>
    </w:p>
    <w:p w14:paraId="2149F7BD" w14:textId="0BB0ADEE" w:rsidR="00020687" w:rsidRDefault="00020687" w:rsidP="002D12BA">
      <w:r w:rsidRPr="00020687">
        <w:rPr>
          <w:b/>
          <w:bCs/>
        </w:rPr>
        <w:t>Requisiti non funzionali</w:t>
      </w:r>
      <w:r w:rsidR="0047595F">
        <w:rPr>
          <w:b/>
          <w:bCs/>
        </w:rPr>
        <w:t xml:space="preserve"> (NFR)</w:t>
      </w:r>
      <w:r w:rsidRPr="00020687">
        <w:rPr>
          <w:b/>
          <w:bCs/>
        </w:rPr>
        <w:br/>
      </w:r>
      <w:r w:rsidR="0047595F">
        <w:t>Sono requisiti che definiscono come dovrebbe essere il sistema. Si suddividono in:</w:t>
      </w:r>
      <w:r w:rsidR="0047595F">
        <w:br/>
        <w:t>- Operativi</w:t>
      </w:r>
      <w:r w:rsidR="0047595F">
        <w:br/>
        <w:t>- Revisionali</w:t>
      </w:r>
      <w:r w:rsidR="0047595F">
        <w:br/>
        <w:t>- Di transizione</w:t>
      </w:r>
      <w:r w:rsidR="0047595F">
        <w:br/>
        <w:t>Noi ci concentreremo su quelli operativi, tra cui rientrano la disponibilità, la sicurezza e l’usabilità.</w:t>
      </w:r>
    </w:p>
    <w:p w14:paraId="75414E82" w14:textId="1D4438B3" w:rsidR="006A3879" w:rsidRDefault="0047595F" w:rsidP="002D12BA">
      <w:r>
        <w:br/>
      </w:r>
      <w:r w:rsidRPr="0047595F">
        <w:rPr>
          <w:b/>
          <w:bCs/>
        </w:rPr>
        <w:t>Disponibilità (availability)</w:t>
      </w:r>
      <w:r w:rsidRPr="0047595F">
        <w:rPr>
          <w:b/>
          <w:bCs/>
        </w:rPr>
        <w:br/>
      </w:r>
      <w:r w:rsidR="006A3879">
        <w:t>È</w:t>
      </w:r>
      <w:r>
        <w:t xml:space="preserve"> la capacità di un servizio di svolgere la </w:t>
      </w:r>
      <w:r w:rsidR="006A3879">
        <w:t>propria funzionalità ogni volta che viene richiesto dall’utente. Si calcola con la seguente formula:</w:t>
      </w:r>
      <w:r w:rsidR="006A3879">
        <w:rPr>
          <w:noProof/>
        </w:rPr>
        <w:drawing>
          <wp:inline distT="0" distB="0" distL="0" distR="0" wp14:anchorId="2E417B8C" wp14:editId="48772145">
            <wp:extent cx="6120130" cy="57658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DC54" w14:textId="65760F2A" w:rsidR="006A3879" w:rsidRDefault="006A3879" w:rsidP="002D12BA">
      <w:r>
        <w:t>Dove:</w:t>
      </w:r>
      <w:r>
        <w:br/>
        <w:t xml:space="preserve">- </w:t>
      </w:r>
      <w:r w:rsidRPr="006A3879">
        <w:rPr>
          <w:b/>
          <w:bCs/>
        </w:rPr>
        <w:t>Tempo di servizio concordato</w:t>
      </w:r>
      <w:r>
        <w:t xml:space="preserve"> = tempo previsto in cui il servizio dovrebbe essere operativo.</w:t>
      </w:r>
      <w:r>
        <w:br/>
        <w:t xml:space="preserve">- </w:t>
      </w:r>
      <w:r w:rsidRPr="006A3879">
        <w:rPr>
          <w:b/>
          <w:bCs/>
        </w:rPr>
        <w:t>Tempo di inattività</w:t>
      </w:r>
      <w:r>
        <w:t xml:space="preserve"> = quantità di tempo durante il tempo di servizio concordato in cui il servizio non è disponibile.</w:t>
      </w:r>
    </w:p>
    <w:p w14:paraId="799D2D39" w14:textId="77777777" w:rsidR="008B1D95" w:rsidRDefault="00742789" w:rsidP="002D12BA">
      <w:r>
        <w:t>La disponibilità può anche essere espressa tramite la cosiddetta regola dei nove:</w:t>
      </w:r>
      <w:r>
        <w:rPr>
          <w:noProof/>
        </w:rPr>
        <w:drawing>
          <wp:inline distT="0" distB="0" distL="0" distR="0" wp14:anchorId="37C7064B" wp14:editId="391A839E">
            <wp:extent cx="5430008" cy="219105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F770" w14:textId="77777777" w:rsidR="008B1D95" w:rsidRDefault="008B1D95" w:rsidP="002D12BA"/>
    <w:p w14:paraId="7D16205A" w14:textId="1DDCEEDB" w:rsidR="00742789" w:rsidRDefault="00742789" w:rsidP="002D12BA">
      <w:r w:rsidRPr="00742789">
        <w:rPr>
          <w:b/>
          <w:bCs/>
        </w:rPr>
        <w:t>Sicurezza (security)</w:t>
      </w:r>
      <w:r w:rsidRPr="00742789">
        <w:rPr>
          <w:b/>
          <w:bCs/>
        </w:rPr>
        <w:br/>
      </w:r>
      <w:r w:rsidRPr="00742789">
        <w:t>È</w:t>
      </w:r>
      <w:r>
        <w:t xml:space="preserve"> buona norma utilizzare i </w:t>
      </w:r>
      <w:r w:rsidRPr="00742789">
        <w:rPr>
          <w:b/>
          <w:bCs/>
        </w:rPr>
        <w:t>KPI</w:t>
      </w:r>
      <w:r>
        <w:t xml:space="preserve"> come tecnica per tenere traccia delle metriche di sicurezza informatica, nonostante si tratti ancora di una pratica non comune e in via di sviluppo.</w:t>
      </w:r>
      <w:r>
        <w:br/>
        <w:t>I KPI (Key Performance Indicator)</w:t>
      </w:r>
      <w:r w:rsidR="00853925">
        <w:t xml:space="preserve"> sono degli indicatori utilizzati per misurare i risultati conseguiti da un’organizzazione.</w:t>
      </w:r>
      <w:r w:rsidR="00666815">
        <w:t xml:space="preserve"> Nell’ambito della sicurezza, i due KPI più importanti sono:</w:t>
      </w:r>
      <w:r w:rsidR="00666815">
        <w:br/>
        <w:t xml:space="preserve">- </w:t>
      </w:r>
      <w:r w:rsidR="00666815" w:rsidRPr="00666815">
        <w:rPr>
          <w:b/>
          <w:bCs/>
        </w:rPr>
        <w:t>MTTD</w:t>
      </w:r>
      <w:r w:rsidR="00666815">
        <w:t xml:space="preserve"> (tempo medio di rilevamento): è la quantità di tempo mediamente necessaria per identificare un attacco ricevuto.</w:t>
      </w:r>
      <w:r w:rsidR="00666815">
        <w:br/>
        <w:t xml:space="preserve">- </w:t>
      </w:r>
      <w:r w:rsidR="00666815" w:rsidRPr="00666815">
        <w:rPr>
          <w:b/>
          <w:bCs/>
        </w:rPr>
        <w:t>MTTR</w:t>
      </w:r>
      <w:r w:rsidR="00666815">
        <w:t xml:space="preserve"> (tempo medio di risposta): è la quantità di tempo mediamente necessaria per contenere o risolvere il danno causato dall’attacco ricevuto.</w:t>
      </w:r>
    </w:p>
    <w:p w14:paraId="305CE099" w14:textId="3748C385" w:rsidR="00666815" w:rsidRDefault="008B1D95" w:rsidP="002D12BA">
      <w:r>
        <w:t>Nonostante la loro importanza, questi due fattori non sempre vengono considerati quanto necessario e, spesso, risultano essere un fattore critico: ad esempio, nel 2017, per le società statunitensi l’MTTD medio è stato di 52 giorni, mentre l’MTTR medio è stato di 208 giorni.</w:t>
      </w:r>
    </w:p>
    <w:p w14:paraId="7D8192A4" w14:textId="659F414F" w:rsidR="008B1D95" w:rsidRDefault="008B1D95" w:rsidP="002D12BA">
      <w:r>
        <w:lastRenderedPageBreak/>
        <w:t>Consideriamo alcune altre metriche di sicurezza rilevanti: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74514D" w:rsidRPr="0074514D" w14:paraId="4546CB46" w14:textId="77777777" w:rsidTr="00A603D3">
        <w:tc>
          <w:tcPr>
            <w:tcW w:w="2830" w:type="dxa"/>
            <w:shd w:val="clear" w:color="auto" w:fill="9CC2E5" w:themeFill="accent5" w:themeFillTint="99"/>
          </w:tcPr>
          <w:p w14:paraId="328BAC93" w14:textId="77EA6F6D" w:rsidR="0074514D" w:rsidRPr="0074514D" w:rsidRDefault="0074514D" w:rsidP="0074514D">
            <w:pPr>
              <w:jc w:val="center"/>
              <w:rPr>
                <w:b/>
                <w:bCs/>
              </w:rPr>
            </w:pPr>
            <w:r w:rsidRPr="0074514D">
              <w:rPr>
                <w:b/>
                <w:bCs/>
              </w:rPr>
              <w:t>Metrica</w:t>
            </w:r>
          </w:p>
        </w:tc>
        <w:tc>
          <w:tcPr>
            <w:tcW w:w="6798" w:type="dxa"/>
            <w:shd w:val="clear" w:color="auto" w:fill="9CC2E5" w:themeFill="accent5" w:themeFillTint="99"/>
          </w:tcPr>
          <w:p w14:paraId="336859B9" w14:textId="1E36CA26" w:rsidR="0074514D" w:rsidRPr="0074514D" w:rsidRDefault="0074514D" w:rsidP="0074514D">
            <w:pPr>
              <w:jc w:val="center"/>
              <w:rPr>
                <w:b/>
                <w:bCs/>
              </w:rPr>
            </w:pPr>
            <w:r w:rsidRPr="0074514D">
              <w:rPr>
                <w:b/>
                <w:bCs/>
              </w:rPr>
              <w:t>Descrizione</w:t>
            </w:r>
          </w:p>
        </w:tc>
      </w:tr>
      <w:tr w:rsidR="0074514D" w14:paraId="7544D5F8" w14:textId="77777777" w:rsidTr="00A603D3">
        <w:tc>
          <w:tcPr>
            <w:tcW w:w="2830" w:type="dxa"/>
          </w:tcPr>
          <w:p w14:paraId="47F117B1" w14:textId="620D981C" w:rsidR="0074514D" w:rsidRDefault="0074514D" w:rsidP="002D12BA">
            <w:r>
              <w:t>Numero di risorse vulnerabili nell’ambiente</w:t>
            </w:r>
          </w:p>
        </w:tc>
        <w:tc>
          <w:tcPr>
            <w:tcW w:w="6798" w:type="dxa"/>
          </w:tcPr>
          <w:p w14:paraId="0726C449" w14:textId="0549C23C" w:rsidR="0074514D" w:rsidRDefault="0074514D" w:rsidP="002D12BA">
            <w:r>
              <w:t>È una metrica di sicurezza chiave per determinare i rischi che l’azienda corre e le patch che devono essere effettuate per ridurre tali rischi.</w:t>
            </w:r>
          </w:p>
        </w:tc>
      </w:tr>
      <w:tr w:rsidR="0074514D" w14:paraId="0B68160E" w14:textId="77777777" w:rsidTr="00A603D3">
        <w:tc>
          <w:tcPr>
            <w:tcW w:w="2830" w:type="dxa"/>
          </w:tcPr>
          <w:p w14:paraId="6CD186CC" w14:textId="126C66A1" w:rsidR="0074514D" w:rsidRDefault="0074514D" w:rsidP="002D12BA">
            <w:r>
              <w:t>Numero di certificati TLS configurati in maniera errata</w:t>
            </w:r>
          </w:p>
        </w:tc>
        <w:tc>
          <w:tcPr>
            <w:tcW w:w="6798" w:type="dxa"/>
          </w:tcPr>
          <w:p w14:paraId="3D2D3C1E" w14:textId="254BDF63" w:rsidR="0074514D" w:rsidRDefault="0074514D" w:rsidP="002D12BA">
            <w:r>
              <w:t xml:space="preserve">Il monitoraggio dei requisiti di sicurezza dei certificati impedisce che essi cadano nelle mani di malintenzionati che </w:t>
            </w:r>
            <w:r w:rsidR="00EE4504">
              <w:t>possono sfruttare l’identità digitale dell’azienda per rubare le informazioni de</w:t>
            </w:r>
            <w:r w:rsidR="00E86B44">
              <w:t>i dipendenti</w:t>
            </w:r>
            <w:r w:rsidR="00EE4504">
              <w:t>.</w:t>
            </w:r>
          </w:p>
        </w:tc>
      </w:tr>
      <w:tr w:rsidR="0074514D" w14:paraId="0943338E" w14:textId="77777777" w:rsidTr="00A603D3">
        <w:tc>
          <w:tcPr>
            <w:tcW w:w="2830" w:type="dxa"/>
          </w:tcPr>
          <w:p w14:paraId="3322D1AE" w14:textId="0A455896" w:rsidR="0074514D" w:rsidRDefault="00EE4504" w:rsidP="002D12BA">
            <w:r>
              <w:t>Volume di dati trasferiti usando la rete aziendale</w:t>
            </w:r>
          </w:p>
        </w:tc>
        <w:tc>
          <w:tcPr>
            <w:tcW w:w="6798" w:type="dxa"/>
          </w:tcPr>
          <w:p w14:paraId="59D2DBB2" w14:textId="141FD69E" w:rsidR="0074514D" w:rsidRDefault="00EE4504" w:rsidP="002D12BA">
            <w:r>
              <w:t xml:space="preserve">Se </w:t>
            </w:r>
            <w:r w:rsidR="00E86B44">
              <w:t>i dipendenti</w:t>
            </w:r>
            <w:r>
              <w:t xml:space="preserve"> effettuano tanti download (ad esempio di software, video, film e applicazioni) usando la rete aziendale, possono lasciare la porta aperta a malware.</w:t>
            </w:r>
          </w:p>
        </w:tc>
      </w:tr>
      <w:tr w:rsidR="0074514D" w14:paraId="5D261094" w14:textId="77777777" w:rsidTr="00A603D3">
        <w:tc>
          <w:tcPr>
            <w:tcW w:w="2830" w:type="dxa"/>
          </w:tcPr>
          <w:p w14:paraId="721D73AC" w14:textId="657F8EA1" w:rsidR="0074514D" w:rsidRDefault="00E86B44" w:rsidP="002D12BA">
            <w:r>
              <w:t>Numero di dipendenti con livello di accesso “super utente”</w:t>
            </w:r>
          </w:p>
        </w:tc>
        <w:tc>
          <w:tcPr>
            <w:tcW w:w="6798" w:type="dxa"/>
          </w:tcPr>
          <w:p w14:paraId="6EEB8A50" w14:textId="665EFC48" w:rsidR="0074514D" w:rsidRDefault="00E86B44" w:rsidP="002D12BA">
            <w:r>
              <w:t>Per ragioni di sicurezza, è opportuno che i dipendenti accedano solo a dati, risorse e sistemi necessari al proprio lavoro.</w:t>
            </w:r>
          </w:p>
        </w:tc>
      </w:tr>
      <w:tr w:rsidR="0074514D" w14:paraId="4D3DFA14" w14:textId="77777777" w:rsidTr="00A603D3">
        <w:tc>
          <w:tcPr>
            <w:tcW w:w="2830" w:type="dxa"/>
          </w:tcPr>
          <w:p w14:paraId="1856DECD" w14:textId="4A3A9491" w:rsidR="0074514D" w:rsidRDefault="00E86B44" w:rsidP="002D12BA">
            <w:r>
              <w:t>Numero di giorni per disattivare le credenziali di un ex dipendente</w:t>
            </w:r>
          </w:p>
        </w:tc>
        <w:tc>
          <w:tcPr>
            <w:tcW w:w="6798" w:type="dxa"/>
          </w:tcPr>
          <w:p w14:paraId="57AE1A90" w14:textId="2EE9B69F" w:rsidR="0074514D" w:rsidRDefault="00E86B44" w:rsidP="002D12BA">
            <w:r>
              <w:t>Idealmente, l’accesso al sistema degli ex dipendenti dell’azienda dovrebbe essere revocato immediatamente.</w:t>
            </w:r>
          </w:p>
        </w:tc>
      </w:tr>
      <w:tr w:rsidR="0074514D" w14:paraId="38CA7A85" w14:textId="77777777" w:rsidTr="00A603D3">
        <w:tc>
          <w:tcPr>
            <w:tcW w:w="2830" w:type="dxa"/>
          </w:tcPr>
          <w:p w14:paraId="5DAF9D17" w14:textId="225C0CA6" w:rsidR="0074514D" w:rsidRDefault="00A603D3" w:rsidP="002D12BA">
            <w:r>
              <w:t>Numero di porte di comunicazione aperte durante un periodo di tempo</w:t>
            </w:r>
          </w:p>
        </w:tc>
        <w:tc>
          <w:tcPr>
            <w:tcW w:w="6798" w:type="dxa"/>
          </w:tcPr>
          <w:p w14:paraId="352A74AA" w14:textId="62295FD6" w:rsidR="0074514D" w:rsidRDefault="00A603D3" w:rsidP="002D12BA">
            <w:r>
              <w:t xml:space="preserve">Tutte le porte comuni per i protocolli che consentono sessioni remote (come SSH, Telnet e FTP) devono essere monitorate per un certo periodo di tempo; inoltre, è inopportuno </w:t>
            </w:r>
            <w:r w:rsidR="004824FF">
              <w:t>tenere aperte le porte non necessarie, poiché rappresentano solo un punto di ingresso in più per eventuali attacchi o malware.</w:t>
            </w:r>
          </w:p>
        </w:tc>
      </w:tr>
      <w:tr w:rsidR="0074514D" w14:paraId="5F4C517F" w14:textId="77777777" w:rsidTr="00A603D3">
        <w:tc>
          <w:tcPr>
            <w:tcW w:w="2830" w:type="dxa"/>
          </w:tcPr>
          <w:p w14:paraId="4ACB1536" w14:textId="149F174B" w:rsidR="0074514D" w:rsidRDefault="004824FF" w:rsidP="002D12BA">
            <w:r>
              <w:t>Frequenza di revisione degli accessi di terze parti alla rete aziendale</w:t>
            </w:r>
          </w:p>
        </w:tc>
        <w:tc>
          <w:tcPr>
            <w:tcW w:w="6798" w:type="dxa"/>
          </w:tcPr>
          <w:p w14:paraId="6BF98ABC" w14:textId="491FFA8F" w:rsidR="0074514D" w:rsidRDefault="004824FF" w:rsidP="002D12BA">
            <w:r>
              <w:t xml:space="preserve">Spesso viene concesso l’accesso a terze parti nella rete aziendale per completare un progetto. È importante assicurarsi che l’accesso venga annullato al termine del progetto stesso: in caso contrario, è possibile che </w:t>
            </w:r>
            <w:r w:rsidR="001045AB">
              <w:t>la terza parte decida di tornare per estrarre dati o svolgere altre attività dannose; oppure, peggio ancora, se la terza parte viene violata, anche la nostra rete aziendale può essere esposta alla stessa minaccia.</w:t>
            </w:r>
          </w:p>
        </w:tc>
      </w:tr>
      <w:tr w:rsidR="001045AB" w14:paraId="3327AFC5" w14:textId="77777777" w:rsidTr="00A603D3">
        <w:tc>
          <w:tcPr>
            <w:tcW w:w="2830" w:type="dxa"/>
          </w:tcPr>
          <w:p w14:paraId="1C477453" w14:textId="101FE35B" w:rsidR="001045AB" w:rsidRDefault="001045AB" w:rsidP="002D12BA">
            <w:r>
              <w:t>Frequenza di accesso a sistemi aziendali critici da parte di terzi</w:t>
            </w:r>
          </w:p>
        </w:tc>
        <w:tc>
          <w:tcPr>
            <w:tcW w:w="6798" w:type="dxa"/>
          </w:tcPr>
          <w:p w14:paraId="7C4661ED" w14:textId="4FC735F5" w:rsidR="001045AB" w:rsidRDefault="001045AB" w:rsidP="002D12BA">
            <w:r>
              <w:t>Per ragioni di sicurezza, è opportuno monitorare i tentativi di accesso a server o applicazioni che non dovrebbero essere presi di mira da utenti non autorizzati.</w:t>
            </w:r>
          </w:p>
        </w:tc>
      </w:tr>
      <w:tr w:rsidR="001045AB" w14:paraId="339C248E" w14:textId="77777777" w:rsidTr="00A603D3">
        <w:tc>
          <w:tcPr>
            <w:tcW w:w="2830" w:type="dxa"/>
          </w:tcPr>
          <w:p w14:paraId="3DF4448C" w14:textId="25EF6229" w:rsidR="001045AB" w:rsidRDefault="00561F99" w:rsidP="002D12BA">
            <w:r>
              <w:t>Percentuale di partner commerciali con politiche di sicurezza informatica efficaci</w:t>
            </w:r>
          </w:p>
        </w:tc>
        <w:tc>
          <w:tcPr>
            <w:tcW w:w="6798" w:type="dxa"/>
          </w:tcPr>
          <w:p w14:paraId="5EF68D6B" w14:textId="27649E74" w:rsidR="001045AB" w:rsidRDefault="00561F99" w:rsidP="002D12BA">
            <w:r>
              <w:t>Se l’azienda investe in sicurezza ma ha partner che non lo fanno, non gode in realtà di alcun servizio di sicurezza.</w:t>
            </w:r>
          </w:p>
        </w:tc>
      </w:tr>
    </w:tbl>
    <w:p w14:paraId="299969A3" w14:textId="043A3844" w:rsidR="008B1D95" w:rsidRDefault="00A437F5" w:rsidP="002D12BA">
      <w:r>
        <w:br/>
        <w:t xml:space="preserve">Una tipologia particolare di metriche di sicurezza prevede solo due valori possibili: </w:t>
      </w:r>
      <w:r w:rsidRPr="00A437F5">
        <w:rPr>
          <w:b/>
          <w:bCs/>
        </w:rPr>
        <w:t>vero</w:t>
      </w:r>
      <w:r>
        <w:t xml:space="preserve"> e </w:t>
      </w:r>
      <w:r w:rsidRPr="00A437F5">
        <w:rPr>
          <w:b/>
          <w:bCs/>
        </w:rPr>
        <w:t>falso</w:t>
      </w:r>
      <w:r>
        <w:t>.</w:t>
      </w:r>
      <w:r>
        <w:br/>
        <w:t xml:space="preserve">Tali metriche tipicamente appartengono a un vasto insieme di regole (una check-list) detto </w:t>
      </w:r>
      <w:r w:rsidRPr="004E2957">
        <w:rPr>
          <w:b/>
          <w:bCs/>
        </w:rPr>
        <w:t>benchmark</w:t>
      </w:r>
      <w:r>
        <w:t>.</w:t>
      </w:r>
      <w:r w:rsidR="004E2957">
        <w:br/>
        <w:t>Il risultato del benchmark è normalmente espresso con una scala intervallo e rappresenta il valore della “vera metrica” con cui è possibile esprimere il giudizio complessivo sull’entità oggetto di misurazione.</w:t>
      </w:r>
    </w:p>
    <w:p w14:paraId="488D2EB1" w14:textId="7C83611A" w:rsidR="00621338" w:rsidRDefault="00621338" w:rsidP="002D12BA">
      <w:r>
        <w:t>Due esempi di enti che offrono metriche di benchmarking sono:</w:t>
      </w:r>
      <w:r>
        <w:br/>
        <w:t xml:space="preserve">- </w:t>
      </w:r>
      <w:r w:rsidRPr="00D75BF4">
        <w:rPr>
          <w:b/>
          <w:bCs/>
        </w:rPr>
        <w:t>OWASP</w:t>
      </w:r>
      <w:r>
        <w:t xml:space="preserve"> (Open Web Application Security Project), che è una fondazione senza scopo di lucro che lavora per migliorare la sicurezza del software.</w:t>
      </w:r>
      <w:r>
        <w:br/>
        <w:t xml:space="preserve">- </w:t>
      </w:r>
      <w:r w:rsidRPr="00D75BF4">
        <w:rPr>
          <w:b/>
          <w:bCs/>
        </w:rPr>
        <w:t>Dipartimento della Difesa degli Stati Uniti</w:t>
      </w:r>
      <w:r>
        <w:t xml:space="preserve"> (supportato dal DISA</w:t>
      </w:r>
      <w:r w:rsidR="00D75BF4">
        <w:t xml:space="preserve"> – Defense Information Systems Agency), che prevede uno standard di sicurezza rappresentato da delle check-list che prendono il nome di STIG (Security Technical Implementation Guide). Gli STIG contengono una guida tecnica per “bloccare” i sistemi informatici e i software che potrebbero altrimenti essere vulnerabili a un attacco</w:t>
      </w:r>
      <w:r w:rsidR="007B1E53">
        <w:t>.</w:t>
      </w:r>
    </w:p>
    <w:p w14:paraId="57312AE3" w14:textId="3D9B7133" w:rsidR="007B1E53" w:rsidRDefault="007B1E53" w:rsidP="002D12BA">
      <w:r>
        <w:br/>
      </w:r>
      <w:r w:rsidRPr="007B1E53">
        <w:rPr>
          <w:b/>
          <w:bCs/>
        </w:rPr>
        <w:t>Requisiti funzionali</w:t>
      </w:r>
      <w:r w:rsidRPr="007B1E53">
        <w:rPr>
          <w:b/>
          <w:bCs/>
        </w:rPr>
        <w:br/>
      </w:r>
      <w:r>
        <w:t>Sono requisiti che definiscono che cosa dovrebbe fare il sistema. Sono più semplici rispetto a quelli non funzionali poiché:</w:t>
      </w:r>
      <w:r>
        <w:br/>
      </w:r>
      <w:r>
        <w:lastRenderedPageBreak/>
        <w:t>- Son</w:t>
      </w:r>
      <w:r w:rsidR="00624D44">
        <w:t>o</w:t>
      </w:r>
      <w:r>
        <w:t xml:space="preserve"> meno astratti e meno ambigui, per cui </w:t>
      </w:r>
      <w:r w:rsidR="00624D44">
        <w:t>normalmente non generano confusione.</w:t>
      </w:r>
      <w:r w:rsidR="00624D44">
        <w:br/>
        <w:t>- Sono più facili da misurare.</w:t>
      </w:r>
      <w:r w:rsidR="00624D44">
        <w:br/>
        <w:t>- Sono più facili da testare.</w:t>
      </w:r>
      <w:r w:rsidR="00624D44">
        <w:br/>
        <w:t>- A differenza dei requisiti non funzionali, possono essere implementati nel sistema in maniera incrementale (ovvero è possibile aggiungere sempre più funzionalità nel tempo, mentre non è possibile aggiungere servizi di sicurezza senza dover riprogettare e reimplementare tutto il sistema).</w:t>
      </w:r>
    </w:p>
    <w:p w14:paraId="0F5293D6" w14:textId="3AB98CFF" w:rsidR="00624D44" w:rsidRDefault="00624D44" w:rsidP="002D12BA">
      <w:r>
        <w:t>Le metriche orientate alle funzionalità (</w:t>
      </w:r>
      <w:r w:rsidRPr="00F72044">
        <w:rPr>
          <w:b/>
          <w:bCs/>
        </w:rPr>
        <w:t>functional software metrics</w:t>
      </w:r>
      <w:r>
        <w:t xml:space="preserve">) si concentrano sulla quantità di funzionalità offerte dal software, basandosi sul calcolo del cosiddetto </w:t>
      </w:r>
      <w:r w:rsidRPr="00F72044">
        <w:rPr>
          <w:b/>
          <w:bCs/>
        </w:rPr>
        <w:t>punto funzione</w:t>
      </w:r>
      <w:r>
        <w:t xml:space="preserve"> (FP), che è</w:t>
      </w:r>
      <w:r w:rsidR="00F72044">
        <w:t xml:space="preserve"> appunto</w:t>
      </w:r>
      <w:r>
        <w:t xml:space="preserve"> l’unità di misura che quantifica la funzionalità </w:t>
      </w:r>
      <w:r w:rsidR="00F72044">
        <w:t>aziendale fornita dal prodotto (ma non include gli sforzi relativi ai requisiti non funzionali).</w:t>
      </w:r>
    </w:p>
    <w:p w14:paraId="160848C8" w14:textId="77777777" w:rsidR="00540BF7" w:rsidRPr="00277740" w:rsidRDefault="00540BF7" w:rsidP="00540BF7">
      <w:r>
        <w:br/>
      </w:r>
      <w:r w:rsidRPr="00277740">
        <w:rPr>
          <w:b/>
          <w:bCs/>
        </w:rP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40BF7" w14:paraId="4D910779" w14:textId="77777777" w:rsidTr="006C6733">
        <w:tc>
          <w:tcPr>
            <w:tcW w:w="1838" w:type="dxa"/>
            <w:shd w:val="clear" w:color="auto" w:fill="A8D08D" w:themeFill="accent6" w:themeFillTint="99"/>
          </w:tcPr>
          <w:p w14:paraId="56DCD1A9" w14:textId="77777777" w:rsidR="00540BF7" w:rsidRPr="00277740" w:rsidRDefault="00540BF7" w:rsidP="006C6733">
            <w:pPr>
              <w:jc w:val="center"/>
              <w:rPr>
                <w:b/>
                <w:bCs/>
              </w:rPr>
            </w:pPr>
            <w:r w:rsidRPr="00277740">
              <w:rPr>
                <w:b/>
                <w:bCs/>
              </w:rPr>
              <w:t>Termine</w:t>
            </w:r>
          </w:p>
        </w:tc>
        <w:tc>
          <w:tcPr>
            <w:tcW w:w="7790" w:type="dxa"/>
            <w:shd w:val="clear" w:color="auto" w:fill="A8D08D" w:themeFill="accent6" w:themeFillTint="99"/>
          </w:tcPr>
          <w:p w14:paraId="7064294B" w14:textId="77777777" w:rsidR="00540BF7" w:rsidRPr="00277740" w:rsidRDefault="00540BF7" w:rsidP="006C6733">
            <w:pPr>
              <w:jc w:val="center"/>
              <w:rPr>
                <w:b/>
                <w:bCs/>
              </w:rPr>
            </w:pPr>
            <w:r w:rsidRPr="00277740">
              <w:rPr>
                <w:b/>
                <w:bCs/>
              </w:rPr>
              <w:t>Significato</w:t>
            </w:r>
          </w:p>
        </w:tc>
      </w:tr>
      <w:tr w:rsidR="00540BF7" w14:paraId="50AB60BE" w14:textId="77777777" w:rsidTr="006C6733">
        <w:tc>
          <w:tcPr>
            <w:tcW w:w="1838" w:type="dxa"/>
          </w:tcPr>
          <w:p w14:paraId="4FD89615" w14:textId="01CDA431" w:rsidR="00540BF7" w:rsidRDefault="00CE5BCB" w:rsidP="006C6733">
            <w:r>
              <w:t>Processo Elementare (EP)</w:t>
            </w:r>
          </w:p>
        </w:tc>
        <w:tc>
          <w:tcPr>
            <w:tcW w:w="7790" w:type="dxa"/>
          </w:tcPr>
          <w:p w14:paraId="43027766" w14:textId="567412A7" w:rsidR="00540BF7" w:rsidRDefault="00CE5BCB" w:rsidP="006C6733">
            <w:r>
              <w:t>È la più piccola unità di requisito funzionale che:</w:t>
            </w:r>
            <w:r>
              <w:br/>
              <w:t>- È significativo per l’utente.</w:t>
            </w:r>
            <w:r>
              <w:br/>
              <w:t>- Costituisce una transazione completa.</w:t>
            </w:r>
            <w:r>
              <w:br/>
              <w:t>- È autonomo e lascia l’attività dell’applicazione conteggiata in uno stato coerente.</w:t>
            </w:r>
          </w:p>
        </w:tc>
      </w:tr>
      <w:tr w:rsidR="00540BF7" w14:paraId="67F3E0C7" w14:textId="77777777" w:rsidTr="006C6733">
        <w:tc>
          <w:tcPr>
            <w:tcW w:w="1838" w:type="dxa"/>
          </w:tcPr>
          <w:p w14:paraId="59AB26F3" w14:textId="47F98112" w:rsidR="00540BF7" w:rsidRDefault="00CE5BCB" w:rsidP="006C6733">
            <w:r>
              <w:t>Funzioni dati (data functions)</w:t>
            </w:r>
          </w:p>
        </w:tc>
        <w:tc>
          <w:tcPr>
            <w:tcW w:w="7790" w:type="dxa"/>
          </w:tcPr>
          <w:p w14:paraId="16020E86" w14:textId="5A3E6A4C" w:rsidR="00540BF7" w:rsidRDefault="00CE5BCB" w:rsidP="006C6733">
            <w:r>
              <w:t>Sono costituite da risorse interne ed esterne che influiscono sul sistema, come i file logici interni (ILF) e i file di interfaccia esterna (EIF).</w:t>
            </w:r>
          </w:p>
        </w:tc>
      </w:tr>
      <w:tr w:rsidR="00540BF7" w14:paraId="51E6C97A" w14:textId="77777777" w:rsidTr="006C6733">
        <w:tc>
          <w:tcPr>
            <w:tcW w:w="1838" w:type="dxa"/>
          </w:tcPr>
          <w:p w14:paraId="120311AE" w14:textId="38EAF4B8" w:rsidR="00540BF7" w:rsidRDefault="00CE5BCB" w:rsidP="006C6733">
            <w:r>
              <w:t>Funzioni di transazione (transactional functions)</w:t>
            </w:r>
          </w:p>
        </w:tc>
        <w:tc>
          <w:tcPr>
            <w:tcW w:w="7790" w:type="dxa"/>
          </w:tcPr>
          <w:p w14:paraId="1AC9FC75" w14:textId="6DE96F09" w:rsidR="00540BF7" w:rsidRDefault="00CE5BCB" w:rsidP="006C6733">
            <w:r>
              <w:t>Sono costituite dai processi di interscambio tra l’utente, le applicazioni esterne e l’applicazione da misurare</w:t>
            </w:r>
            <w:r w:rsidR="00BC0678">
              <w:t>. Esistono tre tipologie di funzioni di transazione:</w:t>
            </w:r>
            <w:r w:rsidR="00BC0678">
              <w:br/>
              <w:t>- Input esterni (EI)</w:t>
            </w:r>
            <w:r w:rsidR="004808C5">
              <w:t>.</w:t>
            </w:r>
            <w:r w:rsidR="00BC0678">
              <w:br/>
              <w:t>- Output esterni (EO)</w:t>
            </w:r>
            <w:r w:rsidR="004808C5">
              <w:t>.</w:t>
            </w:r>
            <w:r w:rsidR="00BC0678">
              <w:br/>
              <w:t>- Richieste esterne (EQ)</w:t>
            </w:r>
            <w:r w:rsidR="004808C5">
              <w:t>.</w:t>
            </w:r>
          </w:p>
        </w:tc>
      </w:tr>
      <w:tr w:rsidR="00540BF7" w14:paraId="15C27F90" w14:textId="77777777" w:rsidTr="006C6733">
        <w:tc>
          <w:tcPr>
            <w:tcW w:w="1838" w:type="dxa"/>
          </w:tcPr>
          <w:p w14:paraId="1DCC3745" w14:textId="52CE0F40" w:rsidR="00540BF7" w:rsidRDefault="00BC0678" w:rsidP="006C6733">
            <w:r>
              <w:t>File logico interno (ILF)</w:t>
            </w:r>
          </w:p>
        </w:tc>
        <w:tc>
          <w:tcPr>
            <w:tcW w:w="7790" w:type="dxa"/>
          </w:tcPr>
          <w:p w14:paraId="3E7125C3" w14:textId="2D713B4B" w:rsidR="00540BF7" w:rsidRDefault="00BC0678" w:rsidP="006C6733">
            <w:r>
              <w:t>È un gruppo identificabile dall’utente di dati logicamente correlati che risiedono interamente all’interno del boundary dell’applicazione. Il suo intento principale è conservare i dati attraverso uno o più processi elementari dell’applicazione stessa.</w:t>
            </w:r>
          </w:p>
        </w:tc>
      </w:tr>
      <w:tr w:rsidR="00540BF7" w14:paraId="34DE82D9" w14:textId="77777777" w:rsidTr="006C6733">
        <w:tc>
          <w:tcPr>
            <w:tcW w:w="1838" w:type="dxa"/>
          </w:tcPr>
          <w:p w14:paraId="61A462FE" w14:textId="1C0AE1D2" w:rsidR="00540BF7" w:rsidRDefault="00BC0678" w:rsidP="006C6733">
            <w:r>
              <w:t>File di interfaccia esterna (EIF)</w:t>
            </w:r>
          </w:p>
        </w:tc>
        <w:tc>
          <w:tcPr>
            <w:tcW w:w="7790" w:type="dxa"/>
          </w:tcPr>
          <w:p w14:paraId="7A76A680" w14:textId="5CE5520F" w:rsidR="00540BF7" w:rsidRDefault="00A973E1" w:rsidP="006C6733">
            <w:r>
              <w:t>È un gruppo identificabile dall’utente di dati logicamente correlati che risiedono interamente al di fuori del boundary dell’applicazione (poiché mantenuti in un ILF da un’altra applicazione). Per ottenere i dati in un EIF, è necessario sviluppare un’interfaccia apposita.</w:t>
            </w:r>
          </w:p>
        </w:tc>
      </w:tr>
      <w:tr w:rsidR="00540BF7" w14:paraId="650665A2" w14:textId="77777777" w:rsidTr="006C6733">
        <w:tc>
          <w:tcPr>
            <w:tcW w:w="1838" w:type="dxa"/>
          </w:tcPr>
          <w:p w14:paraId="574E8C88" w14:textId="2FBA2D5A" w:rsidR="00540BF7" w:rsidRDefault="00A973E1" w:rsidP="006C6733">
            <w:r>
              <w:t>Input esterno (EI)</w:t>
            </w:r>
          </w:p>
        </w:tc>
        <w:tc>
          <w:tcPr>
            <w:tcW w:w="7790" w:type="dxa"/>
          </w:tcPr>
          <w:p w14:paraId="7B72251B" w14:textId="25EEEEBA" w:rsidR="00540BF7" w:rsidRDefault="002D7492" w:rsidP="006C6733">
            <w:r>
              <w:t>È una funzione transazionale in cui i dati entrano nell’applicazione a partire dall’esterno (ad esempio, a partire da una schermata di immissione dati o da un’altra applicazione).</w:t>
            </w:r>
          </w:p>
        </w:tc>
      </w:tr>
      <w:tr w:rsidR="00540BF7" w14:paraId="77B5AF48" w14:textId="77777777" w:rsidTr="006C6733">
        <w:tc>
          <w:tcPr>
            <w:tcW w:w="1838" w:type="dxa"/>
          </w:tcPr>
          <w:p w14:paraId="4175D630" w14:textId="24D9785F" w:rsidR="00540BF7" w:rsidRDefault="002D7492" w:rsidP="006C6733">
            <w:r>
              <w:t>Output esterno (EO)</w:t>
            </w:r>
          </w:p>
        </w:tc>
        <w:tc>
          <w:tcPr>
            <w:tcW w:w="7790" w:type="dxa"/>
          </w:tcPr>
          <w:p w14:paraId="60A6BD36" w14:textId="3C928211" w:rsidR="00540BF7" w:rsidRDefault="002D7492" w:rsidP="006C6733">
            <w:r>
              <w:t>È una funzione transazionale in cui i dati escono dal sistema per essere inviati all’utente oppure ad altre applicazioni.</w:t>
            </w:r>
          </w:p>
        </w:tc>
      </w:tr>
      <w:tr w:rsidR="00540BF7" w14:paraId="6CB2C041" w14:textId="77777777" w:rsidTr="006C6733">
        <w:tc>
          <w:tcPr>
            <w:tcW w:w="1838" w:type="dxa"/>
          </w:tcPr>
          <w:p w14:paraId="1012683A" w14:textId="3F2FFD24" w:rsidR="00540BF7" w:rsidRDefault="002D7492" w:rsidP="006C6733">
            <w:r>
              <w:t>Richiesta esterna (EQ)</w:t>
            </w:r>
          </w:p>
        </w:tc>
        <w:tc>
          <w:tcPr>
            <w:tcW w:w="7790" w:type="dxa"/>
          </w:tcPr>
          <w:p w14:paraId="2D353158" w14:textId="5B59FB8D" w:rsidR="00540BF7" w:rsidRDefault="002D7492" w:rsidP="006C6733">
            <w:r>
              <w:t>È una funzione transazionale con componenti di input e output che determinano il recupero dei dati. Di fatto, una richiesta può essere effettuata:</w:t>
            </w:r>
            <w:r>
              <w:br/>
              <w:t>- Da parte dell’utente verso il sistema.</w:t>
            </w:r>
            <w:r>
              <w:br/>
              <w:t>- Da parte di applicazioni esterne verso il sistema.</w:t>
            </w:r>
            <w:r>
              <w:br/>
              <w:t>- Da parte del sistema verso l’utente.</w:t>
            </w:r>
            <w:r>
              <w:br/>
              <w:t xml:space="preserve">- Da parte </w:t>
            </w:r>
            <w:r w:rsidR="004808C5">
              <w:t>del sistema verso le applicazioni esterne.</w:t>
            </w:r>
          </w:p>
        </w:tc>
      </w:tr>
      <w:tr w:rsidR="00540BF7" w14:paraId="0D62B87C" w14:textId="77777777" w:rsidTr="006C6733">
        <w:tc>
          <w:tcPr>
            <w:tcW w:w="1838" w:type="dxa"/>
          </w:tcPr>
          <w:p w14:paraId="20865BCD" w14:textId="4C54E4E6" w:rsidR="00540BF7" w:rsidRDefault="004808C5" w:rsidP="006C6733">
            <w:r>
              <w:t>Record Element Type (RET)</w:t>
            </w:r>
          </w:p>
        </w:tc>
        <w:tc>
          <w:tcPr>
            <w:tcW w:w="7790" w:type="dxa"/>
          </w:tcPr>
          <w:p w14:paraId="5D7C8763" w14:textId="1F43B848" w:rsidR="00540BF7" w:rsidRDefault="004808C5" w:rsidP="006C6733">
            <w:r>
              <w:t>È il più grande sottogruppo di elementi identificabile dall’utente all’interno di un ILF o un EIF.</w:t>
            </w:r>
          </w:p>
        </w:tc>
      </w:tr>
      <w:tr w:rsidR="00540BF7" w14:paraId="74981B56" w14:textId="77777777" w:rsidTr="006C6733">
        <w:tc>
          <w:tcPr>
            <w:tcW w:w="1838" w:type="dxa"/>
          </w:tcPr>
          <w:p w14:paraId="1F4C2685" w14:textId="3CAA9C99" w:rsidR="00540BF7" w:rsidRDefault="004808C5" w:rsidP="006C6733">
            <w:r>
              <w:t>Data Element Type (DET)</w:t>
            </w:r>
          </w:p>
        </w:tc>
        <w:tc>
          <w:tcPr>
            <w:tcW w:w="7790" w:type="dxa"/>
          </w:tcPr>
          <w:p w14:paraId="476E7C01" w14:textId="3536B940" w:rsidR="00540BF7" w:rsidRDefault="004808C5" w:rsidP="006C6733">
            <w:r>
              <w:t>È il sottogruppo di dati all’interno di un File Type Referenced. Sono univoci e identificabili dall’utente.</w:t>
            </w:r>
          </w:p>
        </w:tc>
      </w:tr>
      <w:tr w:rsidR="00540BF7" w14:paraId="7DFCF864" w14:textId="77777777" w:rsidTr="006C6733">
        <w:tc>
          <w:tcPr>
            <w:tcW w:w="1838" w:type="dxa"/>
          </w:tcPr>
          <w:p w14:paraId="0A5D9E71" w14:textId="7B028AAF" w:rsidR="00540BF7" w:rsidRDefault="004808C5" w:rsidP="006C6733">
            <w:r>
              <w:t>File Type Referenced (FTR)</w:t>
            </w:r>
          </w:p>
        </w:tc>
        <w:tc>
          <w:tcPr>
            <w:tcW w:w="7790" w:type="dxa"/>
          </w:tcPr>
          <w:p w14:paraId="171E3C53" w14:textId="7420C0C9" w:rsidR="00540BF7" w:rsidRDefault="004808C5" w:rsidP="006C6733">
            <w:r>
              <w:t xml:space="preserve">È </w:t>
            </w:r>
            <w:r w:rsidR="0076068F">
              <w:t>il più grande sottogruppo identificabile dall’utente all’interno dell’input esterno, output esterno o richiesta esterna a cui si fa riferimento.</w:t>
            </w:r>
          </w:p>
        </w:tc>
      </w:tr>
    </w:tbl>
    <w:p w14:paraId="7B62E355" w14:textId="2790E525" w:rsidR="00540BF7" w:rsidRDefault="00540BF7" w:rsidP="002D12BA"/>
    <w:p w14:paraId="7CB3754F" w14:textId="0D22340C" w:rsidR="0076068F" w:rsidRDefault="0076068F" w:rsidP="002D12BA">
      <w:r w:rsidRPr="0076068F">
        <w:rPr>
          <w:b/>
          <w:bCs/>
        </w:rPr>
        <w:lastRenderedPageBreak/>
        <w:t xml:space="preserve">Processo di conteggio dei </w:t>
      </w:r>
      <w:r>
        <w:rPr>
          <w:b/>
          <w:bCs/>
        </w:rPr>
        <w:t>FP</w:t>
      </w:r>
      <w:r w:rsidRPr="0076068F">
        <w:rPr>
          <w:b/>
          <w:bCs/>
        </w:rPr>
        <w:br/>
      </w:r>
      <w:r>
        <w:t>1) Determinare il tipo di conteggio.</w:t>
      </w:r>
      <w:r>
        <w:br/>
        <w:t>2) Determinare il limite del conteggio.</w:t>
      </w:r>
      <w:r>
        <w:br/>
        <w:t>3) Identificare ogni Processo Elementare richiesto dall’utente.</w:t>
      </w:r>
      <w:r>
        <w:br/>
        <w:t xml:space="preserve">4) </w:t>
      </w:r>
      <w:r w:rsidR="004C2243">
        <w:t>Determinare i Processi Elementari unici.</w:t>
      </w:r>
      <w:r w:rsidR="004C2243">
        <w:br/>
        <w:t>5) Misurare le data function.</w:t>
      </w:r>
      <w:r w:rsidR="004C2243">
        <w:br/>
        <w:t>6) Misurare le transactional function.</w:t>
      </w:r>
      <w:r w:rsidR="004C2243">
        <w:br/>
        <w:t>7) Calcolare la dimensione funzionale (conteggio dei punti funzione non aggiustato).</w:t>
      </w:r>
      <w:r w:rsidR="004C2243">
        <w:br/>
      </w:r>
      <w:r w:rsidR="004C2243" w:rsidRPr="00631C5F">
        <w:rPr>
          <w:color w:val="808080" w:themeColor="background1" w:themeShade="80"/>
        </w:rPr>
        <w:t>8) Determinare il fattore di aggiustamento del valore (VAF).</w:t>
      </w:r>
      <w:r w:rsidR="004C2243" w:rsidRPr="00631C5F">
        <w:rPr>
          <w:color w:val="808080" w:themeColor="background1" w:themeShade="80"/>
        </w:rPr>
        <w:br/>
        <w:t>9) Calcolare il conteggio dei punti funzione aggiustato.</w:t>
      </w:r>
    </w:p>
    <w:p w14:paraId="7433681A" w14:textId="36C2B806" w:rsidR="00CF5FEF" w:rsidRDefault="004C2243" w:rsidP="002D12BA">
      <w:r w:rsidRPr="004C2243">
        <w:rPr>
          <w:u w:val="single"/>
        </w:rPr>
        <w:t>NB</w:t>
      </w:r>
      <w:r>
        <w:t>: I passaggi 8 e 9 di questo algoritmo sono facoltativi.</w:t>
      </w:r>
    </w:p>
    <w:p w14:paraId="671AA0B5" w14:textId="77777777" w:rsidR="00CF5FEF" w:rsidRDefault="00CF5FEF">
      <w:r>
        <w:br w:type="page"/>
      </w:r>
    </w:p>
    <w:p w14:paraId="03943A7E" w14:textId="30B78421" w:rsidR="00CF5FEF" w:rsidRPr="00020687" w:rsidRDefault="00CF5FEF" w:rsidP="00CF5F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APPLICARE </w:t>
      </w:r>
      <w:r w:rsidR="00523512">
        <w:rPr>
          <w:b/>
          <w:bCs/>
          <w:sz w:val="28"/>
          <w:szCs w:val="28"/>
        </w:rPr>
        <w:t>FP AL SOFTWARE DOCUMENTATO CON UML</w:t>
      </w:r>
    </w:p>
    <w:p w14:paraId="25FD31F0" w14:textId="18B27EA5" w:rsidR="003A2D84" w:rsidRDefault="0023283A" w:rsidP="00CF5FEF">
      <w:pPr>
        <w:rPr>
          <w:b/>
          <w:bCs/>
        </w:rPr>
      </w:pPr>
      <w:r>
        <w:rPr>
          <w:b/>
          <w:bCs/>
        </w:rPr>
        <w:t xml:space="preserve">Regole </w:t>
      </w:r>
      <w:r w:rsidR="003A2D84">
        <w:rPr>
          <w:b/>
          <w:bCs/>
        </w:rPr>
        <w:t>principali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6415F9" w:rsidRPr="0074514D" w14:paraId="1106BB46" w14:textId="77777777" w:rsidTr="00F839A5">
        <w:tc>
          <w:tcPr>
            <w:tcW w:w="2547" w:type="dxa"/>
            <w:shd w:val="clear" w:color="auto" w:fill="FFD966" w:themeFill="accent4" w:themeFillTint="99"/>
          </w:tcPr>
          <w:p w14:paraId="2EBE9C3F" w14:textId="77777777" w:rsidR="006415F9" w:rsidRPr="0074514D" w:rsidRDefault="006415F9" w:rsidP="00F83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7081" w:type="dxa"/>
            <w:shd w:val="clear" w:color="auto" w:fill="FFD966" w:themeFill="accent4" w:themeFillTint="99"/>
          </w:tcPr>
          <w:p w14:paraId="617CEFC1" w14:textId="77777777" w:rsidR="006415F9" w:rsidRPr="0074514D" w:rsidRDefault="006415F9" w:rsidP="00F83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Calcolo da effettuare</w:t>
            </w:r>
          </w:p>
        </w:tc>
      </w:tr>
      <w:tr w:rsidR="006415F9" w14:paraId="3A70553C" w14:textId="77777777" w:rsidTr="00F839A5">
        <w:tc>
          <w:tcPr>
            <w:tcW w:w="2547" w:type="dxa"/>
          </w:tcPr>
          <w:p w14:paraId="4A4B1F15" w14:textId="77777777" w:rsidR="006415F9" w:rsidRPr="006F2C9A" w:rsidRDefault="006415F9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Attore umano</w:t>
            </w:r>
          </w:p>
        </w:tc>
        <w:tc>
          <w:tcPr>
            <w:tcW w:w="7081" w:type="dxa"/>
          </w:tcPr>
          <w:p w14:paraId="3EF43A60" w14:textId="77777777" w:rsidR="006415F9" w:rsidRPr="006F2C9A" w:rsidRDefault="006415F9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È sorgente / destinazione di funzioni transazionali.</w:t>
            </w:r>
          </w:p>
        </w:tc>
      </w:tr>
      <w:tr w:rsidR="006415F9" w14:paraId="4BA1FED1" w14:textId="77777777" w:rsidTr="00F839A5">
        <w:tc>
          <w:tcPr>
            <w:tcW w:w="2547" w:type="dxa"/>
          </w:tcPr>
          <w:p w14:paraId="0282A8E8" w14:textId="77777777" w:rsidR="006415F9" w:rsidRPr="006F2C9A" w:rsidRDefault="006415F9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Attore non umano</w:t>
            </w:r>
          </w:p>
        </w:tc>
        <w:tc>
          <w:tcPr>
            <w:tcW w:w="7081" w:type="dxa"/>
          </w:tcPr>
          <w:p w14:paraId="6996720B" w14:textId="77777777" w:rsidR="006415F9" w:rsidRPr="006F2C9A" w:rsidRDefault="006415F9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È sorgente / destinazione di funzioni transazionali.</w:t>
            </w:r>
          </w:p>
        </w:tc>
      </w:tr>
      <w:tr w:rsidR="006415F9" w14:paraId="6C50B1FC" w14:textId="77777777" w:rsidTr="00F839A5">
        <w:tc>
          <w:tcPr>
            <w:tcW w:w="2547" w:type="dxa"/>
          </w:tcPr>
          <w:p w14:paraId="20B97B35" w14:textId="77777777" w:rsidR="006415F9" w:rsidRPr="006F2C9A" w:rsidRDefault="006415F9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Altro tipo di attore (e.g. stampante, timer)</w:t>
            </w:r>
          </w:p>
        </w:tc>
        <w:tc>
          <w:tcPr>
            <w:tcW w:w="7081" w:type="dxa"/>
          </w:tcPr>
          <w:p w14:paraId="06B86D95" w14:textId="77777777" w:rsidR="006415F9" w:rsidRPr="006F2C9A" w:rsidRDefault="006415F9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Deve essere scartato dall’analisi dei function point.</w:t>
            </w:r>
          </w:p>
        </w:tc>
      </w:tr>
      <w:tr w:rsidR="006415F9" w14:paraId="1228E57D" w14:textId="77777777" w:rsidTr="00F839A5">
        <w:tc>
          <w:tcPr>
            <w:tcW w:w="2547" w:type="dxa"/>
          </w:tcPr>
          <w:p w14:paraId="6EC90DF9" w14:textId="77777777" w:rsidR="006415F9" w:rsidRPr="006F2C9A" w:rsidRDefault="006415F9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Associazione tra caso d’uso e attore</w:t>
            </w:r>
          </w:p>
        </w:tc>
        <w:tc>
          <w:tcPr>
            <w:tcW w:w="7081" w:type="dxa"/>
          </w:tcPr>
          <w:p w14:paraId="322A0C5C" w14:textId="77777777" w:rsidR="006415F9" w:rsidRPr="006F2C9A" w:rsidRDefault="006415F9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È candidato per alcune funzioni transazionali (e.g. EI, EO, EQ).</w:t>
            </w:r>
          </w:p>
        </w:tc>
      </w:tr>
      <w:tr w:rsidR="006415F9" w14:paraId="5213CA28" w14:textId="77777777" w:rsidTr="00F839A5">
        <w:tc>
          <w:tcPr>
            <w:tcW w:w="2547" w:type="dxa"/>
          </w:tcPr>
          <w:p w14:paraId="45F8AB80" w14:textId="77777777" w:rsidR="006415F9" w:rsidRPr="006F2C9A" w:rsidRDefault="006415F9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Caso d’uso di estensione o di inclusione</w:t>
            </w:r>
          </w:p>
        </w:tc>
        <w:tc>
          <w:tcPr>
            <w:tcW w:w="7081" w:type="dxa"/>
          </w:tcPr>
          <w:p w14:paraId="6FD82517" w14:textId="77777777" w:rsidR="006415F9" w:rsidRPr="006F2C9A" w:rsidRDefault="006415F9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È candidato per alcune funzioni transazionali (e.g. EI, EO, EQ).</w:t>
            </w:r>
          </w:p>
        </w:tc>
      </w:tr>
      <w:tr w:rsidR="006415F9" w14:paraId="5F2730A7" w14:textId="77777777" w:rsidTr="00F839A5">
        <w:tc>
          <w:tcPr>
            <w:tcW w:w="2547" w:type="dxa"/>
          </w:tcPr>
          <w:p w14:paraId="5C3F4276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Classe Entity</w:t>
            </w:r>
          </w:p>
        </w:tc>
        <w:tc>
          <w:tcPr>
            <w:tcW w:w="7081" w:type="dxa"/>
          </w:tcPr>
          <w:p w14:paraId="01E59238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È candidata per ILF o EIF.</w:t>
            </w:r>
          </w:p>
        </w:tc>
      </w:tr>
      <w:tr w:rsidR="006415F9" w14:paraId="0CEB754D" w14:textId="77777777" w:rsidTr="00F839A5">
        <w:tc>
          <w:tcPr>
            <w:tcW w:w="2547" w:type="dxa"/>
          </w:tcPr>
          <w:p w14:paraId="7D826D5A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Classe non Entity</w:t>
            </w:r>
          </w:p>
        </w:tc>
        <w:tc>
          <w:tcPr>
            <w:tcW w:w="7081" w:type="dxa"/>
          </w:tcPr>
          <w:p w14:paraId="0FAA221D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Viene sempre scartata (per cui non rientra nei casi esposti dopo).</w:t>
            </w:r>
          </w:p>
        </w:tc>
      </w:tr>
      <w:tr w:rsidR="006415F9" w14:paraId="57C17B06" w14:textId="77777777" w:rsidTr="00F839A5">
        <w:tc>
          <w:tcPr>
            <w:tcW w:w="2547" w:type="dxa"/>
          </w:tcPr>
          <w:p w14:paraId="3FFFB861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Classe astratta</w:t>
            </w:r>
          </w:p>
        </w:tc>
        <w:tc>
          <w:tcPr>
            <w:tcW w:w="7081" w:type="dxa"/>
          </w:tcPr>
          <w:p w14:paraId="50513DED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Ciascuna classe discendente nella gerarchia di generalizzazione corrisponde a 1 RET.</w:t>
            </w:r>
          </w:p>
        </w:tc>
      </w:tr>
      <w:tr w:rsidR="006415F9" w14:paraId="29CA8E0D" w14:textId="77777777" w:rsidTr="00F839A5">
        <w:tc>
          <w:tcPr>
            <w:tcW w:w="2547" w:type="dxa"/>
          </w:tcPr>
          <w:p w14:paraId="34996B6C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Attributo semplice</w:t>
            </w:r>
          </w:p>
        </w:tc>
        <w:tc>
          <w:tcPr>
            <w:tcW w:w="7081" w:type="dxa"/>
          </w:tcPr>
          <w:p w14:paraId="7CBAEAB1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Corrisponde a 1 DET.</w:t>
            </w:r>
          </w:p>
        </w:tc>
      </w:tr>
      <w:tr w:rsidR="006415F9" w14:paraId="526F4704" w14:textId="77777777" w:rsidTr="00F839A5">
        <w:tc>
          <w:tcPr>
            <w:tcW w:w="2547" w:type="dxa"/>
          </w:tcPr>
          <w:p w14:paraId="5AB8450A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Attributo complesso</w:t>
            </w:r>
          </w:p>
        </w:tc>
        <w:tc>
          <w:tcPr>
            <w:tcW w:w="7081" w:type="dxa"/>
          </w:tcPr>
          <w:p w14:paraId="6A3D72F0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Corrisponde a 1 RET.</w:t>
            </w:r>
          </w:p>
        </w:tc>
      </w:tr>
      <w:tr w:rsidR="006415F9" w14:paraId="62EDFB2D" w14:textId="77777777" w:rsidTr="00F839A5">
        <w:tc>
          <w:tcPr>
            <w:tcW w:w="2547" w:type="dxa"/>
          </w:tcPr>
          <w:p w14:paraId="12043887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Associazione con molteplicità max &gt; 1</w:t>
            </w:r>
          </w:p>
        </w:tc>
        <w:tc>
          <w:tcPr>
            <w:tcW w:w="7081" w:type="dxa"/>
          </w:tcPr>
          <w:p w14:paraId="46F93EE0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Aumenta la complessità di 1 RET.</w:t>
            </w:r>
          </w:p>
        </w:tc>
      </w:tr>
      <w:tr w:rsidR="006415F9" w14:paraId="444094A4" w14:textId="77777777" w:rsidTr="00F839A5">
        <w:tc>
          <w:tcPr>
            <w:tcW w:w="2547" w:type="dxa"/>
          </w:tcPr>
          <w:p w14:paraId="5EC9EB73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Ereditarietà multipla</w:t>
            </w:r>
          </w:p>
        </w:tc>
        <w:tc>
          <w:tcPr>
            <w:tcW w:w="7081" w:type="dxa"/>
          </w:tcPr>
          <w:p w14:paraId="035A8F85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Ciascuna superclasse di una particolare classe corrisponde a 1 RET.</w:t>
            </w:r>
          </w:p>
        </w:tc>
      </w:tr>
      <w:tr w:rsidR="006415F9" w14:paraId="40671B3C" w14:textId="77777777" w:rsidTr="00F839A5">
        <w:tc>
          <w:tcPr>
            <w:tcW w:w="2547" w:type="dxa"/>
          </w:tcPr>
          <w:p w14:paraId="7C9341AC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Gerarchia di classi</w:t>
            </w:r>
          </w:p>
        </w:tc>
        <w:tc>
          <w:tcPr>
            <w:tcW w:w="7081" w:type="dxa"/>
          </w:tcPr>
          <w:p w14:paraId="384B6B7B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Ciascuna sottoclasse corrisponde a 1 RET.</w:t>
            </w:r>
          </w:p>
        </w:tc>
      </w:tr>
      <w:tr w:rsidR="006415F9" w14:paraId="6DA04FF6" w14:textId="77777777" w:rsidTr="00F839A5">
        <w:tc>
          <w:tcPr>
            <w:tcW w:w="2547" w:type="dxa"/>
          </w:tcPr>
          <w:p w14:paraId="4E8CA68F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Aggregazione</w:t>
            </w:r>
          </w:p>
        </w:tc>
        <w:tc>
          <w:tcPr>
            <w:tcW w:w="7081" w:type="dxa"/>
          </w:tcPr>
          <w:p w14:paraId="04DEAD05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Aumenta la complessità di 1 RET.</w:t>
            </w:r>
          </w:p>
        </w:tc>
      </w:tr>
      <w:tr w:rsidR="006415F9" w14:paraId="3D588ADF" w14:textId="77777777" w:rsidTr="00F839A5">
        <w:tc>
          <w:tcPr>
            <w:tcW w:w="2547" w:type="dxa"/>
          </w:tcPr>
          <w:p w14:paraId="3A288495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Dipendenza tra classi</w:t>
            </w:r>
          </w:p>
        </w:tc>
        <w:tc>
          <w:tcPr>
            <w:tcW w:w="7081" w:type="dxa"/>
          </w:tcPr>
          <w:p w14:paraId="3F73177A" w14:textId="77777777" w:rsidR="006415F9" w:rsidRPr="006F2C9A" w:rsidRDefault="006415F9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Non ha impatto nel conteggio dei function point.</w:t>
            </w:r>
          </w:p>
        </w:tc>
      </w:tr>
      <w:tr w:rsidR="006415F9" w14:paraId="1B080A82" w14:textId="77777777" w:rsidTr="00F839A5">
        <w:tc>
          <w:tcPr>
            <w:tcW w:w="2547" w:type="dxa"/>
          </w:tcPr>
          <w:p w14:paraId="08D467E7" w14:textId="77777777" w:rsidR="006415F9" w:rsidRPr="0050422B" w:rsidRDefault="006415F9" w:rsidP="00F839A5">
            <w:pPr>
              <w:rPr>
                <w:color w:val="00B050"/>
              </w:rPr>
            </w:pPr>
            <w:r w:rsidRPr="0050422B">
              <w:rPr>
                <w:color w:val="00B050"/>
              </w:rPr>
              <w:t>External Input Pattern</w:t>
            </w:r>
          </w:p>
        </w:tc>
        <w:tc>
          <w:tcPr>
            <w:tcW w:w="7081" w:type="dxa"/>
          </w:tcPr>
          <w:p w14:paraId="57A2C90E" w14:textId="476232A4" w:rsidR="006415F9" w:rsidRPr="002647A1" w:rsidRDefault="00AC29F5" w:rsidP="00F839A5">
            <w:pPr>
              <w:rPr>
                <w:color w:val="00B050"/>
              </w:rPr>
            </w:pPr>
            <w:r w:rsidRPr="002647A1">
              <w:rPr>
                <w:color w:val="00B050"/>
              </w:rPr>
              <w:t>S</w:t>
            </w:r>
            <w:r w:rsidRPr="002647A1">
              <w:rPr>
                <w:color w:val="00B050"/>
              </w:rPr>
              <w:t>e tutti i messaggi di scrittura rivolti verso la Entity (= Entity Writing Message Sequence – EWMS) hanno argomenti, viene conteggiata una funzione transazionale EI.</w:t>
            </w:r>
          </w:p>
        </w:tc>
      </w:tr>
      <w:tr w:rsidR="006415F9" w14:paraId="3D4AED84" w14:textId="77777777" w:rsidTr="00F839A5">
        <w:tc>
          <w:tcPr>
            <w:tcW w:w="2547" w:type="dxa"/>
          </w:tcPr>
          <w:p w14:paraId="1E87F0B3" w14:textId="77777777" w:rsidR="006415F9" w:rsidRPr="0050422B" w:rsidRDefault="006415F9" w:rsidP="00F839A5">
            <w:pPr>
              <w:rPr>
                <w:color w:val="00B050"/>
              </w:rPr>
            </w:pPr>
            <w:r w:rsidRPr="0050422B">
              <w:rPr>
                <w:color w:val="00B050"/>
              </w:rPr>
              <w:t>External Output Pattern</w:t>
            </w:r>
          </w:p>
        </w:tc>
        <w:tc>
          <w:tcPr>
            <w:tcW w:w="7081" w:type="dxa"/>
          </w:tcPr>
          <w:p w14:paraId="6029C3D7" w14:textId="373B4050" w:rsidR="006415F9" w:rsidRPr="002647A1" w:rsidRDefault="005749E0" w:rsidP="00F839A5">
            <w:pPr>
              <w:rPr>
                <w:color w:val="00B050"/>
              </w:rPr>
            </w:pPr>
            <w:r w:rsidRPr="002647A1">
              <w:rPr>
                <w:color w:val="00B050"/>
              </w:rPr>
              <w:t>S</w:t>
            </w:r>
            <w:r w:rsidRPr="002647A1">
              <w:rPr>
                <w:color w:val="00B050"/>
              </w:rPr>
              <w:t>e i messaggi rivolti verso l’attore contengono tutti gli attributi recuperati mediant</w:t>
            </w:r>
            <w:r w:rsidR="001F459B" w:rsidRPr="002647A1">
              <w:rPr>
                <w:color w:val="00B050"/>
              </w:rPr>
              <w:t>e</w:t>
            </w:r>
            <w:r w:rsidRPr="002647A1">
              <w:rPr>
                <w:color w:val="00B050"/>
              </w:rPr>
              <w:t xml:space="preserve"> i messaggi di lettura rivolti verso la Entity (= Entity Reading Message Sequence – ERMS), viene conteggiata una funzione transazionale EQ. Se invece ne contengono alcuni ma non tutti, viene conteggiata una funzione transazionale EO.</w:t>
            </w:r>
          </w:p>
        </w:tc>
      </w:tr>
      <w:tr w:rsidR="006415F9" w14:paraId="2F45F4D9" w14:textId="77777777" w:rsidTr="00F839A5">
        <w:tc>
          <w:tcPr>
            <w:tcW w:w="2547" w:type="dxa"/>
          </w:tcPr>
          <w:p w14:paraId="7E86B5B2" w14:textId="77777777" w:rsidR="006415F9" w:rsidRPr="0050422B" w:rsidRDefault="006415F9" w:rsidP="00F839A5">
            <w:pPr>
              <w:rPr>
                <w:color w:val="00B050"/>
              </w:rPr>
            </w:pPr>
            <w:r w:rsidRPr="0050422B">
              <w:rPr>
                <w:color w:val="00B050"/>
              </w:rPr>
              <w:t>External Input Pattern + External Output Pattern</w:t>
            </w:r>
          </w:p>
        </w:tc>
        <w:tc>
          <w:tcPr>
            <w:tcW w:w="7081" w:type="dxa"/>
          </w:tcPr>
          <w:p w14:paraId="10F55837" w14:textId="77777777" w:rsidR="006415F9" w:rsidRPr="0050422B" w:rsidRDefault="006415F9" w:rsidP="00F839A5">
            <w:pPr>
              <w:rPr>
                <w:color w:val="00B050"/>
              </w:rPr>
            </w:pPr>
            <w:r w:rsidRPr="0050422B">
              <w:rPr>
                <w:color w:val="00B050"/>
              </w:rPr>
              <w:t>Il numero di argomenti del messaggio che sono attributi di oggetti Entity corrisponde al conteggio dei DET; d’altra parte, il numero di oggetti Entity che partecipano allo scambio di messaggi corrisponde al conteggio dei FTR.</w:t>
            </w:r>
          </w:p>
        </w:tc>
      </w:tr>
    </w:tbl>
    <w:p w14:paraId="132369BA" w14:textId="6D63D739" w:rsidR="006E0D59" w:rsidRPr="003605A4" w:rsidRDefault="006E0D59" w:rsidP="00CF5FEF">
      <w:pPr>
        <w:rPr>
          <w:color w:val="00B050"/>
          <w:sz w:val="18"/>
          <w:szCs w:val="18"/>
        </w:rPr>
      </w:pPr>
      <w:r w:rsidRPr="003605A4">
        <w:rPr>
          <w:color w:val="FF0000"/>
          <w:sz w:val="18"/>
          <w:szCs w:val="18"/>
        </w:rPr>
        <w:t>Rosso  = use case diagram</w:t>
      </w:r>
      <w:r w:rsidRPr="003605A4">
        <w:rPr>
          <w:sz w:val="18"/>
          <w:szCs w:val="18"/>
        </w:rPr>
        <w:br/>
      </w:r>
      <w:r w:rsidRPr="003605A4">
        <w:rPr>
          <w:color w:val="0070C0"/>
          <w:sz w:val="18"/>
          <w:szCs w:val="18"/>
        </w:rPr>
        <w:t>Blu = class diagram</w:t>
      </w:r>
      <w:r w:rsidRPr="003605A4">
        <w:rPr>
          <w:sz w:val="18"/>
          <w:szCs w:val="18"/>
        </w:rPr>
        <w:br/>
      </w:r>
      <w:r w:rsidRPr="003605A4">
        <w:rPr>
          <w:color w:val="00B050"/>
          <w:sz w:val="18"/>
          <w:szCs w:val="18"/>
        </w:rPr>
        <w:t>Verde = sequence diagram</w:t>
      </w:r>
    </w:p>
    <w:p w14:paraId="725E9A68" w14:textId="6DA950B8" w:rsidR="006E0D59" w:rsidRDefault="002B5E5B" w:rsidP="00CF5FEF">
      <w:r w:rsidRPr="00F41BFC">
        <w:rPr>
          <w:u w:val="single"/>
        </w:rPr>
        <w:t>External Input Pattern:</w:t>
      </w:r>
      <w:r>
        <w:br/>
      </w:r>
      <w:r w:rsidR="00391E20">
        <w:rPr>
          <w:noProof/>
        </w:rPr>
        <w:drawing>
          <wp:inline distT="0" distB="0" distL="0" distR="0" wp14:anchorId="53B29650" wp14:editId="04312D73">
            <wp:extent cx="5142864" cy="2095500"/>
            <wp:effectExtent l="0" t="0" r="127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664" cy="20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88AD" w14:textId="5C1E018F" w:rsidR="00391E20" w:rsidRDefault="00391E20" w:rsidP="00CF5FEF">
      <w:r w:rsidRPr="00F41BFC">
        <w:rPr>
          <w:u w:val="single"/>
        </w:rPr>
        <w:lastRenderedPageBreak/>
        <w:t>External Output Pattern:</w:t>
      </w:r>
      <w:r>
        <w:br/>
      </w:r>
      <w:r w:rsidR="00BA1702">
        <w:rPr>
          <w:noProof/>
        </w:rPr>
        <w:drawing>
          <wp:inline distT="0" distB="0" distL="0" distR="0" wp14:anchorId="682B599E" wp14:editId="5F180D04">
            <wp:extent cx="5381625" cy="25431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80" cy="25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A2B2" w14:textId="6B4BB203" w:rsidR="00BA1702" w:rsidRPr="006E0D59" w:rsidRDefault="00AB4AF1" w:rsidP="00CF5FEF">
      <w:r w:rsidRPr="00F41BFC">
        <w:rPr>
          <w:u w:val="single"/>
        </w:rPr>
        <w:t>Composed Pattern:</w:t>
      </w:r>
      <w:r>
        <w:br/>
      </w:r>
      <w:r w:rsidR="000B2ECB">
        <w:rPr>
          <w:noProof/>
        </w:rPr>
        <w:drawing>
          <wp:inline distT="0" distB="0" distL="0" distR="0" wp14:anchorId="51F903F7" wp14:editId="77511AE2">
            <wp:extent cx="4876800" cy="23241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91" cy="232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702" w:rsidRPr="006E0D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N7CwNDI0NTQ3MjFR0lEKTi0uzszPAykwqgUAYUNUMiwAAAA="/>
  </w:docVars>
  <w:rsids>
    <w:rsidRoot w:val="00FC4E5C"/>
    <w:rsid w:val="000056BC"/>
    <w:rsid w:val="00020687"/>
    <w:rsid w:val="00070017"/>
    <w:rsid w:val="000A5173"/>
    <w:rsid w:val="000B2ECB"/>
    <w:rsid w:val="000F2797"/>
    <w:rsid w:val="001045AB"/>
    <w:rsid w:val="001100A1"/>
    <w:rsid w:val="001671E1"/>
    <w:rsid w:val="001B082A"/>
    <w:rsid w:val="001F459B"/>
    <w:rsid w:val="0023283A"/>
    <w:rsid w:val="002647A1"/>
    <w:rsid w:val="00277740"/>
    <w:rsid w:val="002A160F"/>
    <w:rsid w:val="002B5E5B"/>
    <w:rsid w:val="002D12BA"/>
    <w:rsid w:val="002D7492"/>
    <w:rsid w:val="003605A4"/>
    <w:rsid w:val="00391E20"/>
    <w:rsid w:val="003A2D84"/>
    <w:rsid w:val="00425EA7"/>
    <w:rsid w:val="00440E10"/>
    <w:rsid w:val="004673BC"/>
    <w:rsid w:val="0047595F"/>
    <w:rsid w:val="004808C5"/>
    <w:rsid w:val="004824FF"/>
    <w:rsid w:val="00495DB3"/>
    <w:rsid w:val="004C2243"/>
    <w:rsid w:val="004E2957"/>
    <w:rsid w:val="004E3ED5"/>
    <w:rsid w:val="00523512"/>
    <w:rsid w:val="00540BF7"/>
    <w:rsid w:val="00552BE0"/>
    <w:rsid w:val="00561F99"/>
    <w:rsid w:val="0056679D"/>
    <w:rsid w:val="005749E0"/>
    <w:rsid w:val="005A2D46"/>
    <w:rsid w:val="005B1A72"/>
    <w:rsid w:val="005F1869"/>
    <w:rsid w:val="00621338"/>
    <w:rsid w:val="00624D44"/>
    <w:rsid w:val="00631C5F"/>
    <w:rsid w:val="006415F9"/>
    <w:rsid w:val="00666815"/>
    <w:rsid w:val="006A3879"/>
    <w:rsid w:val="006C1C89"/>
    <w:rsid w:val="006D3C89"/>
    <w:rsid w:val="006E0D59"/>
    <w:rsid w:val="00734A32"/>
    <w:rsid w:val="00742789"/>
    <w:rsid w:val="0074514D"/>
    <w:rsid w:val="0076068F"/>
    <w:rsid w:val="007757B8"/>
    <w:rsid w:val="007B1E53"/>
    <w:rsid w:val="0083464A"/>
    <w:rsid w:val="008421FD"/>
    <w:rsid w:val="00853925"/>
    <w:rsid w:val="008B1D95"/>
    <w:rsid w:val="008E3CA7"/>
    <w:rsid w:val="00914A5A"/>
    <w:rsid w:val="00975EE7"/>
    <w:rsid w:val="00A437F5"/>
    <w:rsid w:val="00A603D3"/>
    <w:rsid w:val="00A973E1"/>
    <w:rsid w:val="00AB4AF1"/>
    <w:rsid w:val="00AC29F5"/>
    <w:rsid w:val="00B217FE"/>
    <w:rsid w:val="00BA1702"/>
    <w:rsid w:val="00BC0678"/>
    <w:rsid w:val="00C32B57"/>
    <w:rsid w:val="00C351D9"/>
    <w:rsid w:val="00CE5BCB"/>
    <w:rsid w:val="00CE7F3A"/>
    <w:rsid w:val="00CF5FEF"/>
    <w:rsid w:val="00D0346F"/>
    <w:rsid w:val="00D36DB0"/>
    <w:rsid w:val="00D75BF4"/>
    <w:rsid w:val="00DC177D"/>
    <w:rsid w:val="00E0471B"/>
    <w:rsid w:val="00E47E67"/>
    <w:rsid w:val="00E86B44"/>
    <w:rsid w:val="00E95538"/>
    <w:rsid w:val="00EE4504"/>
    <w:rsid w:val="00F254C7"/>
    <w:rsid w:val="00F41BFC"/>
    <w:rsid w:val="00F503C9"/>
    <w:rsid w:val="00F72044"/>
    <w:rsid w:val="00FC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F9F8"/>
  <w15:chartTrackingRefBased/>
  <w15:docId w15:val="{139E9C05-E18D-4ECA-A702-8CA753B8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4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10</Pages>
  <Words>2769</Words>
  <Characters>15785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32</cp:revision>
  <dcterms:created xsi:type="dcterms:W3CDTF">2022-03-12T15:01:00Z</dcterms:created>
  <dcterms:modified xsi:type="dcterms:W3CDTF">2022-06-19T19:35:00Z</dcterms:modified>
</cp:coreProperties>
</file>