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1"/>
          <w:numId w:val="1"/>
        </w:numPr>
        <w:spacing w:after="119"/>
        <w:rPr>
          <w:sz w:val="28"/>
          <w:szCs w:val="28"/>
        </w:rPr>
      </w:pPr>
      <w:bookmarkStart w:id="0" w:name="_Toc141103780"/>
      <w:bookmarkStart w:id="1" w:name="_Semplice_attacco_al_protocollo_attraver"/>
      <w:r>
        <w:rPr>
          <w:sz w:val="28"/>
          <w:szCs w:val="28"/>
        </w:rPr>
        <w:t>Semplice attacco al protocollo attraverso MITM</w:t>
      </w:r>
      <w:bookmarkEnd w:id="0"/>
    </w:p>
    <w:bookmarkEnd w:id="1"/>
    <w:p>
      <w:r>
        <w:t>In questa sezione riportiamo un primo esempio di attacco al protocollo di provisioning. L’attacco è stato eseguito utilizzando un telefono Pixel 6 su cui è stato preventivamente eseguito il rooting, che ha permesso di manipolare la directory in cui sono memorizzati i certificati delle autorità di certificazione attendibili.</w:t>
      </w:r>
    </w:p>
    <w:p>
      <w:pPr>
        <w:keepNext/>
        <w:jc w:val="center"/>
      </w:pPr>
      <w:r>
        <w:drawing>
          <wp:inline distT="0" distB="0" distL="0" distR="0">
            <wp:extent cx="5759450" cy="1767840"/>
            <wp:effectExtent l="0" t="0" r="6350" b="10160"/>
            <wp:docPr id="356383171" name="Picture 1" descr="A computer with a polar prox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83171" name="Picture 1" descr="A computer with a polar proxy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16</w:t>
      </w:r>
      <w:r>
        <w:fldChar w:fldCharType="end"/>
      </w:r>
      <w:r>
        <w:t xml:space="preserve"> </w:t>
      </w:r>
      <w:r>
        <w:rPr>
          <w:i w:val="0"/>
          <w:iCs w:val="0"/>
        </w:rPr>
        <w:t>Cattura di una sessione di provisioning.</w:t>
      </w:r>
    </w:p>
    <w:p>
      <w:pPr>
        <w:pStyle w:val="5"/>
        <w:spacing w:after="0" w:line="288" w:lineRule="auto"/>
      </w:pPr>
      <w:r>
        <w:t xml:space="preserve">La sessione di provisioning di una eSIM Very Mobile è stata eseguita collegando lo smartphone ad un Access Point Wi-Fi creato con hostapd su un portatile Linux. Su quest’ultimo è stato utilizzato il tool iptables per intercettare tutto il traffico TCP indirizzato alla porta 443 e inviarlo al tool PolarProxy </w:t>
      </w:r>
      <w:r>
        <w:fldChar w:fldCharType="begin"/>
      </w:r>
      <w:r>
        <w:instrText xml:space="preserve"> REF _Ref140999229 \r \h  \* MERGEFORMAT </w:instrText>
      </w:r>
      <w:r>
        <w:fldChar w:fldCharType="separate"/>
      </w:r>
      <w:r>
        <w:t>[11]</w:t>
      </w:r>
      <w:r>
        <w:fldChar w:fldCharType="end"/>
      </w:r>
      <w:r>
        <w:t>, un proxy TLS locale eseguito sul portatile stesso. Questo tool si è poi collegato al server SM-DP+ il cui indirizzo era contenuto nel campo destination IP address dei pacchetti intercettati dal kernel del portatile. Ciò ha permesso di creare due sessioni TLS distinte: una a sinistra nella figura tra il Pixel 6 e PolarProxy, l’altra a destra tra PolarProxy e il server SM-DP+. Nel mezzo il tool di proxy è stato in grado di decrittare il traffico ricevuto da un end-point e ricriptarlo verso l’altro end-point, salvando il traffico decriptato nelle due direzioni su tracce pcap locali. Chiaramente il traffico salvato non contiene il profilo in chiaro ma i pacchetti della run di autenticazione tra l’eUICC e il server SM-DP+.</w:t>
      </w:r>
    </w:p>
    <w:p>
      <w:pPr>
        <w:pStyle w:val="5"/>
        <w:spacing w:after="0" w:line="288" w:lineRule="auto"/>
        <w:rPr>
          <w:bCs/>
        </w:rPr>
      </w:pPr>
      <w:r>
        <w:rPr>
          <w:bCs/>
        </w:rPr>
        <w:t>Interessante notare che l’app di provisioning ha “accettato” di collegarsi ad un server TLS il cui certificato non è firmato da alcuna CA riconducibile a GMSA in quanto generato dal tool PolarProxy. Altro punto interessante: si è ripetuto l’attacco contro uno smartphone Apple (un iPhone 12 Pro) ottenendo la stessa traccia di traffico pcap. Si conferma che l’intero procedimento ha portato al provisioning del profilo e all’attivazione della eSIM ricaricabile: il Pixel 6 si è infatti collegato alla rete dati dell’operatore.</w:t>
      </w:r>
    </w:p>
    <w:p>
      <w:pPr>
        <w:pStyle w:val="5"/>
        <w:spacing w:after="0" w:line="288" w:lineRule="auto"/>
        <w:rPr>
          <w:bCs/>
        </w:rPr>
      </w:pPr>
      <w:r>
        <w:rPr>
          <w:bCs/>
        </w:rPr>
        <w:t>Si riporta nel seguito il dissezionamento della traccia pcap.</w:t>
      </w:r>
    </w:p>
    <w:p>
      <w:pPr>
        <w:pStyle w:val="5"/>
        <w:spacing w:after="0" w:line="288" w:lineRule="auto"/>
        <w:rPr>
          <w:bCs/>
        </w:rPr>
      </w:pPr>
      <w:r>
        <w:rPr>
          <w:bCs/>
        </w:rPr>
        <w:t>I messaggi del protocollo RSP sono incapsulati in JSON trasmessi tramite HTTP. I valori corrispondenti alle diverse chiavi del JSON sono perlopiù codificati in Base64.</w:t>
      </w:r>
    </w:p>
    <w:p>
      <w:pPr>
        <w:pStyle w:val="5"/>
        <w:spacing w:after="0" w:line="288" w:lineRule="auto"/>
        <w:rPr>
          <w:bCs/>
        </w:rPr>
      </w:pPr>
      <w:r>
        <w:rPr>
          <w:bCs/>
        </w:rPr>
        <w:t xml:space="preserve">Facendo riferimento alla </w:t>
      </w:r>
      <w:r>
        <w:rPr>
          <w:bCs/>
        </w:rPr>
        <w:fldChar w:fldCharType="begin"/>
      </w:r>
      <w:r>
        <w:rPr>
          <w:bCs/>
        </w:rPr>
        <w:instrText xml:space="preserve"> REF _Ref140835793 \h  \* MERGEFORMAT </w:instrText>
      </w:r>
      <w:r>
        <w:rPr>
          <w:bCs/>
        </w:rPr>
        <w:fldChar w:fldCharType="separate"/>
      </w:r>
      <w:r>
        <w:rPr>
          <w:bCs/>
        </w:rPr>
        <w:t>Figura 11</w:t>
      </w:r>
      <w:r>
        <w:rPr>
          <w:bCs/>
        </w:rPr>
        <w:fldChar w:fldCharType="end"/>
      </w:r>
      <w:r>
        <w:rPr>
          <w:bCs/>
        </w:rPr>
        <w:t xml:space="preserve">, è stato possibile catturare tutti i messaggi scambiati tra LPAd e SM-DP+. Il primo messaggio analizzato è il messaggio 6 in </w:t>
      </w:r>
      <w:r>
        <w:rPr>
          <w:bCs/>
        </w:rPr>
        <w:fldChar w:fldCharType="begin"/>
      </w:r>
      <w:r>
        <w:rPr>
          <w:bCs/>
        </w:rPr>
        <w:instrText xml:space="preserve"> REF _Ref140835793 \h  \* MERGEFORMAT </w:instrText>
      </w:r>
      <w:r>
        <w:rPr>
          <w:bCs/>
        </w:rPr>
        <w:fldChar w:fldCharType="separate"/>
      </w:r>
      <w:r>
        <w:rPr>
          <w:bCs/>
        </w:rPr>
        <w:t>Figura 11</w:t>
      </w:r>
      <w:r>
        <w:rPr>
          <w:bCs/>
        </w:rPr>
        <w:fldChar w:fldCharType="end"/>
      </w:r>
      <w:r>
        <w:rPr>
          <w:bCs/>
        </w:rPr>
        <w:t>, ovvero initiateAuthentication. Questo contiene:</w:t>
      </w:r>
    </w:p>
    <w:p>
      <w:pPr>
        <w:pStyle w:val="7"/>
        <w:numPr>
          <w:ilvl w:val="0"/>
          <w:numId w:val="2"/>
        </w:numPr>
      </w:pPr>
      <w:r>
        <w:t>euiccChallenge: rappresentazione Base64 della challenge randomica generata dall’eUICC per autenticare il server;</w:t>
      </w:r>
    </w:p>
    <w:p>
      <w:pPr>
        <w:pStyle w:val="7"/>
        <w:numPr>
          <w:ilvl w:val="0"/>
          <w:numId w:val="2"/>
        </w:numPr>
      </w:pPr>
      <w:r>
        <w:t>euiccInfo1: Base64 corrispondente all’ASN.1 della struttura EUICCInfo1, la quale contiene un campo VersionType e le liste degli identificatori delle chiavi pubbliche delle RootCA supportate dall’eUICC per verificare le firme e per generarle;</w:t>
      </w:r>
    </w:p>
    <w:p>
      <w:pPr>
        <w:pStyle w:val="7"/>
        <w:numPr>
          <w:ilvl w:val="0"/>
          <w:numId w:val="2"/>
        </w:numPr>
      </w:pPr>
      <w:r>
        <w:t>smdpAddress: stringa indicante l’indirizzo del server SM-DP+, nel caso specifico “sys.prod.ondemandconnectivity.com”;</w:t>
      </w:r>
    </w:p>
    <w:p>
      <w:pPr>
        <w:pStyle w:val="7"/>
        <w:ind w:left="0"/>
        <w:rPr>
          <w:bCs/>
        </w:rPr>
      </w:pPr>
      <w:r>
        <w:t xml:space="preserve">Il messaggio di risposta al precedente è il messaggio 9 in </w:t>
      </w:r>
      <w:r>
        <w:rPr>
          <w:bCs/>
        </w:rPr>
        <w:fldChar w:fldCharType="begin"/>
      </w:r>
      <w:r>
        <w:rPr>
          <w:bCs/>
        </w:rPr>
        <w:instrText xml:space="preserve"> REF _Ref140835793 \h </w:instrText>
      </w:r>
      <w:r>
        <w:rPr>
          <w:bCs/>
        </w:rPr>
        <w:fldChar w:fldCharType="separate"/>
      </w:r>
      <w:r>
        <w:rPr>
          <w:bCs/>
        </w:rPr>
        <w:t>Figura 11</w:t>
      </w:r>
      <w:r>
        <w:rPr>
          <w:bCs/>
        </w:rPr>
        <w:fldChar w:fldCharType="end"/>
      </w:r>
      <w:r>
        <w:rPr>
          <w:bCs/>
        </w:rPr>
        <w:t>. Esso contiene:</w:t>
      </w:r>
    </w:p>
    <w:p>
      <w:pPr>
        <w:pStyle w:val="7"/>
        <w:numPr>
          <w:ilvl w:val="0"/>
          <w:numId w:val="3"/>
        </w:numPr>
      </w:pPr>
      <w:r>
        <w:t>functionExecutionStatus: riporta la stringa “Executed-Success”;</w:t>
      </w:r>
    </w:p>
    <w:p>
      <w:pPr>
        <w:pStyle w:val="7"/>
        <w:numPr>
          <w:ilvl w:val="0"/>
          <w:numId w:val="3"/>
        </w:numPr>
      </w:pPr>
      <w:r>
        <w:t>transactionId: stringa rappresentante l’ID della transazione;</w:t>
      </w:r>
    </w:p>
    <w:p>
      <w:pPr>
        <w:pStyle w:val="7"/>
        <w:numPr>
          <w:ilvl w:val="0"/>
          <w:numId w:val="3"/>
        </w:numPr>
      </w:pPr>
      <w:r>
        <w:t>serverSigned1: Base64 corrispondente all’ASN.1 della struttura ServerSigned1. I valori che saranno firmati dal server in questo caso sono: TransactionId, euiccChallenge, serverAddress, serverChallenge;</w:t>
      </w:r>
    </w:p>
    <w:p>
      <w:pPr>
        <w:pStyle w:val="7"/>
        <w:numPr>
          <w:ilvl w:val="0"/>
          <w:numId w:val="3"/>
        </w:numPr>
      </w:pPr>
      <w:r>
        <w:t>serverSignature1: Base64 della firma del server;</w:t>
      </w:r>
    </w:p>
    <w:p>
      <w:pPr>
        <w:pStyle w:val="7"/>
        <w:numPr>
          <w:ilvl w:val="0"/>
          <w:numId w:val="3"/>
        </w:numPr>
      </w:pPr>
      <w:r>
        <w:t>euiccCiPKIdToBeUsed: Base64 della chiave pubblica della CA da usare;</w:t>
      </w:r>
    </w:p>
    <w:p>
      <w:pPr>
        <w:pStyle w:val="7"/>
        <w:numPr>
          <w:ilvl w:val="0"/>
          <w:numId w:val="3"/>
        </w:numPr>
      </w:pPr>
      <w:r>
        <w:t xml:space="preserve">serverCertificate: Base64 del certificato del server in formato DER, nel caso specifico è illustrato in </w:t>
      </w:r>
      <w:r>
        <w:fldChar w:fldCharType="begin"/>
      </w:r>
      <w:r>
        <w:instrText xml:space="preserve"> REF _Ref1760973321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REF _Ref410209966 \h </w:instrText>
      </w:r>
      <w:r>
        <w:fldChar w:fldCharType="separate"/>
      </w:r>
      <w:r>
        <w:t>Figura 17</w:t>
      </w:r>
      <w:r>
        <w:fldChar w:fldCharType="end"/>
      </w:r>
      <w:r>
        <w:t>;</w:t>
      </w:r>
    </w:p>
    <w:p>
      <w:pPr>
        <w:pStyle w:val="7"/>
        <w:ind w:left="0"/>
      </w:pPr>
      <w:r>
        <w:t xml:space="preserve">Segue il messaggio authenticateClient (messaggio 15 in </w:t>
      </w:r>
      <w:r>
        <w:rPr>
          <w:bCs/>
        </w:rPr>
        <w:fldChar w:fldCharType="begin"/>
      </w:r>
      <w:r>
        <w:rPr>
          <w:bCs/>
        </w:rPr>
        <w:instrText xml:space="preserve"> REF _Ref140835793 \h </w:instrText>
      </w:r>
      <w:r>
        <w:rPr>
          <w:bCs/>
        </w:rPr>
        <w:fldChar w:fldCharType="separate"/>
      </w:r>
      <w:r>
        <w:rPr>
          <w:bCs/>
        </w:rPr>
        <w:t>Figura 11</w:t>
      </w:r>
      <w:r>
        <w:rPr>
          <w:bCs/>
        </w:rPr>
        <w:fldChar w:fldCharType="end"/>
      </w:r>
      <w:r>
        <w:rPr>
          <w:bCs/>
        </w:rPr>
        <w:t>)</w:t>
      </w:r>
      <w:r>
        <w:t xml:space="preserve"> che contiene l’ID della transazione e il Base64 corrispondente all’ASN.1 della struttura AuthenticateServerResponse, di tipologia AuthenticateResponseOk. Essa contiene:</w:t>
      </w:r>
    </w:p>
    <w:p>
      <w:pPr>
        <w:pStyle w:val="7"/>
        <w:numPr>
          <w:ilvl w:val="0"/>
          <w:numId w:val="4"/>
        </w:numPr>
      </w:pPr>
      <w:r>
        <w:t xml:space="preserve">euiccSigned1: transactionId, serverAddress, serverChallenge e euiccInfo2, ovvero una struttura ASN.1 complessa esposta in </w:t>
      </w:r>
      <w:r>
        <w:fldChar w:fldCharType="begin"/>
      </w:r>
      <w:r>
        <w:instrText xml:space="preserve"> REF _Ref2141642340 \r \h </w:instrText>
      </w:r>
      <w:r>
        <w:fldChar w:fldCharType="separate"/>
      </w:r>
      <w:r>
        <w:t>[1]</w:t>
      </w:r>
      <w:r>
        <w:fldChar w:fldCharType="end"/>
      </w:r>
      <w:r>
        <w:t xml:space="preserve"> a pagine 429-430;</w:t>
      </w:r>
    </w:p>
    <w:p>
      <w:pPr>
        <w:pStyle w:val="7"/>
        <w:numPr>
          <w:ilvl w:val="0"/>
          <w:numId w:val="4"/>
        </w:numPr>
      </w:pPr>
      <w:r>
        <w:t>euiccSignature1: firma dell’eUICC;</w:t>
      </w:r>
    </w:p>
    <w:p>
      <w:pPr>
        <w:pStyle w:val="7"/>
        <w:numPr>
          <w:ilvl w:val="0"/>
          <w:numId w:val="4"/>
        </w:numPr>
      </w:pPr>
      <w:r>
        <w:t xml:space="preserve">euiccCertificate: rappresentazione DER del certificato dell’eUICC (CERT.EUICC.SIG), nel caso specifico è illustrato in </w:t>
      </w:r>
      <w:r>
        <w:fldChar w:fldCharType="begin"/>
      </w:r>
      <w:r>
        <w:instrText xml:space="preserve"> REF _Ref1435080447 \h </w:instrText>
      </w:r>
      <w:r>
        <w:fldChar w:fldCharType="separate"/>
      </w:r>
      <w:r>
        <w:t>Figura 18</w:t>
      </w:r>
      <w:r>
        <w:fldChar w:fldCharType="end"/>
      </w:r>
      <w:r>
        <w:t>;</w:t>
      </w:r>
    </w:p>
    <w:p>
      <w:pPr>
        <w:pStyle w:val="7"/>
        <w:numPr>
          <w:ilvl w:val="0"/>
          <w:numId w:val="4"/>
        </w:numPr>
      </w:pPr>
      <w:r>
        <w:t xml:space="preserve">nextCertInChain: rappresentazione DER del certificato che certifica quello dell’eUICC, nel caso specifico è illustrato in </w:t>
      </w:r>
      <w:r>
        <w:fldChar w:fldCharType="begin"/>
      </w:r>
      <w:r>
        <w:instrText xml:space="preserve"> REF _Ref643882990 \h </w:instrText>
      </w:r>
      <w:r>
        <w:fldChar w:fldCharType="separate"/>
      </w:r>
      <w:r>
        <w:t>Figura 19</w:t>
      </w:r>
      <w:r>
        <w:fldChar w:fldCharType="end"/>
      </w:r>
      <w:r>
        <w:t>;</w:t>
      </w:r>
    </w:p>
    <w:p>
      <w:pPr>
        <w:pStyle w:val="7"/>
        <w:ind w:left="0"/>
      </w:pPr>
      <w:r>
        <w:t xml:space="preserve">Per il messaggio seguente occorre far riferimento al messaggio 6 di </w:t>
      </w:r>
      <w:r>
        <w:fldChar w:fldCharType="begin"/>
      </w:r>
      <w:r>
        <w:instrText xml:space="preserve"> REF _Ref140854372 \h </w:instrText>
      </w:r>
      <w:r>
        <w:fldChar w:fldCharType="separate"/>
      </w:r>
      <w:r>
        <w:t>Figura 14</w:t>
      </w:r>
      <w:r>
        <w:fldChar w:fldCharType="end"/>
      </w:r>
      <w:r>
        <w:t>. Esso contiene:</w:t>
      </w:r>
    </w:p>
    <w:p>
      <w:pPr>
        <w:pStyle w:val="7"/>
        <w:numPr>
          <w:ilvl w:val="0"/>
          <w:numId w:val="5"/>
        </w:numPr>
      </w:pPr>
      <w:r>
        <w:t>functionExecutionStatus: Executed-Success;</w:t>
      </w:r>
    </w:p>
    <w:p>
      <w:pPr>
        <w:pStyle w:val="7"/>
        <w:numPr>
          <w:ilvl w:val="0"/>
          <w:numId w:val="5"/>
        </w:numPr>
      </w:pPr>
      <w:r>
        <w:t>transactionId;</w:t>
      </w:r>
    </w:p>
    <w:p>
      <w:pPr>
        <w:pStyle w:val="7"/>
        <w:numPr>
          <w:ilvl w:val="0"/>
          <w:numId w:val="5"/>
        </w:numPr>
      </w:pPr>
      <w:r>
        <w:t xml:space="preserve">profileMetadata: Base64 corrispondente all’ASN.1 della struttura StoreMetadataRequest, definita in </w:t>
      </w:r>
      <w:r>
        <w:fldChar w:fldCharType="begin"/>
      </w:r>
      <w:r>
        <w:instrText xml:space="preserve"> REF _Ref2141642340 \r \h </w:instrText>
      </w:r>
      <w:r>
        <w:fldChar w:fldCharType="separate"/>
      </w:r>
      <w:r>
        <w:t>[1]</w:t>
      </w:r>
      <w:r>
        <w:fldChar w:fldCharType="end"/>
      </w:r>
      <w:r>
        <w:t xml:space="preserve"> a pagina 288. Nello specifico, è possibile leggere l’iccid della sim, il nome del provider (Very) ed il nome del profilo (VERY Mobile);</w:t>
      </w:r>
    </w:p>
    <w:p>
      <w:pPr>
        <w:pStyle w:val="7"/>
        <w:numPr>
          <w:ilvl w:val="0"/>
          <w:numId w:val="5"/>
        </w:numPr>
      </w:pPr>
      <w:r>
        <w:t xml:space="preserve">smdpSigned2: Base64 corrispondente all’ASN.1 della struttura SmdpSigned2 definita in </w:t>
      </w:r>
      <w:r>
        <w:fldChar w:fldCharType="begin"/>
      </w:r>
      <w:r>
        <w:instrText xml:space="preserve"> REF _Ref2141642340 \r \h </w:instrText>
      </w:r>
      <w:r>
        <w:fldChar w:fldCharType="separate"/>
      </w:r>
      <w:r>
        <w:t>[1]</w:t>
      </w:r>
      <w:r>
        <w:fldChar w:fldCharType="end"/>
      </w:r>
      <w:r>
        <w:t xml:space="preserve"> a pagina 321;</w:t>
      </w:r>
    </w:p>
    <w:p>
      <w:pPr>
        <w:pStyle w:val="7"/>
        <w:numPr>
          <w:ilvl w:val="0"/>
          <w:numId w:val="5"/>
        </w:numPr>
      </w:pPr>
      <w:r>
        <w:t>smdpSignature2;</w:t>
      </w:r>
    </w:p>
    <w:p>
      <w:pPr>
        <w:pStyle w:val="7"/>
        <w:numPr>
          <w:ilvl w:val="0"/>
          <w:numId w:val="5"/>
        </w:numPr>
      </w:pPr>
      <w:r>
        <w:t>smdpCertificate: come sopra;</w:t>
      </w:r>
    </w:p>
    <w:p>
      <w:pPr>
        <w:pStyle w:val="7"/>
        <w:ind w:left="0"/>
      </w:pPr>
      <w:r>
        <w:t xml:space="preserve">Per gli ultimi due messaggi occorre far riferimento ai messaggi 5 e 11 di </w:t>
      </w:r>
      <w:r>
        <w:fldChar w:fldCharType="begin"/>
      </w:r>
      <w:r>
        <w:instrText xml:space="preserve"> REF _Ref181331305 \h </w:instrText>
      </w:r>
      <w:r>
        <w:fldChar w:fldCharType="separate"/>
      </w:r>
      <w:r>
        <w:t>Figura 20</w:t>
      </w:r>
      <w:r>
        <w:fldChar w:fldCharType="end"/>
      </w:r>
      <w:r>
        <w:t>. Il primo, ovvero getBoundProfilePackage, contiene:</w:t>
      </w:r>
    </w:p>
    <w:p>
      <w:pPr>
        <w:pStyle w:val="7"/>
        <w:numPr>
          <w:ilvl w:val="0"/>
          <w:numId w:val="6"/>
        </w:numPr>
      </w:pPr>
      <w:r>
        <w:t>prepareDownloadResponse: Base64 corrispondente alla struttura ASN.1 PrepareDownloadResponse nella forma PrepareDownloadResponseOk, ovvero contenente euiccSigned2 (</w:t>
      </w:r>
      <w:r>
        <w:fldChar w:fldCharType="begin"/>
      </w:r>
      <w:r>
        <w:instrText xml:space="preserve"> REF _Ref2141642340 \r \h </w:instrText>
      </w:r>
      <w:r>
        <w:fldChar w:fldCharType="separate"/>
      </w:r>
      <w:r>
        <w:t>[1]</w:t>
      </w:r>
      <w:r>
        <w:fldChar w:fldCharType="end"/>
      </w:r>
      <w:r>
        <w:t xml:space="preserve"> pagina 434) ed euiccSignature2;</w:t>
      </w:r>
    </w:p>
    <w:p>
      <w:pPr>
        <w:pStyle w:val="7"/>
        <w:numPr>
          <w:ilvl w:val="0"/>
          <w:numId w:val="6"/>
        </w:numPr>
      </w:pPr>
      <w:r>
        <w:t>transactionId;</w:t>
      </w:r>
    </w:p>
    <w:p>
      <w:pPr>
        <w:pStyle w:val="7"/>
        <w:ind w:left="0"/>
      </w:pPr>
      <w:r>
        <w:t>Il secondo contiene:</w:t>
      </w:r>
    </w:p>
    <w:p>
      <w:pPr>
        <w:pStyle w:val="7"/>
        <w:numPr>
          <w:ilvl w:val="0"/>
          <w:numId w:val="7"/>
        </w:numPr>
      </w:pPr>
      <w:r>
        <w:t>functionExecutionStatus: Executed-Success;</w:t>
      </w:r>
    </w:p>
    <w:p>
      <w:pPr>
        <w:pStyle w:val="7"/>
        <w:numPr>
          <w:ilvl w:val="0"/>
          <w:numId w:val="7"/>
        </w:numPr>
      </w:pPr>
      <w:r>
        <w:t>transactionId;</w:t>
      </w:r>
    </w:p>
    <w:p>
      <w:pPr>
        <w:pStyle w:val="7"/>
        <w:numPr>
          <w:ilvl w:val="0"/>
          <w:numId w:val="7"/>
        </w:numPr>
      </w:pPr>
      <w:r>
        <w:t xml:space="preserve">boundProfilePackage: Base64 corrispondente alla struttura ASN1 definita in </w:t>
      </w:r>
      <w:r>
        <w:fldChar w:fldCharType="begin"/>
      </w:r>
      <w:r>
        <w:instrText xml:space="preserve"> REF _Ref2141642340 \r \h </w:instrText>
      </w:r>
      <w:r>
        <w:fldChar w:fldCharType="separate"/>
      </w:r>
      <w:r>
        <w:t>[1]</w:t>
      </w:r>
      <w:r>
        <w:fldChar w:fldCharType="end"/>
      </w:r>
      <w:r>
        <w:t>, pagina 49;</w:t>
      </w:r>
    </w:p>
    <w:p>
      <w:pPr>
        <w:keepNext/>
        <w:jc w:val="center"/>
      </w:pPr>
      <w:r>
        <w:drawing>
          <wp:inline distT="0" distB="0" distL="0" distR="0">
            <wp:extent cx="3970020" cy="6186170"/>
            <wp:effectExtent l="0" t="0" r="5080" b="11430"/>
            <wp:docPr id="25" name="image13.jpeg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 descr="A diagram of a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824" cy="621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2" w:name="_Ref14083579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11</w:t>
      </w:r>
      <w:r>
        <w:fldChar w:fldCharType="end"/>
      </w:r>
      <w:bookmarkEnd w:id="2"/>
      <w:r>
        <w:t xml:space="preserve"> </w:t>
      </w:r>
      <w:r>
        <w:rPr>
          <w:i w:val="0"/>
          <w:iCs w:val="0"/>
        </w:rPr>
        <w:t>Diagramma che descrive la Common Mutual Authentication.</w:t>
      </w:r>
    </w:p>
    <w:p>
      <w:pPr>
        <w:pStyle w:val="7"/>
        <w:ind w:left="0"/>
      </w:pPr>
    </w:p>
    <w:p>
      <w:pPr>
        <w:pStyle w:val="7"/>
        <w:ind w:left="0"/>
        <w:jc w:val="center"/>
      </w:pPr>
      <w:r>
        <w:drawing>
          <wp:inline distT="0" distB="0" distL="114300" distR="114300">
            <wp:extent cx="5752465" cy="5026025"/>
            <wp:effectExtent l="0" t="0" r="635" b="3175"/>
            <wp:docPr id="6" name="Picture 6" descr="cer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ert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3" w:name="_Ref410209966"/>
      <w:bookmarkStart w:id="4" w:name="_Ref176097332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17</w:t>
      </w:r>
      <w:r>
        <w:fldChar w:fldCharType="end"/>
      </w:r>
      <w:bookmarkEnd w:id="3"/>
      <w:r>
        <w:t xml:space="preserve"> </w:t>
      </w:r>
      <w:r>
        <w:rPr>
          <w:i w:val="0"/>
          <w:iCs w:val="0"/>
        </w:rPr>
        <w:t>Certificato del server SM-DP+</w:t>
      </w:r>
      <w:bookmarkEnd w:id="4"/>
      <w:r>
        <w:rPr>
          <w:i w:val="0"/>
          <w:iCs w:val="0"/>
        </w:rPr>
        <w:t>.</w:t>
      </w:r>
    </w:p>
    <w:p>
      <w:pPr>
        <w:jc w:val="center"/>
      </w:pPr>
      <w:r>
        <w:drawing>
          <wp:inline distT="0" distB="0" distL="114300" distR="114300">
            <wp:extent cx="5759450" cy="5616575"/>
            <wp:effectExtent l="0" t="0" r="6350" b="9525"/>
            <wp:docPr id="8" name="Picture 8" descr="cer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ert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5" w:name="_Ref14350804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18</w:t>
      </w:r>
      <w:r>
        <w:fldChar w:fldCharType="end"/>
      </w:r>
      <w:bookmarkEnd w:id="5"/>
      <w:r>
        <w:t xml:space="preserve"> </w:t>
      </w:r>
      <w:r>
        <w:rPr>
          <w:i w:val="0"/>
          <w:iCs w:val="0"/>
        </w:rPr>
        <w:t>Certificato dell'eUICC.</w:t>
      </w:r>
    </w:p>
    <w:p>
      <w:pPr>
        <w:jc w:val="center"/>
      </w:pPr>
      <w:r>
        <w:drawing>
          <wp:inline distT="0" distB="0" distL="114300" distR="114300">
            <wp:extent cx="5758180" cy="6955155"/>
            <wp:effectExtent l="0" t="0" r="7620" b="4445"/>
            <wp:docPr id="10" name="Picture 10" descr="cer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ert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695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6" w:name="_Ref64388299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19</w:t>
      </w:r>
      <w:r>
        <w:fldChar w:fldCharType="end"/>
      </w:r>
      <w:bookmarkEnd w:id="6"/>
      <w:r>
        <w:t xml:space="preserve"> </w:t>
      </w:r>
      <w:r>
        <w:rPr>
          <w:i w:val="0"/>
          <w:iCs w:val="0"/>
        </w:rPr>
        <w:t>Certificato della CA che valida il certificato dell'eUICC.</w:t>
      </w:r>
    </w:p>
    <w:p>
      <w:pPr>
        <w:pStyle w:val="7"/>
        <w:ind w:left="0"/>
        <w:jc w:val="center"/>
      </w:pPr>
      <w:r>
        <w:drawing>
          <wp:inline distT="0" distB="0" distL="114300" distR="114300">
            <wp:extent cx="5754370" cy="5578475"/>
            <wp:effectExtent l="0" t="0" r="11430" b="9525"/>
            <wp:docPr id="11" name="Picture 11" descr="Download_and_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ownload_and_installatio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7" w:name="_Ref18133130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20</w:t>
      </w:r>
      <w:r>
        <w:fldChar w:fldCharType="end"/>
      </w:r>
      <w:bookmarkEnd w:id="7"/>
      <w:r>
        <w:t xml:space="preserve"> </w:t>
      </w:r>
      <w:r>
        <w:rPr>
          <w:i w:val="0"/>
          <w:iCs w:val="0"/>
        </w:rPr>
        <w:t>Sotto-procedura di download ed installazione del profilo.</w:t>
      </w:r>
    </w:p>
    <w:p>
      <w:r>
        <w:br w:type="page"/>
      </w:r>
    </w:p>
    <w:p>
      <w:pPr>
        <w:pStyle w:val="2"/>
        <w:spacing w:after="119"/>
      </w:pPr>
      <w:bookmarkStart w:id="8" w:name="_Toc141103781"/>
      <w:r>
        <w:t>BIBLIOGRAFIA</w:t>
      </w:r>
      <w:bookmarkEnd w:id="8"/>
    </w:p>
    <w:p>
      <w:pPr>
        <w:numPr>
          <w:ilvl w:val="0"/>
          <w:numId w:val="8"/>
        </w:numPr>
      </w:pPr>
      <w:bookmarkStart w:id="9" w:name="_Ref140772842"/>
      <w:bookmarkStart w:id="10" w:name="_Ref2141642340"/>
      <w:r>
        <w:t>GSM Association. “</w:t>
      </w:r>
      <w:bookmarkStart w:id="11" w:name="_GoBack"/>
      <w:r>
        <w:t>RSP Technical Specification</w:t>
      </w:r>
      <w:bookmarkEnd w:id="11"/>
      <w:r>
        <w:t xml:space="preserve"> Version 3.0”, 2022. https://gsma.com/esim/ wp-content/uploads/2022/10/SGP.22-v3.0-1.pdf.</w:t>
      </w:r>
      <w:bookmarkEnd w:id="9"/>
      <w:r>
        <w:t xml:space="preserve"> </w:t>
      </w:r>
      <w:bookmarkEnd w:id="10"/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AR PL UKai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imSun">
    <w:altName w:val="AR PL UKai CN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Lohit Devanagari">
    <w:altName w:val="Calibri"/>
    <w:panose1 w:val="020B0604020202020204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88" w:lineRule="auto"/>
      </w:pPr>
      <w:r>
        <w:separator/>
      </w:r>
    </w:p>
  </w:footnote>
  <w:footnote w:type="continuationSeparator" w:id="1">
    <w:p>
      <w:pPr>
        <w:spacing w:before="0" w:after="0" w:line="28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FF3FE1"/>
    <w:multiLevelType w:val="singleLevel"/>
    <w:tmpl w:val="B6FF3FE1"/>
    <w:lvl w:ilvl="0" w:tentative="0">
      <w:start w:val="1"/>
      <w:numFmt w:val="decimal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">
    <w:nsid w:val="DA7F48F1"/>
    <w:multiLevelType w:val="singleLevel"/>
    <w:tmpl w:val="DA7F48F1"/>
    <w:lvl w:ilvl="0" w:tentative="0">
      <w:start w:val="1"/>
      <w:numFmt w:val="decimal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2">
    <w:nsid w:val="EE37B6B3"/>
    <w:multiLevelType w:val="singleLevel"/>
    <w:tmpl w:val="EE37B6B3"/>
    <w:lvl w:ilvl="0" w:tentative="0">
      <w:start w:val="1"/>
      <w:numFmt w:val="decimal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3">
    <w:nsid w:val="FFF7F639"/>
    <w:multiLevelType w:val="singleLevel"/>
    <w:tmpl w:val="FFF7F639"/>
    <w:lvl w:ilvl="0" w:tentative="0">
      <w:start w:val="1"/>
      <w:numFmt w:val="decimal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4">
    <w:nsid w:val="07381B22"/>
    <w:multiLevelType w:val="multilevel"/>
    <w:tmpl w:val="07381B22"/>
    <w:lvl w:ilvl="0" w:tentative="0">
      <w:start w:val="1"/>
      <w:numFmt w:val="decimal"/>
      <w:lvlText w:val="[%1]"/>
      <w:lvlJc w:val="left"/>
      <w:pPr>
        <w:tabs>
          <w:tab w:val="left" w:pos="0"/>
        </w:tabs>
        <w:ind w:left="0" w:firstLine="0"/>
      </w:pPr>
      <w:rPr>
        <w:rFonts w:hint="default" w:ascii="SimSun" w:hAnsi="SimSun" w:eastAsia="SimSun" w:cs="SimSun"/>
      </w:rPr>
    </w:lvl>
    <w:lvl w:ilvl="1" w:tentative="0">
      <w:start w:val="1"/>
      <w:numFmt w:val="decimal"/>
      <w:lvlText w:val="%1.%2"/>
      <w:lvlJc w:val="left"/>
      <w:pPr>
        <w:tabs>
          <w:tab w:val="left" w:pos="0"/>
        </w:tabs>
        <w:ind w:left="0" w:firstLine="0"/>
      </w:pPr>
    </w:lvl>
    <w:lvl w:ilvl="2" w:tentative="0">
      <w:start w:val="1"/>
      <w:numFmt w:val="decimal"/>
      <w:lvlText w:val="%1.%2.%3"/>
      <w:lvlJc w:val="left"/>
      <w:pPr>
        <w:tabs>
          <w:tab w:val="left" w:pos="0"/>
        </w:tabs>
        <w:ind w:left="0" w:firstLine="0"/>
      </w:pPr>
    </w:lvl>
    <w:lvl w:ilvl="3" w:tentative="0">
      <w:start w:val="1"/>
      <w:numFmt w:val="decimal"/>
      <w:lvlText w:val="%1.%2.%3.%4"/>
      <w:lvlJc w:val="left"/>
      <w:pPr>
        <w:tabs>
          <w:tab w:val="left" w:pos="0"/>
        </w:tabs>
        <w:ind w:left="0" w:firstLine="0"/>
      </w:pPr>
    </w:lvl>
    <w:lvl w:ilvl="4" w:tentative="0">
      <w:start w:val="1"/>
      <w:numFmt w:val="decimal"/>
      <w:lvlText w:val="%1.%2.%3.%4.%5"/>
      <w:lvlJc w:val="left"/>
      <w:pPr>
        <w:tabs>
          <w:tab w:val="left" w:pos="0"/>
        </w:tabs>
        <w:ind w:left="0" w:firstLine="0"/>
      </w:pPr>
    </w:lvl>
    <w:lvl w:ilvl="5" w:tentative="0">
      <w:start w:val="1"/>
      <w:numFmt w:val="decimal"/>
      <w:lvlText w:val="%1.%2.%3.%4.%5.%6"/>
      <w:lvlJc w:val="left"/>
      <w:pPr>
        <w:tabs>
          <w:tab w:val="left" w:pos="0"/>
        </w:tabs>
        <w:ind w:left="0" w:firstLine="0"/>
      </w:pPr>
    </w:lvl>
    <w:lvl w:ilvl="6" w:tentative="0">
      <w:start w:val="1"/>
      <w:numFmt w:val="decimal"/>
      <w:lvlText w:val="%1.%2.%3.%4.%5.%6.%7"/>
      <w:lvlJc w:val="left"/>
      <w:pPr>
        <w:tabs>
          <w:tab w:val="left" w:pos="0"/>
        </w:tabs>
        <w:ind w:left="0" w:firstLine="0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0"/>
        </w:tabs>
        <w:ind w:left="0" w:firstLine="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0"/>
        </w:tabs>
        <w:ind w:left="0" w:firstLine="0"/>
      </w:pPr>
    </w:lvl>
  </w:abstractNum>
  <w:abstractNum w:abstractNumId="5">
    <w:nsid w:val="3DD6924F"/>
    <w:multiLevelType w:val="singleLevel"/>
    <w:tmpl w:val="3DD6924F"/>
    <w:lvl w:ilvl="0" w:tentative="0">
      <w:start w:val="1"/>
      <w:numFmt w:val="decimal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6">
    <w:nsid w:val="70F77E8A"/>
    <w:multiLevelType w:val="multilevel"/>
    <w:tmpl w:val="70F77E8A"/>
    <w:lvl w:ilvl="0" w:tentative="0">
      <w:start w:val="1"/>
      <w:numFmt w:val="decimal"/>
      <w:lvlText w:val="%1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decimal"/>
      <w:lvlText w:val="%1.%2"/>
      <w:lvlJc w:val="left"/>
      <w:pPr>
        <w:tabs>
          <w:tab w:val="left" w:pos="0"/>
        </w:tabs>
        <w:ind w:left="0" w:firstLine="0"/>
      </w:pPr>
    </w:lvl>
    <w:lvl w:ilvl="2" w:tentative="0">
      <w:start w:val="1"/>
      <w:numFmt w:val="decimal"/>
      <w:lvlText w:val="%1.%2.%3"/>
      <w:lvlJc w:val="left"/>
      <w:pPr>
        <w:tabs>
          <w:tab w:val="left" w:pos="0"/>
        </w:tabs>
        <w:ind w:left="0" w:firstLine="0"/>
      </w:pPr>
    </w:lvl>
    <w:lvl w:ilvl="3" w:tentative="0">
      <w:start w:val="1"/>
      <w:numFmt w:val="decimal"/>
      <w:lvlText w:val="%1.%2.%3.%4"/>
      <w:lvlJc w:val="left"/>
      <w:pPr>
        <w:tabs>
          <w:tab w:val="left" w:pos="0"/>
        </w:tabs>
        <w:ind w:left="0" w:firstLine="0"/>
      </w:pPr>
      <w:rPr>
        <w:sz w:val="28"/>
      </w:rPr>
    </w:lvl>
    <w:lvl w:ilvl="4" w:tentative="0">
      <w:start w:val="1"/>
      <w:numFmt w:val="decimal"/>
      <w:lvlText w:val="%1.%2.%3.%4.%5"/>
      <w:lvlJc w:val="left"/>
      <w:pPr>
        <w:tabs>
          <w:tab w:val="left" w:pos="0"/>
        </w:tabs>
        <w:ind w:left="0" w:firstLine="0"/>
      </w:pPr>
    </w:lvl>
    <w:lvl w:ilvl="5" w:tentative="0">
      <w:start w:val="1"/>
      <w:numFmt w:val="decimal"/>
      <w:lvlText w:val="%1.%2.%3.%4.%5.%6"/>
      <w:lvlJc w:val="left"/>
      <w:pPr>
        <w:tabs>
          <w:tab w:val="left" w:pos="0"/>
        </w:tabs>
        <w:ind w:left="0" w:firstLine="0"/>
      </w:pPr>
    </w:lvl>
    <w:lvl w:ilvl="6" w:tentative="0">
      <w:start w:val="1"/>
      <w:numFmt w:val="decimal"/>
      <w:lvlText w:val="%1.%2.%3.%4.%5.%6.%7"/>
      <w:lvlJc w:val="left"/>
      <w:pPr>
        <w:tabs>
          <w:tab w:val="left" w:pos="0"/>
        </w:tabs>
        <w:ind w:left="0" w:firstLine="0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0"/>
        </w:tabs>
        <w:ind w:left="0" w:firstLine="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0"/>
        </w:tabs>
        <w:ind w:left="0" w:firstLine="0"/>
      </w:pPr>
    </w:lvl>
  </w:abstractNum>
  <w:abstractNum w:abstractNumId="7">
    <w:nsid w:val="7BCDD8E5"/>
    <w:multiLevelType w:val="singleLevel"/>
    <w:tmpl w:val="7BCDD8E5"/>
    <w:lvl w:ilvl="0" w:tentative="0">
      <w:start w:val="1"/>
      <w:numFmt w:val="decimal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3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8A0BDC"/>
    <w:rsid w:val="FD8A0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40" w:after="40" w:line="288" w:lineRule="auto"/>
      <w:jc w:val="both"/>
    </w:pPr>
    <w:rPr>
      <w:rFonts w:ascii="Calibri" w:hAnsi="Calibri" w:eastAsia="Calibri" w:cs="Calibri"/>
      <w:sz w:val="24"/>
      <w:szCs w:val="24"/>
      <w:lang w:val="it-IT" w:eastAsia="it-IT" w:bidi="ar-SA"/>
    </w:rPr>
  </w:style>
  <w:style w:type="paragraph" w:styleId="2">
    <w:name w:val="heading 1"/>
    <w:basedOn w:val="1"/>
    <w:next w:val="1"/>
    <w:qFormat/>
    <w:uiPriority w:val="0"/>
    <w:pPr>
      <w:keepNext/>
      <w:tabs>
        <w:tab w:val="left" w:pos="851"/>
      </w:tabs>
      <w:spacing w:before="0" w:after="480" w:line="240" w:lineRule="auto"/>
      <w:outlineLvl w:val="0"/>
    </w:pPr>
    <w:rPr>
      <w:b/>
      <w:sz w:val="32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0"/>
    <w:pPr>
      <w:spacing w:before="0" w:after="140" w:line="276" w:lineRule="auto"/>
    </w:pPr>
  </w:style>
  <w:style w:type="paragraph" w:styleId="6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</w:rPr>
  </w:style>
  <w:style w:type="paragraph" w:styleId="7">
    <w:name w:val="List Paragraph"/>
    <w:basedOn w:val="1"/>
    <w:qFormat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2023-07-30T19:50:00Z</dcterms:created>
  <dc:creator>lorenzo</dc:creator>
  <cp:lastModifiedBy>lorenzo</cp:lastModifiedBy>
  <dcterms:modified xsi:type="dcterms:W3CDTF">2023-07-30T19:57:19Z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1033-11.1.0.11698</vt:lpwstr>
  </property>
</Properties>
</file>