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Executive Summary</w:t>
      </w:r>
    </w:p>
    <w:p>
      <w:pPr>
        <w:pStyle w:val="style0"/>
        <w:jc w:val="both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 COVID-19 pandemic significantly impacted Nigeria’s public health, economy, and societal activities. This analysis provides insights into the progression of COVID-19 across the 37 states of Nigeria, including the Federal Capital Territory, by leveraging data science tools to examine case trends, state vulnerability, economic impacts, and budgetary changes.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 project aims to derive actionable insights using data from the Nigeria Centre for Disease Control (NCDC), Johns Hopkins University, and economic indicators such as GDP and state budgets.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 analysis was conducted using Python and included the following key steps: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Data Collection and Cleaning: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Combined datasets from multiple sources, including COVID-19 case numbers, state vulnerability indices, and economic indicators.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Cleaned missing values and ensured consistency across state names and dates.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Exploratory Data Analysis (EDA):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Plotted time series data for confirmed, recovered, and death cases to track trends.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Analyzed state-level case distributions and their correlation with vulnerability indices.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Analysis: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Compared Real GDP figures pre-COVID and during COVID to assess the pandemic’s economic impact.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Reviewed state budget changes to measure fiscal adjustments due to the pandemic.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Visualization: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Developed insightful graphs, including time series trends, heatmaps, and bar charts, for a visual representation of findings.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Findings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COVID-19 Trends: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Nigeria experienced multiple peaks of infection, with certain states such as Lagos, Kano, and the FCT contributing to a significant portion of cases.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Recovery rates improved over time, though fatalities remained concentrated in highly vulnerable states.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Vulnerability Index: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States with higher vulnerability scores exhibited higher infection and fatality rates. Factors such as population density and healthcare access were critical.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Impact: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Nigeria's GDP contracted significantly during the pandemic, driven by reduced economic activity and falling oil prices.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State budgets were slashed, with some states reducing allocations for education and healthcare, potentially exacerbating long-term recovery challenges.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Recommendations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Public Health: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Enhance healthcare infrastructure in vulnerable states to reduce future risks.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Strengthen testing and vaccination campaigns, focusing on high-density and high-vulnerability areas.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Recovery: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Prioritize budget allocations for healthcare and education to mitigate the impact of the pandemic.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Invest in economic diversification to reduce reliance on oil revenue.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Data Utilization: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Establish robust systems for real-time data collection and analysis to improve response strategies during future pandemics.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Improvements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Incorporate mobility data to study the effectiveness of lockdown measures.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Analyze vaccination rates and their impact on case trends.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Integrate global COVID-19 data to compare Nigeria’s response with other nations.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This analysis provides a foundation for informed decision-making in pandemic management and economic recovery strategies for Nigeria</w:t>
      </w:r>
      <w:r>
        <w:rPr>
          <w:sz w:val="24"/>
          <w:szCs w:val="24"/>
          <w:lang w:val="en-US"/>
        </w:rPr>
        <w:t>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sectPr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412</Words>
  <Characters>2699</Characters>
  <Application>WPS Office</Application>
  <Paragraphs>35</Paragraphs>
  <CharactersWithSpaces>3089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2024-11-17T20:54:01Z</dcterms:created>
  <dc:creator>TECNO BE6j</dc:creator>
  <lastModifiedBy>TECNO BE6j</lastModifiedBy>
  <dcterms:modified xsi:type="dcterms:W3CDTF">2024-11-17T20:54:01Z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2f1742a318354be2b6519182a9d9a173</vt:lpwstr>
  </property>
</Properties>
</file>