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68" w:rsidRPr="00D5215D" w:rsidRDefault="00C85568" w:rsidP="00C85568">
      <w:pPr>
        <w:rPr>
          <w:rFonts w:ascii="Times New Roman" w:hAnsi="Times New Roman" w:cs="Times New Roman"/>
          <w:b/>
          <w:sz w:val="24"/>
          <w:szCs w:val="24"/>
        </w:rPr>
      </w:pPr>
      <w:r w:rsidRPr="00D5215D">
        <w:rPr>
          <w:rFonts w:ascii="Times New Roman" w:hAnsi="Times New Roman" w:cs="Times New Roman"/>
          <w:b/>
          <w:sz w:val="24"/>
          <w:szCs w:val="24"/>
        </w:rPr>
        <w:t>Table 2. Highly enriched top-sh</w:t>
      </w:r>
      <w:bookmarkStart w:id="0" w:name="_GoBack"/>
      <w:bookmarkEnd w:id="0"/>
      <w:r w:rsidRPr="00D5215D">
        <w:rPr>
          <w:rFonts w:ascii="Times New Roman" w:hAnsi="Times New Roman" w:cs="Times New Roman"/>
          <w:b/>
          <w:sz w:val="24"/>
          <w:szCs w:val="24"/>
        </w:rPr>
        <w:t xml:space="preserve">ared pathways were obtained from the three databases (DAVID, </w:t>
      </w:r>
      <w:proofErr w:type="spellStart"/>
      <w:r w:rsidRPr="00D5215D">
        <w:rPr>
          <w:rFonts w:ascii="Times New Roman" w:hAnsi="Times New Roman" w:cs="Times New Roman"/>
          <w:b/>
          <w:sz w:val="24"/>
          <w:szCs w:val="24"/>
        </w:rPr>
        <w:t>Enrichr</w:t>
      </w:r>
      <w:proofErr w:type="spellEnd"/>
      <w:r w:rsidRPr="00D5215D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D5215D">
        <w:rPr>
          <w:rFonts w:ascii="Times New Roman" w:hAnsi="Times New Roman" w:cs="Times New Roman"/>
          <w:b/>
          <w:sz w:val="24"/>
          <w:szCs w:val="24"/>
        </w:rPr>
        <w:t>WebGestalt</w:t>
      </w:r>
      <w:proofErr w:type="spellEnd"/>
      <w:r w:rsidRPr="00D5215D">
        <w:rPr>
          <w:rFonts w:ascii="Times New Roman" w:hAnsi="Times New Roman" w:cs="Times New Roman"/>
          <w:b/>
          <w:sz w:val="24"/>
          <w:szCs w:val="24"/>
        </w:rPr>
        <w:t>).</w:t>
      </w:r>
    </w:p>
    <w:tbl>
      <w:tblPr>
        <w:tblStyle w:val="TableGrid"/>
        <w:tblW w:w="5000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638"/>
        <w:gridCol w:w="1157"/>
        <w:gridCol w:w="2062"/>
        <w:gridCol w:w="1857"/>
        <w:gridCol w:w="1857"/>
        <w:gridCol w:w="1888"/>
        <w:gridCol w:w="1665"/>
        <w:gridCol w:w="826"/>
      </w:tblGrid>
      <w:tr w:rsidR="00717372" w:rsidRPr="00D5215D" w:rsidTr="00717372">
        <w:trPr>
          <w:trHeight w:val="395"/>
          <w:tblHeader/>
        </w:trPr>
        <w:tc>
          <w:tcPr>
            <w:tcW w:w="632" w:type="pct"/>
            <w:vMerge w:val="restart"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447" w:type="pct"/>
            <w:vMerge w:val="restart"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96" w:type="pct"/>
            <w:vMerge w:val="restart"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Pathways</w:t>
            </w:r>
          </w:p>
        </w:tc>
        <w:tc>
          <w:tcPr>
            <w:tcW w:w="2163" w:type="pct"/>
            <w:gridSpan w:val="3"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Associated Genes</w:t>
            </w:r>
          </w:p>
        </w:tc>
        <w:tc>
          <w:tcPr>
            <w:tcW w:w="643" w:type="pct"/>
            <w:vMerge w:val="restart"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All Associated Genes</w:t>
            </w:r>
          </w:p>
        </w:tc>
        <w:tc>
          <w:tcPr>
            <w:tcW w:w="319" w:type="pct"/>
            <w:vMerge w:val="restart"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Ref.</w:t>
            </w:r>
          </w:p>
        </w:tc>
      </w:tr>
      <w:tr w:rsidR="00717372" w:rsidRPr="00D5215D" w:rsidTr="00717372">
        <w:trPr>
          <w:trHeight w:val="324"/>
          <w:tblHeader/>
        </w:trPr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Merge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Merge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DAVID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Enrichr</w:t>
            </w:r>
            <w:proofErr w:type="spellEnd"/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WebGestalt</w:t>
            </w:r>
            <w:proofErr w:type="spellEnd"/>
          </w:p>
        </w:tc>
        <w:tc>
          <w:tcPr>
            <w:tcW w:w="643" w:type="pct"/>
            <w:vMerge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" w:type="pct"/>
            <w:vMerge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372" w:rsidRPr="00D5215D" w:rsidTr="00717372">
        <w:tc>
          <w:tcPr>
            <w:tcW w:w="632" w:type="pct"/>
            <w:vMerge w:val="restart"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KEGG</w:t>
            </w: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hsa04110</w:t>
            </w: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Cell cycle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CDC20; CDC45; MCM7; CDK1; BUB1B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CDC20; CDC45; MCM7; CDK1; BUB1B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CDC20; BUB1B; CDC45; MCM7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CDC20; CDC45; MCM7; CDK1; BUB1B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[41, 45]</w:t>
            </w:r>
          </w:p>
        </w:tc>
      </w:tr>
      <w:tr w:rsidR="00717372" w:rsidRPr="00D5215D" w:rsidTr="00717372"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hsa03030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DNA replication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FEN1; MCM7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FEN1; MCM7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FEN1; MCM7 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[37, 41]</w:t>
            </w:r>
          </w:p>
        </w:tc>
      </w:tr>
      <w:tr w:rsidR="00717372" w:rsidRPr="00D5215D" w:rsidTr="00717372">
        <w:tc>
          <w:tcPr>
            <w:tcW w:w="632" w:type="pct"/>
            <w:vMerge w:val="restart"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Reactome</w:t>
            </w:r>
            <w:proofErr w:type="spellEnd"/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R-HSA-1640170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Cell Cycle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TOP2A; CDC20; FEN1; CDC45; MCM7; CDK1; BUB1B; KIF23; BRCA1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TOP2A; CDC20; FEN1; CDC45; MCM7; CDK1; BUB1B; KIF23; BRCA1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CDK1; TOP2A; BRCA1; CDC20; FEN1; BUB1B; CDC45; KIF23; MCM7 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CDC20; FEN1; CDC45; MCM7; CDK1; BUB1B; KIF23; BRCA1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[41, 49]</w:t>
            </w:r>
          </w:p>
        </w:tc>
      </w:tr>
      <w:tr w:rsidR="00717372" w:rsidRPr="00D5215D" w:rsidTr="00717372"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R-HSA-69620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Cell Cycle Checkpoints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CDC20; CDC45; MCM7; CDK1; BUB1B; BRCA1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CDC20; CDC45; MCM7; CDK1; BUB1B; BRCA1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CDK1; BRCA1; CDC20; BUB1B; CDC45; MCM7 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CDC20; CDC45; MCM7; CDK1; BUB1B; BRCA1 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[41, 49]</w:t>
            </w:r>
          </w:p>
        </w:tc>
      </w:tr>
      <w:tr w:rsidR="00717372" w:rsidRPr="00D5215D" w:rsidTr="00717372"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R-HSA-453279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Mitotic G1 phase and G1/S transition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TOP2A; CDC45; MCM7; CDK1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TOP2A; CDC45; MCM7; CDK1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CDK1; TOP2A; CDC45; MCM7 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TOP2A; CDC45; MCM7; CDK1 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[41, 51]</w:t>
            </w:r>
          </w:p>
        </w:tc>
      </w:tr>
      <w:tr w:rsidR="00717372" w:rsidRPr="00D5215D" w:rsidTr="00717372"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R-HSA-176187</w:t>
            </w: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Activation of ATR in response to replication stress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CDC45; MCM7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CDC45; MCM7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CDC45; MCM7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CDC45; MCM7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[18, 49]</w:t>
            </w:r>
          </w:p>
        </w:tc>
      </w:tr>
      <w:tr w:rsidR="00717372" w:rsidRPr="00D5215D" w:rsidTr="00717372"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R-HSA-69278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Cell Cycle, Mitotic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TOP2A; CDC20; FEN1; CDC45; </w:t>
            </w:r>
            <w:r w:rsidRPr="00D52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MCM7; CDK1; BUB1B; KIF23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TOP2A; CDC20; FEN1; CDC45; </w:t>
            </w:r>
            <w:r w:rsidRPr="00D52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MCM7; CDK1; BUB1B; KIF23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CDK1; TOP2A; CDC20; FEN1; </w:t>
            </w:r>
            <w:r w:rsidRPr="00D52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BUB1B; CDC45; KIF23; MCM7 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TOP2A; CDC20; FEN1; </w:t>
            </w:r>
            <w:r w:rsidRPr="00D52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CDC45; MCM7; CDK1; BUB1B; KIF23 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[41, 49]</w:t>
            </w:r>
          </w:p>
        </w:tc>
      </w:tr>
      <w:tr w:rsidR="00717372" w:rsidRPr="00D5215D" w:rsidTr="00717372">
        <w:tc>
          <w:tcPr>
            <w:tcW w:w="632" w:type="pct"/>
            <w:vMerge w:val="restart"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WikiPathways</w:t>
            </w:r>
            <w:proofErr w:type="spellEnd"/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WP179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Cell cycle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CDC20; CDC45; MCM7; CDK1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CDC20; CDC45; MCM7; CDK1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CDK1; CDC20; CDC45; MCM7 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CDC20; CDC45; MCM7; CDK1 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[41, 52]</w:t>
            </w:r>
          </w:p>
        </w:tc>
      </w:tr>
      <w:tr w:rsidR="00717372" w:rsidRPr="00D5215D" w:rsidTr="00717372"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WP45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G1 to S cell cycle control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CDC45; MCM7; CDK1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CDC45; MCM7; CDK1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CDK1; CDC45; MCM7 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CDC45; MCM7; CDK1 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[41, 52]</w:t>
            </w:r>
          </w:p>
        </w:tc>
      </w:tr>
      <w:tr w:rsidR="00717372" w:rsidRPr="00D5215D" w:rsidTr="00717372"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WP4016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DNA IR damage and cellular response via ATR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FEN1; CDC45; CDK1; BRCA1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FEN1; CDC45; CDK1; BRCA1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CDK1; BRCA1; FEN1; CDC45 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FEN1; CDC45; CDK1; BRCA1 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[41]</w:t>
            </w:r>
          </w:p>
        </w:tc>
      </w:tr>
      <w:tr w:rsidR="00717372" w:rsidRPr="00D5215D" w:rsidTr="00717372"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WP466</w:t>
            </w:r>
          </w:p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DNA replication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CDC45; MCM7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CDC45; MCM7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CDC45; MCM7 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[49, 53]</w:t>
            </w:r>
          </w:p>
        </w:tc>
      </w:tr>
      <w:tr w:rsidR="00717372" w:rsidRPr="00D5215D" w:rsidTr="00717372">
        <w:tc>
          <w:tcPr>
            <w:tcW w:w="632" w:type="pct"/>
            <w:vMerge/>
            <w:shd w:val="clear" w:color="auto" w:fill="F2F2F2" w:themeFill="background1" w:themeFillShade="F2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WP2446</w:t>
            </w:r>
          </w:p>
        </w:tc>
        <w:tc>
          <w:tcPr>
            <w:tcW w:w="796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Retinoblastoma gene in cancer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TOP2A; CDC45; MCM7; CDK1 </w:t>
            </w:r>
          </w:p>
        </w:tc>
        <w:tc>
          <w:tcPr>
            <w:tcW w:w="717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TOP2A; CDC45; MCM7; CDK1 </w:t>
            </w:r>
          </w:p>
        </w:tc>
        <w:tc>
          <w:tcPr>
            <w:tcW w:w="72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TOP2A; CDC45; MCM7</w:t>
            </w:r>
          </w:p>
        </w:tc>
        <w:tc>
          <w:tcPr>
            <w:tcW w:w="643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TOP2A; CDC45; MCM7; CDK1 </w:t>
            </w:r>
          </w:p>
        </w:tc>
        <w:tc>
          <w:tcPr>
            <w:tcW w:w="319" w:type="pct"/>
            <w:vAlign w:val="center"/>
          </w:tcPr>
          <w:p w:rsidR="00717372" w:rsidRPr="00D5215D" w:rsidRDefault="00717372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[41, 52]</w:t>
            </w:r>
          </w:p>
        </w:tc>
      </w:tr>
    </w:tbl>
    <w:p w:rsidR="007E1164" w:rsidRDefault="007E1164"/>
    <w:sectPr w:rsidR="007E1164" w:rsidSect="00C855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68"/>
    <w:rsid w:val="00717372"/>
    <w:rsid w:val="007E1164"/>
    <w:rsid w:val="00C8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0023D-0420-4513-B7BC-693D5388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568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5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1820</Characters>
  <Application>Microsoft Office Word</Application>
  <DocSecurity>0</DocSecurity>
  <Lines>260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2025-01-18T16:13:00Z</dcterms:created>
  <dcterms:modified xsi:type="dcterms:W3CDTF">2025-01-27T04:17:00Z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5947be8f-94e7-4133-9bbc-a97e13ca1086</vt:lpwstr>
  </property>
</Properties>
</file>