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3e324efc5ef4b39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安心商行 商品指南</w:t>
      </w:r>
    </w:p>
    <w:p>
      <w:r>
        <w:t xml:space="preserve">本指南適用於線上商店的所有商品。</w:t>
      </w:r>
    </w:p>
    <w:p>
      <w:pPr>
        <w:pStyle w:val="1"/>
      </w:pPr>
      <w:r>
        <w:t xml:space="preserve">1 商品介紹</w:t>
      </w:r>
    </w:p>
    <w:p>
      <w:r>
        <w:t xml:space="preserve">安心商行販售產地直送的有機蔬果與米糧。</w:t>
      </w:r>
    </w:p>
    <w:p>
      <w:pPr>
        <w:pStyle w:val="Heading2"/>
      </w:pPr>
      <w:r>
        <w:t xml:space="preserve">1.1 有機蔬菜箱</w:t>
      </w:r>
    </w:p>
    <w:p>
      <w:r>
        <w:t xml:space="preserve">每箱約 3 公斤，內含當季蔬菜 6 至 8 種。</w:t>
      </w:r>
    </w:p>
    <w:p>
      <w:r>
        <w:t xml:space="preserve">每週二、五出貨。</w:t>
      </w:r>
    </w:p>
    <w:p>
      <w:pPr>
        <w:pStyle w:val="1"/>
      </w:pPr>
      <w:r>
        <w:t xml:space="preserve">2 退換貨</w:t>
      </w:r>
    </w:p>
    <w:p>
      <w:pPr>
        <w:pStyle w:val="Heading2"/>
      </w:pPr>
      <w:r>
        <w:t xml:space="preserve">2.1 退貨條件</w:t>
      </w:r>
    </w:p>
    <w:p>
      <w:r>
        <w:t xml:space="preserve">收到商品後七天內可申請退貨；生鮮蔬果恕不退貨。</w:t>
      </w:r>
    </w:p>
    <w:p>
      <w:pPr>
        <w:pStyle w:val="a5"/>
      </w:pPr>
      <w:r>
        <w:t xml:space="preserve">2.1.1 退貨流程</w:t>
      </w:r>
    </w:p>
    <w:p>
      <w:r>
        <w:t xml:space="preserve">請先聯繫客服取得退貨編號，再將商品寄回。</w:t>
      </w:r>
    </w:p>
    <w:p>
      <w:pPr>
        <w:pStyle w:val="Heading2"/>
      </w:pPr>
      <w:r>
        <w:t xml:space="preserve">2.2 運費</w:t>
      </w:r>
    </w:p>
    <w:tbl>
      <w:tblPr>
        <w:tblW w:w="0" w:type="auto"/>
      </w:tblPr>
      <w:tblGrid>
        <w:gridCol w:w="2400"/>
        <w:gridCol w:w="2400"/>
        <w:gridCol w:w="2400"/>
      </w:tblGrid>
      <w:tr>
        <w:tc>
          <w:p>
            <w:r>
              <w:t>地區</w:t>
            </w:r>
          </w:p>
        </w:tc>
        <w:tc>
          <w:p>
            <w:r>
              <w:t>運費</w:t>
            </w:r>
          </w:p>
        </w:tc>
        <w:tc>
          <w:p>
            <w:r>
              <w:t>免運門檻</w:t>
            </w:r>
          </w:p>
        </w:tc>
      </w:tr>
      <w:tr>
        <w:tc>
          <w:p>
            <w:r>
              <w:t>本島</w:t>
            </w:r>
          </w:p>
        </w:tc>
        <w:tc>
          <w:p>
            <w:r>
              <w:t>100 元</w:t>
            </w:r>
          </w:p>
        </w:tc>
        <w:tc>
          <w:p>
            <w:r>
              <w:t>1,500 元</w:t>
            </w:r>
          </w:p>
        </w:tc>
      </w:tr>
      <w:tr>
        <w:tc>
          <w:p>
            <w:r>
              <w:t>離島</w:t>
            </w:r>
          </w:p>
        </w:tc>
        <w:tc>
          <w:p>
            <w:r>
              <w:t>150 元</w:t>
            </w:r>
          </w:p>
        </w:tc>
        <w:tc>
          <w:p>
            <w:r>
              <w:t>3,000 元</w:t>
            </w:r>
          </w:p>
        </w:tc>
      </w:tr>
    </w:tbl>
    <w:p>
      <w:pPr>
        <w:outlineLvl w:val="0"/>
      </w:pPr>
      <w:r>
        <w:t>3 聯絡我們</w:t>
      </w:r>
    </w:p>
    <w:p>
      <w:r>
        <w:t xml:space="preserve">客服信箱：service@anxin.example</w:t>
      </w:r>
    </w:p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Title">
    <w:name w:val="Title"/>
    <w:basedOn w:val="Normal"/>
  </w:style>
  <w:style w:type="paragraph" w:styleId="1">
    <w:name w:val="heading 1"/>
    <w:basedOn w:val="Normal"/>
  </w:style>
  <w:style w:type="paragraph" w:styleId="Heading2">
    <w:name w:val="heading 2"/>
    <w:basedOn w:val="Normal"/>
    <w:pPr>
      <w:outlineLvl w:val="1"/>
    </w:pPr>
  </w:style>
  <w:style w:type="paragraph" w:styleId="a5">
    <w:name w:val="小節標題"/>
    <w:basedOn w:val="Normal"/>
    <w:pPr>
      <w:outlineLvl w:val="2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4df4a77608e9481f" /></Relationships>
</file>