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OBJET</w:t>
      </w:r>
    </w:p>
    <w:p>
      <w:r>
        <w:t xml:space="preserve">La présente procédure fixe la manière dont la base de maintenance fictive gère les échéances des tâches d'entretien et les tolérances qui peuvent, à titre exceptionnel, leur être appliquées. Elle s'adresse aux chefs d'équipe, au bureau technique et aux responsables qui ont autorité pour accorder un délai supplémentaire. </w:t>
      </w:r>
    </w:p>
    <w:p>
      <w:r>
        <w:t xml:space="preserve">Elle a pour but d'éviter deux dérives opposées : d'un côté, l'immobilisation d'un aéronef pour une échéance dont le dépassement serait sans conséquence ; de l'autre, l'habitude de repousser systématiquement les tâches sans que personne n'en ait conscience. Une tolérance est une mesure encadrée, jamais un droit. </w:t>
      </w:r>
    </w:p>
    <w:p>
      <w:r>
        <w:t xml:space="preserve">Cette procédure s'applique à toutes les tâches d'entretien programmé dont l'échéance est exprimée en heures de vol, en jours ou en mois. Elle ne traite pas des consignes de navigabilité, qui suivent leurs propres règles et ne peuvent faire l'objet d'aucune tolérance locale. </w:t>
      </w:r>
    </w:p>
    <w:p>
      <w:r>
        <w:t xml:space="preserve">Elle est diffusée à tous les chefs d'équipe, à l'encadrement du bureau technique et aux secrétariats, qui en tiennent un exemplaire à jour. Une version papier est affichée dans chaque salle de préparation des chantiers pour que personne n'ait à la chercher au moment d'en avoir besoin. </w:t>
      </w:r>
    </w:p>
    <w:p>
      <w:pPr>
        <w:pStyle w:val="Heading1"/>
      </w:pPr>
      <w:r>
        <w:t>2. PRINCIPES</w:t>
      </w:r>
    </w:p>
    <w:p>
      <w:r>
        <w:t xml:space="preserve">Une tolérance est une marge accordée au-delà de l'échéance théorique d'une tâche. Elle est accordée par l'autorité désignée dans le tableau de la section suivante, pour une tâche précise et pour un aéronef précis. Elle ne se transmet pas d'un aéronef à l'autre. </w:t>
      </w:r>
    </w:p>
    <w:p>
      <w:r>
        <w:t xml:space="preserve">Une tolérance ne peut être utilisée qu'une seule fois par échéance. Une fois la tâche réalisée, l'échéance suivante repart de la date ou du potentiel réels de réalisation, et une nouvelle tolérance pourra être demandée le moment venu si elle est justifiée. </w:t>
      </w:r>
    </w:p>
    <w:p>
      <w:r>
        <w:t xml:space="preserve">Toute tolérance utilisée est inscrite au registre RT-02. L'inscription est faite par le bureau technique dès que la tâche est réalisée, avec la date, l'aéronef concerné et le nom de l'autorité qui l'a accordée. </w:t>
      </w:r>
    </w:p>
    <w:p>
      <w:r>
        <w:t xml:space="preserve">Une tolérance n'est jamais accordée pour convenance. Le motif doit être opérationnel ou logistique, par exemple l'indisponibilité d'une pièce ou l'engagement de l'aéronef dans une mission. Le motif est écrit dans la demande, en termes simples et vérifiables. </w:t>
      </w:r>
    </w:p>
    <w:p>
      <w:r>
        <w:t xml:space="preserve">Lorsqu'une tolérance approche de sa limite, le bureau technique prévient le chef d'équipe. Celui-ci prend les dispositions nécessaires pour que la tâche soit effectivement réalisée dans le délai. </w:t>
      </w:r>
    </w:p>
    <w:p>
      <w:r>
        <w:t xml:space="preserve">Le bureau technique présente chaque mois aux chefs d'équipe un état des tolérances en cours. Cet état permet de repérer les tâches qui s'accumulent et d'anticiper les besoins en pièces, en outillage et en personnel avant qu'ils ne deviennent bloquants. </w:t>
      </w:r>
    </w:p>
    <w:p>
      <w:r>
        <w:br w:type="page"/>
      </w:r>
    </w:p>
    <w:p>
      <w:pPr>
        <w:pStyle w:val="Heading1"/>
      </w:pPr>
      <w:r>
        <w:t>3. TABLEAU DES ÉCHÉANCES</w:t>
      </w:r>
    </w:p>
    <w:p>
      <w:r>
        <w:t xml:space="preserve">Le tableau ci-dessous récapitule, pour les principales tâches de la base, l'échéance normale, la tolérance maximale admise et l'autorité qui peut l'accorder.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Tâche</w:t>
            </w:r>
          </w:p>
        </w:tc>
        <w:tc>
          <w:tcPr>
            <w:tcW w:type="dxa" w:w="2160"/>
          </w:tcPr>
          <w:p>
            <w:r>
              <w:t>Échéance</w:t>
            </w:r>
          </w:p>
        </w:tc>
        <w:tc>
          <w:tcPr>
            <w:tcW w:type="dxa" w:w="2160"/>
          </w:tcPr>
          <w:p>
            <w:r>
              <w:t>Tolérance</w:t>
            </w:r>
          </w:p>
        </w:tc>
        <w:tc>
          <w:tcPr>
            <w:tcW w:type="dxa" w:w="2160"/>
          </w:tcPr>
          <w:p>
            <w:r>
              <w:t>Autorité</w:t>
            </w:r>
          </w:p>
        </w:tc>
      </w:tr>
      <w:tr>
        <w:tc>
          <w:tcPr>
            <w:tcW w:type="dxa" w:w="2160"/>
          </w:tcPr>
          <w:p>
            <w:r>
              <w:t>Visite V1</w:t>
            </w:r>
          </w:p>
        </w:tc>
        <w:tc>
          <w:tcPr>
            <w:tcW w:type="dxa" w:w="2160"/>
          </w:tcPr>
          <w:p>
            <w:r>
              <w:t>25 h</w:t>
            </w:r>
          </w:p>
        </w:tc>
        <w:tc>
          <w:tcPr>
            <w:tcW w:type="dxa" w:w="2160"/>
          </w:tcPr>
          <w:p>
            <w:r>
              <w:t>2 h</w:t>
            </w:r>
          </w:p>
        </w:tc>
        <w:tc>
          <w:tcPr>
            <w:tcW w:type="dxa" w:w="2160"/>
          </w:tcPr>
          <w:p>
            <w:r>
              <w:t>Chef d'équipe</w:t>
            </w:r>
          </w:p>
        </w:tc>
      </w:tr>
      <w:tr>
        <w:tc>
          <w:tcPr>
            <w:tcW w:type="dxa" w:w="2160"/>
          </w:tcPr>
          <w:p>
            <w:r>
              <w:t>Visite V2</w:t>
            </w:r>
          </w:p>
        </w:tc>
        <w:tc>
          <w:tcPr>
            <w:tcW w:type="dxa" w:w="2160"/>
          </w:tcPr>
          <w:p>
            <w:r>
              <w:t>50 h</w:t>
            </w:r>
          </w:p>
        </w:tc>
        <w:tc>
          <w:tcPr>
            <w:tcW w:type="dxa" w:w="2160"/>
          </w:tcPr>
          <w:p>
            <w:r>
              <w:t>5 h</w:t>
            </w:r>
          </w:p>
        </w:tc>
        <w:tc>
          <w:tcPr>
            <w:tcW w:type="dxa" w:w="2160"/>
          </w:tcPr>
          <w:p>
            <w:r>
              <w:t>Chef BMN</w:t>
            </w:r>
          </w:p>
        </w:tc>
      </w:tr>
      <w:tr>
        <w:tc>
          <w:tcPr>
            <w:tcW w:type="dxa" w:w="2160"/>
          </w:tcPr>
          <w:p>
            <w:r>
              <w:t>Inspection des pales</w:t>
            </w:r>
          </w:p>
        </w:tc>
        <w:tc>
          <w:tcPr>
            <w:tcW w:type="dxa" w:w="2160"/>
          </w:tcPr>
          <w:p>
            <w:r>
              <w:t>100 h</w:t>
            </w:r>
          </w:p>
        </w:tc>
        <w:tc>
          <w:tcPr>
            <w:tcW w:type="dxa" w:w="2160"/>
          </w:tcPr>
          <w:p>
            <w:r>
              <w:t>10 h</w:t>
            </w:r>
          </w:p>
        </w:tc>
        <w:tc>
          <w:tcPr>
            <w:tcW w:type="dxa" w:w="2160"/>
          </w:tcPr>
          <w:p>
            <w:r>
              <w:t>Chef BMN</w:t>
            </w:r>
          </w:p>
        </w:tc>
      </w:tr>
      <w:tr>
        <w:tc>
          <w:tcPr>
            <w:tcW w:type="dxa" w:w="2160"/>
          </w:tcPr>
          <w:p>
            <w:r>
              <w:t>Graissage du rotor de queue</w:t>
            </w:r>
          </w:p>
        </w:tc>
        <w:tc>
          <w:tcPr>
            <w:tcW w:type="dxa" w:w="2160"/>
          </w:tcPr>
          <w:p>
            <w:r>
              <w:t>30 jours</w:t>
            </w:r>
          </w:p>
        </w:tc>
        <w:tc>
          <w:tcPr>
            <w:tcW w:type="dxa" w:w="2160"/>
          </w:tcPr>
          <w:p>
            <w:r>
              <w:t>3 jours</w:t>
            </w:r>
          </w:p>
        </w:tc>
        <w:tc>
          <w:tcPr>
            <w:tcW w:type="dxa" w:w="2160"/>
          </w:tcPr>
          <w:p>
            <w:r>
              <w:t>Chef d'équipe</w:t>
            </w:r>
          </w:p>
        </w:tc>
      </w:tr>
      <w:tr>
        <w:tc>
          <w:tcPr>
            <w:tcW w:type="dxa" w:w="2160"/>
          </w:tcPr>
          <w:p>
            <w:r>
              <w:t>Visite annuelle</w:t>
            </w:r>
          </w:p>
        </w:tc>
        <w:tc>
          <w:tcPr>
            <w:tcW w:type="dxa" w:w="2160"/>
          </w:tcPr>
          <w:p>
            <w:r>
              <w:t>12 mois</w:t>
            </w:r>
          </w:p>
        </w:tc>
        <w:tc>
          <w:tcPr>
            <w:tcW w:type="dxa" w:w="2160"/>
          </w:tcPr>
          <w:p>
            <w:r>
              <w:t>1 mois</w:t>
            </w:r>
          </w:p>
        </w:tc>
        <w:tc>
          <w:tcPr>
            <w:tcW w:type="dxa" w:w="2160"/>
          </w:tcPr>
          <w:p>
            <w:r>
              <w:t>Direction technique</w:t>
            </w:r>
          </w:p>
        </w:tc>
      </w:tr>
    </w:tbl>
    <w:p>
      <w:r>
        <w:t xml:space="preserve">Les valeurs du tableau sont des maxima. L'autorité peut accorder moins que la tolérance maximale, et elle le fait chaque fois que la situation le permet. Une tolérance accordée n'autorise pas à différer d'autres tâches qui arriveraient à échéance pendant la même période. </w:t>
      </w:r>
    </w:p>
    <w:p>
      <w:r>
        <w:t xml:space="preserve">Le tableau est revu par la direction technique lorsque le programme d'entretien évolue. Toute modification est diffusée par note de service avant d'entrer en application. </w:t>
      </w:r>
    </w:p>
    <w:p>
      <w:r>
        <w:t xml:space="preserve">Pour les tâches dont l'échéance est calendaire, la tolérance se décompte à partir de la date d'échéance normale. Pour celles dont l'échéance est exprimée en heures de vol, elle se décompte à partir du potentiel de l'aéronef relevé au compteur, et non d'une estimation du programme de vol à venir. </w:t>
      </w:r>
    </w:p>
    <w:p>
      <w:pPr>
        <w:pStyle w:val="Heading1"/>
      </w:pPr>
      <w:r>
        <w:t>4. CODES DE PANNE</w:t>
      </w:r>
    </w:p>
    <w:p>
      <w:r>
        <w:t xml:space="preserve">Les pannes constatées sur les aéronefs sont identifiées par un code à trois lettres et trois chiffres. Le code oriente le technicien vers l'action à mener et permet au bureau technique de suivre les défauts qui reviennent. Le tableau suivant donne quelques exemples courants dans la base. </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Libellé</w:t>
            </w:r>
          </w:p>
        </w:tc>
        <w:tc>
          <w:tcPr>
            <w:tcW w:type="dxa" w:w="2880"/>
          </w:tcPr>
          <w:p>
            <w:r>
              <w:t>Action</w:t>
            </w:r>
          </w:p>
        </w:tc>
      </w:tr>
      <w:tr>
        <w:tc>
          <w:tcPr>
            <w:tcW w:type="dxa" w:w="2880"/>
          </w:tcPr>
          <w:p>
            <w:r>
              <w:t>HYD-112</w:t>
            </w:r>
          </w:p>
        </w:tc>
        <w:tc>
          <w:tcPr>
            <w:tcW w:type="dxa" w:w="2880"/>
          </w:tcPr>
          <w:p>
            <w:r>
              <w:t>Fuite de l'accumulateur</w:t>
            </w:r>
          </w:p>
        </w:tc>
        <w:tc>
          <w:tcPr>
            <w:tcW w:type="dxa" w:w="2880"/>
          </w:tcPr>
          <w:p>
            <w:r>
              <w:t>Dépose et contrôle d'étanchéité</w:t>
            </w:r>
          </w:p>
        </w:tc>
      </w:tr>
      <w:tr>
        <w:tc>
          <w:tcPr>
            <w:tcW w:type="dxa" w:w="2880"/>
          </w:tcPr>
          <w:p>
            <w:r>
              <w:t>HYD-215</w:t>
            </w:r>
          </w:p>
        </w:tc>
        <w:tc>
          <w:tcPr>
            <w:tcW w:type="dxa" w:w="2880"/>
          </w:tcPr>
          <w:p>
            <w:r>
              <w:t>Pression basse circuit 2</w:t>
            </w:r>
          </w:p>
        </w:tc>
        <w:tc>
          <w:tcPr>
            <w:tcW w:type="dxa" w:w="2880"/>
          </w:tcPr>
          <w:p>
            <w:r>
              <w:t>Contrôle du gonflage de l'accumulateur</w:t>
            </w:r>
          </w:p>
        </w:tc>
      </w:tr>
      <w:tr>
        <w:tc>
          <w:tcPr>
            <w:tcW w:type="dxa" w:w="2880"/>
          </w:tcPr>
          <w:p>
            <w:r>
              <w:t>ELE-031</w:t>
            </w:r>
          </w:p>
        </w:tc>
        <w:tc>
          <w:tcPr>
            <w:tcW w:type="dxa" w:w="2880"/>
          </w:tcPr>
          <w:p>
            <w:r>
              <w:t>Défaut alternateur</w:t>
            </w:r>
          </w:p>
        </w:tc>
        <w:tc>
          <w:tcPr>
            <w:tcW w:type="dxa" w:w="2880"/>
          </w:tcPr>
          <w:p>
            <w:r>
              <w:t>Remplacement du régulateur</w:t>
            </w:r>
          </w:p>
        </w:tc>
      </w:tr>
    </w:tbl>
    <w:p>
      <w:r>
        <w:t xml:space="preserve">Le code est reporté sur le bon de travaux dès la constatation de la panne, avant même le début de l'intervention. Lorsqu'une panne ne correspond à aucun code connu, le technicien la décrit en clair et le bureau technique lui attribue un code après examen. </w:t>
      </w:r>
    </w:p>
    <w:p>
      <w:r>
        <w:t xml:space="preserve">Un même code qui revient plusieurs fois sur un aéronef est signalé à la direction technique, qui peut décider d'une inspection plus poussée. Le bureau technique tient un état des codes les plus fréquents et le présente à la revue de fin de trimestre. </w:t>
      </w:r>
    </w:p>
    <w:p>
      <w:r>
        <w:t xml:space="preserve">Les codes sont attribués de façon unique : un code n'est jamais réutilisé pour décrire une autre panne, même lorsque l'ancienne panne a disparu de la flotte. Cette règle garantit que les statistiques de la base restent comparables d'une année sur l'autre. </w:t>
      </w:r>
    </w:p>
    <w:p>
      <w:r>
        <w:br w:type="page"/>
      </w:r>
    </w:p>
    <w:p>
      <w:pPr>
        <w:pStyle w:val="Heading1"/>
      </w:pPr>
      <w:r>
        <w:t>5. DÉROULEMENT</w:t>
      </w:r>
    </w:p>
    <w:p>
      <w:r>
        <w:t xml:space="preserve">La demande et le suivi d'une tolérance suivent six étapes, toujours dans le même ordre. </w:t>
      </w:r>
    </w:p>
    <w:p>
      <w:r>
        <w:t xml:space="preserve">Étape 1 — Le chef d'équipe constate qu'une tâche ne pourra pas être réalisée avant son échéance et en informe le bureau technique. </w:t>
      </w:r>
    </w:p>
    <w:p>
      <w:r>
        <w:t xml:space="preserve">Étape 2 — Il rédige la demande en précisant la tâche, l'aéronef, le motif du report et la durée souhaitée. </w:t>
      </w:r>
    </w:p>
    <w:p>
      <w:r>
        <w:t xml:space="preserve">Étape 3 — Le bureau technique vérifie dans le dossier de l'aéronef qu'aucune tolérance n'a déjà été utilisée pour cette échéance. </w:t>
      </w:r>
    </w:p>
    <w:p>
      <w:r>
        <w:t xml:space="preserve">Étape 4 — La demande de tolérance est transmise au bureau technique au moins 24 heures avant l'échéance. </w:t>
      </w:r>
    </w:p>
    <w:p>
      <w:r>
        <w:t xml:space="preserve">Étape 5 — L'autorité désignée dans le tableau examine la demande, l'accepte ou la refuse, et signe sa décision. </w:t>
      </w:r>
    </w:p>
    <w:p>
      <w:r>
        <w:t xml:space="preserve">Étape 6 — Le bureau technique inscrit la décision au dossier et, si la tolérance est utilisée, au registre prévu à cet effet. </w:t>
      </w:r>
    </w:p>
    <w:p>
      <w:r>
        <w:t xml:space="preserve">Une demande refusée est renvoyée au chef d'équipe avec le motif du refus. Celui-ci reprend alors le chantier pour que la tâche soit réalisée avant l'échéance, ou propose une autre solution à l'autorité. </w:t>
      </w:r>
    </w:p>
    <w:p>
      <w:r>
        <w:t xml:space="preserve">Les étapes ne peuvent être inversées : une tolérance accordée oralement n'a aucune valeur tant qu'elle n'a pas été écrite et signée. Le chef d'équipe qui l'utilise sans ce document engage sa propre responsabilité. </w:t>
      </w:r>
    </w:p>
    <w:p>
      <w:r>
        <w:t xml:space="preserve">En cas d'urgence avérée, l'autorité peut donner son accord par téléphone, à condition que la décision soit confirmée par écrit dans la journée. Le bureau technique note l'heure de l'appel et le nom de la personne jointe, et rattache la confirmation écrite à la demande initiale. </w:t>
      </w:r>
    </w:p>
    <w:p>
      <w:pPr>
        <w:pStyle w:val="Heading1"/>
      </w:pPr>
      <w:r>
        <w:t>6. ARCHIVAGE</w:t>
      </w:r>
    </w:p>
    <w:p>
      <w:r>
        <w:t xml:space="preserve">Chaque demande de tolérance, acceptée ou refusée, est conservée avec la décision qui l'accompagne. Le bureau technique classe ces documents par aéronef, puis par date, dans un dossier distinct du dossier d'entretien courant. </w:t>
      </w:r>
    </w:p>
    <w:p>
      <w:r>
        <w:t xml:space="preserve">Les demandes de tolérance sont archivées 5 ans. Passé ce délai, le bureau technique peut détruire les documents après accord de la direction technique, sauf s'ils se rattachent à un événement ayant fait l'objet d'une enquête. </w:t>
      </w:r>
    </w:p>
    <w:p>
      <w:r>
        <w:t xml:space="preserve">L'archivage doit permettre de retrouver rapidement toutes les tolérances accordées à un aéronef donné. Le bureau technique contrôle l'état des archives une fois par an et signale à la direction technique les dossiers incomplets, afin qu'ils soient régularisés.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FICTIF — BANC DE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