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88" w:type="dxa"/>
        <w:jc w:val="center"/>
        <w:tblLook w:val="04A0" w:firstRow="1" w:lastRow="0" w:firstColumn="1" w:lastColumn="0" w:noHBand="0" w:noVBand="1"/>
      </w:tblPr>
      <w:tblGrid>
        <w:gridCol w:w="1541"/>
        <w:gridCol w:w="1642"/>
        <w:gridCol w:w="8407"/>
      </w:tblGrid>
      <w:tr w:rsidR="00BD60DD" w:rsidRPr="00BD60DD" w:rsidTr="0025661B">
        <w:trPr>
          <w:trHeight w:val="440"/>
          <w:jc w:val="center"/>
        </w:trPr>
        <w:tc>
          <w:tcPr>
            <w:tcW w:w="1300" w:type="dxa"/>
          </w:tcPr>
          <w:p w:rsidR="00BD60DD" w:rsidRPr="00BD60DD" w:rsidRDefault="00BD60DD" w:rsidP="00BD60DD">
            <w:pPr>
              <w:jc w:val="center"/>
              <w:rPr>
                <w:b/>
                <w:sz w:val="28"/>
                <w:szCs w:val="28"/>
              </w:rPr>
            </w:pPr>
            <w:r w:rsidRPr="00BD60DD">
              <w:rPr>
                <w:b/>
                <w:sz w:val="28"/>
                <w:szCs w:val="28"/>
              </w:rPr>
              <w:t>Technique</w:t>
            </w:r>
          </w:p>
        </w:tc>
        <w:tc>
          <w:tcPr>
            <w:tcW w:w="1383" w:type="dxa"/>
          </w:tcPr>
          <w:p w:rsidR="00BD60DD" w:rsidRPr="00BD60DD" w:rsidRDefault="00BD60DD" w:rsidP="00BD60DD">
            <w:pPr>
              <w:jc w:val="center"/>
              <w:rPr>
                <w:b/>
                <w:sz w:val="28"/>
                <w:szCs w:val="28"/>
              </w:rPr>
            </w:pPr>
            <w:r w:rsidRPr="00BD60DD">
              <w:rPr>
                <w:b/>
                <w:sz w:val="28"/>
                <w:szCs w:val="28"/>
              </w:rPr>
              <w:t>Chapter</w:t>
            </w:r>
          </w:p>
        </w:tc>
        <w:tc>
          <w:tcPr>
            <w:tcW w:w="7505" w:type="dxa"/>
          </w:tcPr>
          <w:p w:rsidR="00BD60DD" w:rsidRPr="00BD60DD" w:rsidRDefault="00BD60DD" w:rsidP="00BD60DD">
            <w:pPr>
              <w:jc w:val="center"/>
              <w:rPr>
                <w:b/>
                <w:sz w:val="28"/>
                <w:szCs w:val="28"/>
              </w:rPr>
            </w:pPr>
            <w:r w:rsidRPr="00BD60DD">
              <w:rPr>
                <w:b/>
                <w:sz w:val="28"/>
                <w:szCs w:val="28"/>
              </w:rPr>
              <w:t>Description</w:t>
            </w:r>
          </w:p>
        </w:tc>
        <w:bookmarkStart w:id="0" w:name="_GoBack"/>
        <w:bookmarkEnd w:id="0"/>
      </w:tr>
      <w:tr w:rsidR="00BD60DD" w:rsidRPr="00BD60DD" w:rsidTr="00FA3437">
        <w:trPr>
          <w:jc w:val="center"/>
        </w:trPr>
        <w:tc>
          <w:tcPr>
            <w:tcW w:w="1300" w:type="dxa"/>
          </w:tcPr>
          <w:p w:rsidR="00BD60DD" w:rsidRPr="00BD60DD" w:rsidRDefault="00BD60DD" w:rsidP="00BD60DD">
            <w:pPr>
              <w:jc w:val="center"/>
              <w:rPr>
                <w:sz w:val="24"/>
                <w:szCs w:val="24"/>
              </w:rPr>
            </w:pPr>
            <w:r w:rsidRPr="00BD60DD">
              <w:rPr>
                <w:sz w:val="24"/>
                <w:szCs w:val="24"/>
              </w:rPr>
              <w:t>Identify</w:t>
            </w:r>
            <w:r>
              <w:rPr>
                <w:sz w:val="24"/>
                <w:szCs w:val="24"/>
              </w:rPr>
              <w:t xml:space="preserve"> user classes that have process that might need to be automated</w:t>
            </w:r>
          </w:p>
        </w:tc>
        <w:tc>
          <w:tcPr>
            <w:tcW w:w="1383" w:type="dxa"/>
          </w:tcPr>
          <w:p w:rsidR="00BD60DD" w:rsidRPr="00BD60DD" w:rsidRDefault="00BD60DD" w:rsidP="00BD60DD">
            <w:pPr>
              <w:jc w:val="center"/>
              <w:rPr>
                <w:sz w:val="24"/>
                <w:szCs w:val="24"/>
              </w:rPr>
            </w:pPr>
            <w:r>
              <w:rPr>
                <w:sz w:val="24"/>
                <w:szCs w:val="24"/>
              </w:rPr>
              <w:t>Chapter 6: “Finding the voice of the user”</w:t>
            </w:r>
          </w:p>
        </w:tc>
        <w:tc>
          <w:tcPr>
            <w:tcW w:w="7505" w:type="dxa"/>
          </w:tcPr>
          <w:p w:rsidR="00000000" w:rsidRPr="00BD60DD" w:rsidRDefault="00BD60DD" w:rsidP="00BD60DD">
            <w:pPr>
              <w:rPr>
                <w:sz w:val="24"/>
                <w:szCs w:val="24"/>
              </w:rPr>
            </w:pPr>
            <w:r>
              <w:rPr>
                <w:sz w:val="24"/>
                <w:szCs w:val="24"/>
              </w:rPr>
              <w:t xml:space="preserve">- </w:t>
            </w:r>
            <w:r w:rsidR="0025661B" w:rsidRPr="00BD60DD">
              <w:rPr>
                <w:sz w:val="24"/>
                <w:szCs w:val="24"/>
              </w:rPr>
              <w:t xml:space="preserve">A useful technique for this is a collaboration pattern (Ellen </w:t>
            </w:r>
            <w:proofErr w:type="spellStart"/>
            <w:r w:rsidR="0025661B" w:rsidRPr="00BD60DD">
              <w:rPr>
                <w:sz w:val="24"/>
                <w:szCs w:val="24"/>
              </w:rPr>
              <w:t>Gottesdiener</w:t>
            </w:r>
            <w:proofErr w:type="spellEnd"/>
            <w:r w:rsidR="0025661B" w:rsidRPr="00BD60DD">
              <w:rPr>
                <w:sz w:val="24"/>
                <w:szCs w:val="24"/>
              </w:rPr>
              <w:t xml:space="preserve"> )</w:t>
            </w:r>
          </w:p>
          <w:p w:rsidR="00000000" w:rsidRPr="00BD60DD" w:rsidRDefault="00BD60DD" w:rsidP="00BD60DD">
            <w:pPr>
              <w:rPr>
                <w:sz w:val="24"/>
                <w:szCs w:val="24"/>
              </w:rPr>
            </w:pPr>
            <w:r>
              <w:rPr>
                <w:sz w:val="24"/>
                <w:szCs w:val="24"/>
              </w:rPr>
              <w:t xml:space="preserve">- </w:t>
            </w:r>
            <w:r w:rsidR="0025661B" w:rsidRPr="00BD60DD">
              <w:rPr>
                <w:sz w:val="24"/>
                <w:szCs w:val="24"/>
              </w:rPr>
              <w:t xml:space="preserve">The external entities shown outside your system on a context diagram </w:t>
            </w:r>
            <w:proofErr w:type="gramStart"/>
            <w:r w:rsidR="0025661B" w:rsidRPr="00BD60DD">
              <w:rPr>
                <w:sz w:val="24"/>
                <w:szCs w:val="24"/>
              </w:rPr>
              <w:t>are  candidates</w:t>
            </w:r>
            <w:proofErr w:type="gramEnd"/>
            <w:r w:rsidR="0025661B" w:rsidRPr="00BD60DD">
              <w:rPr>
                <w:sz w:val="24"/>
                <w:szCs w:val="24"/>
              </w:rPr>
              <w:t xml:space="preserve"> for user classes.</w:t>
            </w:r>
          </w:p>
          <w:p w:rsidR="00BD60DD" w:rsidRPr="00BD60DD" w:rsidRDefault="0025661B" w:rsidP="00BD60DD">
            <w:pPr>
              <w:rPr>
                <w:sz w:val="24"/>
                <w:szCs w:val="24"/>
              </w:rPr>
            </w:pPr>
            <w:r w:rsidRPr="00BD60DD">
              <w:rPr>
                <w:sz w:val="24"/>
                <w:szCs w:val="24"/>
              </w:rPr>
              <w:t xml:space="preserve"> </w:t>
            </w:r>
            <w:r w:rsidR="00BD60DD">
              <w:rPr>
                <w:sz w:val="24"/>
                <w:szCs w:val="24"/>
              </w:rPr>
              <w:t xml:space="preserve">- </w:t>
            </w:r>
            <w:r w:rsidRPr="00BD60DD">
              <w:rPr>
                <w:sz w:val="24"/>
                <w:szCs w:val="24"/>
              </w:rPr>
              <w:t xml:space="preserve">A corporate organization chart can also help you discover potential users and other stakeholders (Beatty and Chen 2012). </w:t>
            </w:r>
          </w:p>
        </w:tc>
      </w:tr>
      <w:tr w:rsidR="00BD60DD" w:rsidRPr="00BD60DD" w:rsidTr="00FA3437">
        <w:trPr>
          <w:jc w:val="center"/>
        </w:trPr>
        <w:tc>
          <w:tcPr>
            <w:tcW w:w="1300" w:type="dxa"/>
          </w:tcPr>
          <w:p w:rsidR="00BD60DD" w:rsidRPr="00BD60DD" w:rsidRDefault="00BD60DD" w:rsidP="00BD60DD">
            <w:pPr>
              <w:jc w:val="center"/>
              <w:rPr>
                <w:sz w:val="24"/>
                <w:szCs w:val="24"/>
              </w:rPr>
            </w:pPr>
            <w:r>
              <w:rPr>
                <w:sz w:val="24"/>
                <w:szCs w:val="24"/>
              </w:rPr>
              <w:t>Create or extend data models for information that is being  handle manually</w:t>
            </w:r>
          </w:p>
        </w:tc>
        <w:tc>
          <w:tcPr>
            <w:tcW w:w="1383" w:type="dxa"/>
          </w:tcPr>
          <w:p w:rsidR="00BD60DD" w:rsidRDefault="00BD60DD" w:rsidP="00BD60DD">
            <w:pPr>
              <w:jc w:val="center"/>
              <w:rPr>
                <w:sz w:val="24"/>
                <w:szCs w:val="24"/>
              </w:rPr>
            </w:pPr>
            <w:r>
              <w:rPr>
                <w:sz w:val="24"/>
                <w:szCs w:val="24"/>
              </w:rPr>
              <w:t>Chapter 13: “</w:t>
            </w:r>
            <w:r w:rsidR="005D64AB">
              <w:rPr>
                <w:sz w:val="24"/>
                <w:szCs w:val="24"/>
              </w:rPr>
              <w:t>Specifying data requireme</w:t>
            </w:r>
            <w:r>
              <w:rPr>
                <w:sz w:val="24"/>
                <w:szCs w:val="24"/>
              </w:rPr>
              <w:t>nts”</w:t>
            </w:r>
          </w:p>
        </w:tc>
        <w:tc>
          <w:tcPr>
            <w:tcW w:w="7505" w:type="dxa"/>
          </w:tcPr>
          <w:p w:rsidR="003E2B74" w:rsidRDefault="003E2B74" w:rsidP="003E2B74">
            <w:pPr>
              <w:rPr>
                <w:sz w:val="24"/>
                <w:szCs w:val="24"/>
              </w:rPr>
            </w:pPr>
            <w:r>
              <w:rPr>
                <w:sz w:val="24"/>
                <w:szCs w:val="24"/>
              </w:rPr>
              <w:t>- U</w:t>
            </w:r>
            <w:r w:rsidR="005D64AB" w:rsidRPr="005D64AB">
              <w:rPr>
                <w:sz w:val="24"/>
                <w:szCs w:val="24"/>
              </w:rPr>
              <w:t>sed data model is the entity-relationship diagram or ERD. If your ERD represents logical groups of information from the problem domain and their interconnections, you’re using the ERD as a requirements analysis tool.</w:t>
            </w:r>
          </w:p>
          <w:p w:rsidR="005D64AB" w:rsidRPr="005D64AB" w:rsidRDefault="003E2B74" w:rsidP="003E2B74">
            <w:pPr>
              <w:rPr>
                <w:sz w:val="24"/>
                <w:szCs w:val="24"/>
              </w:rPr>
            </w:pPr>
            <w:r>
              <w:rPr>
                <w:sz w:val="24"/>
                <w:szCs w:val="24"/>
              </w:rPr>
              <w:t>-</w:t>
            </w:r>
            <w:r w:rsidR="005D64AB" w:rsidRPr="005D64AB">
              <w:rPr>
                <w:sz w:val="24"/>
                <w:szCs w:val="24"/>
              </w:rPr>
              <w:t xml:space="preserve"> An analysis ERD helps you</w:t>
            </w:r>
          </w:p>
          <w:p w:rsidR="005D64AB" w:rsidRPr="005D64AB" w:rsidRDefault="005D64AB" w:rsidP="003E2B74">
            <w:pPr>
              <w:rPr>
                <w:sz w:val="24"/>
                <w:szCs w:val="24"/>
              </w:rPr>
            </w:pPr>
            <w:r w:rsidRPr="005D64AB">
              <w:rPr>
                <w:sz w:val="24"/>
                <w:szCs w:val="24"/>
              </w:rPr>
              <w:t>understand and communicate the data components of the business or the system, without implying</w:t>
            </w:r>
          </w:p>
          <w:p w:rsidR="00BD60DD" w:rsidRPr="00BD60DD" w:rsidRDefault="005D64AB" w:rsidP="003E2B74">
            <w:pPr>
              <w:rPr>
                <w:sz w:val="24"/>
                <w:szCs w:val="24"/>
              </w:rPr>
            </w:pPr>
            <w:proofErr w:type="gramStart"/>
            <w:r w:rsidRPr="005D64AB">
              <w:rPr>
                <w:sz w:val="24"/>
                <w:szCs w:val="24"/>
              </w:rPr>
              <w:t>that</w:t>
            </w:r>
            <w:proofErr w:type="gramEnd"/>
            <w:r w:rsidRPr="005D64AB">
              <w:rPr>
                <w:sz w:val="24"/>
                <w:szCs w:val="24"/>
              </w:rPr>
              <w:t xml:space="preserve"> the product will necessarily even include a database.</w:t>
            </w:r>
          </w:p>
        </w:tc>
      </w:tr>
      <w:tr w:rsidR="003E2B74" w:rsidRPr="00BD60DD" w:rsidTr="00FA3437">
        <w:trPr>
          <w:jc w:val="center"/>
        </w:trPr>
        <w:tc>
          <w:tcPr>
            <w:tcW w:w="1300" w:type="dxa"/>
          </w:tcPr>
          <w:p w:rsidR="003E2B74" w:rsidRPr="003E2B74" w:rsidRDefault="003E2B74" w:rsidP="00BD60DD">
            <w:pPr>
              <w:jc w:val="center"/>
              <w:rPr>
                <w:sz w:val="24"/>
                <w:szCs w:val="24"/>
              </w:rPr>
            </w:pPr>
            <w:r w:rsidRPr="003E2B74">
              <w:rPr>
                <w:sz w:val="24"/>
                <w:szCs w:val="24"/>
              </w:rPr>
              <w:t>Create a roles and permissions matrix to capture security requirements that previously were enforced manually.</w:t>
            </w:r>
          </w:p>
        </w:tc>
        <w:tc>
          <w:tcPr>
            <w:tcW w:w="1383" w:type="dxa"/>
          </w:tcPr>
          <w:p w:rsidR="003E2B74" w:rsidRDefault="003E2B74" w:rsidP="00BD60DD">
            <w:pPr>
              <w:jc w:val="center"/>
              <w:rPr>
                <w:sz w:val="24"/>
                <w:szCs w:val="24"/>
              </w:rPr>
            </w:pPr>
            <w:r>
              <w:t>Chap</w:t>
            </w:r>
            <w:r>
              <w:t xml:space="preserve">ter 9: </w:t>
            </w:r>
            <w:r>
              <w:t>“Playing by the rules”</w:t>
            </w:r>
          </w:p>
        </w:tc>
        <w:tc>
          <w:tcPr>
            <w:tcW w:w="7505" w:type="dxa"/>
          </w:tcPr>
          <w:p w:rsidR="003E2B74" w:rsidRDefault="003E2B74" w:rsidP="003E2B74">
            <w:pPr>
              <w:rPr>
                <w:sz w:val="24"/>
                <w:szCs w:val="24"/>
              </w:rPr>
            </w:pPr>
            <w:r w:rsidRPr="003E2B74">
              <w:rPr>
                <w:sz w:val="24"/>
                <w:szCs w:val="24"/>
              </w:rPr>
              <w:drawing>
                <wp:inline distT="0" distB="0" distL="0" distR="0" wp14:anchorId="63DF2D1A" wp14:editId="03D21AC3">
                  <wp:extent cx="4772691" cy="347711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2691" cy="3477110"/>
                          </a:xfrm>
                          <a:prstGeom prst="rect">
                            <a:avLst/>
                          </a:prstGeom>
                        </pic:spPr>
                      </pic:pic>
                    </a:graphicData>
                  </a:graphic>
                </wp:inline>
              </w:drawing>
            </w:r>
          </w:p>
        </w:tc>
      </w:tr>
      <w:tr w:rsidR="008C1ABB" w:rsidRPr="00BD60DD" w:rsidTr="00FA3437">
        <w:trPr>
          <w:jc w:val="center"/>
        </w:trPr>
        <w:tc>
          <w:tcPr>
            <w:tcW w:w="1300" w:type="dxa"/>
          </w:tcPr>
          <w:p w:rsidR="008C1ABB" w:rsidRPr="003E2B74" w:rsidRDefault="008C1ABB" w:rsidP="00BD60DD">
            <w:pPr>
              <w:jc w:val="center"/>
              <w:rPr>
                <w:sz w:val="24"/>
                <w:szCs w:val="24"/>
              </w:rPr>
            </w:pPr>
            <w:r>
              <w:t>Identify business rules that must be automated when processes they affect are automated.</w:t>
            </w:r>
          </w:p>
        </w:tc>
        <w:tc>
          <w:tcPr>
            <w:tcW w:w="1383" w:type="dxa"/>
          </w:tcPr>
          <w:p w:rsidR="008C1ABB" w:rsidRDefault="008C1ABB" w:rsidP="00BD60DD">
            <w:pPr>
              <w:jc w:val="center"/>
            </w:pPr>
            <w:r>
              <w:t>Chapter 9, “Playing by the rules”</w:t>
            </w:r>
          </w:p>
        </w:tc>
        <w:tc>
          <w:tcPr>
            <w:tcW w:w="7505" w:type="dxa"/>
          </w:tcPr>
          <w:p w:rsidR="004D5F29" w:rsidRPr="004D5F29" w:rsidRDefault="004D5F29" w:rsidP="004D5F29">
            <w:pPr>
              <w:rPr>
                <w:sz w:val="24"/>
                <w:szCs w:val="24"/>
              </w:rPr>
            </w:pPr>
            <w:r w:rsidRPr="004D5F29">
              <w:rPr>
                <w:sz w:val="24"/>
                <w:szCs w:val="24"/>
              </w:rPr>
              <w:t>-“Common knowledge” from the organization, often collected from individuals who have worked with the business for a long time and know the details of how it operates.</w:t>
            </w:r>
          </w:p>
          <w:p w:rsidR="004D5F29" w:rsidRDefault="004D5F29" w:rsidP="004D5F29">
            <w:pPr>
              <w:rPr>
                <w:sz w:val="24"/>
                <w:szCs w:val="24"/>
              </w:rPr>
            </w:pPr>
            <w:r w:rsidRPr="004D5F29">
              <w:rPr>
                <w:sz w:val="24"/>
                <w:szCs w:val="24"/>
              </w:rPr>
              <w:t xml:space="preserve">-Legacy systems that embed business rules in their requirements and code. This </w:t>
            </w:r>
            <w:proofErr w:type="gramStart"/>
            <w:r w:rsidRPr="004D5F29">
              <w:rPr>
                <w:sz w:val="24"/>
                <w:szCs w:val="24"/>
              </w:rPr>
              <w:t>requires  reverse</w:t>
            </w:r>
            <w:proofErr w:type="gramEnd"/>
            <w:r w:rsidRPr="004D5F29">
              <w:rPr>
                <w:sz w:val="24"/>
                <w:szCs w:val="24"/>
              </w:rPr>
              <w:t>-engineering the rationale behind the requirements or code to understand the  pertinent rules. This sometimes yields incomplete knowledge about the business rules.</w:t>
            </w:r>
          </w:p>
          <w:p w:rsidR="008C1ABB" w:rsidRPr="008C1ABB" w:rsidRDefault="008C1ABB" w:rsidP="008C1ABB">
            <w:pPr>
              <w:rPr>
                <w:sz w:val="24"/>
                <w:szCs w:val="24"/>
              </w:rPr>
            </w:pPr>
            <w:r>
              <w:rPr>
                <w:sz w:val="24"/>
                <w:szCs w:val="24"/>
              </w:rPr>
              <w:t xml:space="preserve">- </w:t>
            </w:r>
            <w:r w:rsidRPr="008C1ABB">
              <w:rPr>
                <w:sz w:val="24"/>
                <w:szCs w:val="24"/>
              </w:rPr>
              <w:t xml:space="preserve">Business process modeling, which leads the analyst to look for rules that can affect </w:t>
            </w:r>
            <w:proofErr w:type="gramStart"/>
            <w:r w:rsidRPr="008C1ABB">
              <w:rPr>
                <w:sz w:val="24"/>
                <w:szCs w:val="24"/>
              </w:rPr>
              <w:t>each  process</w:t>
            </w:r>
            <w:proofErr w:type="gramEnd"/>
            <w:r w:rsidRPr="008C1ABB">
              <w:rPr>
                <w:sz w:val="24"/>
                <w:szCs w:val="24"/>
              </w:rPr>
              <w:t xml:space="preserve"> step: constraints, triggering events, computational rules, and relevant facts</w:t>
            </w:r>
            <w:r w:rsidR="004D5F29">
              <w:rPr>
                <w:sz w:val="24"/>
                <w:szCs w:val="24"/>
              </w:rPr>
              <w:t>…</w:t>
            </w:r>
          </w:p>
        </w:tc>
      </w:tr>
      <w:tr w:rsidR="004D5F29" w:rsidRPr="00BD60DD" w:rsidTr="00FA3437">
        <w:trPr>
          <w:jc w:val="center"/>
        </w:trPr>
        <w:tc>
          <w:tcPr>
            <w:tcW w:w="1300" w:type="dxa"/>
          </w:tcPr>
          <w:p w:rsidR="004D5F29" w:rsidRDefault="004D5F29" w:rsidP="00BD60DD">
            <w:pPr>
              <w:jc w:val="center"/>
            </w:pPr>
            <w:r>
              <w:lastRenderedPageBreak/>
              <w:t xml:space="preserve">Create flowcharts, </w:t>
            </w:r>
            <w:proofErr w:type="spellStart"/>
            <w:r>
              <w:t>swimlane</w:t>
            </w:r>
            <w:proofErr w:type="spellEnd"/>
            <w:r>
              <w:t xml:space="preserve"> diagrams, activity diagrams, or use cases to show how users currently perform tasks and how they will perform them after automation.</w:t>
            </w:r>
          </w:p>
        </w:tc>
        <w:tc>
          <w:tcPr>
            <w:tcW w:w="1383" w:type="dxa"/>
          </w:tcPr>
          <w:p w:rsidR="004D5F29" w:rsidRDefault="004D5F29" w:rsidP="00BD60DD">
            <w:pPr>
              <w:jc w:val="center"/>
            </w:pPr>
            <w:r>
              <w:t xml:space="preserve">Chapter 8: </w:t>
            </w:r>
            <w:r>
              <w:t xml:space="preserve"> “Understanding use</w:t>
            </w:r>
            <w:r>
              <w:t xml:space="preserve">r requirements” and Chapter 12: </w:t>
            </w:r>
            <w:r>
              <w:t>“A picture is worth 1024 words”</w:t>
            </w:r>
          </w:p>
        </w:tc>
        <w:tc>
          <w:tcPr>
            <w:tcW w:w="7505" w:type="dxa"/>
          </w:tcPr>
          <w:p w:rsidR="004D5F29" w:rsidRPr="004D5F29" w:rsidRDefault="004D5F29" w:rsidP="004D5F29">
            <w:pPr>
              <w:rPr>
                <w:sz w:val="24"/>
                <w:szCs w:val="24"/>
              </w:rPr>
            </w:pPr>
            <w:r w:rsidRPr="004D5F29">
              <w:rPr>
                <w:sz w:val="24"/>
                <w:szCs w:val="24"/>
              </w:rPr>
              <w:drawing>
                <wp:inline distT="0" distB="0" distL="0" distR="0" wp14:anchorId="2E5955ED" wp14:editId="34422995">
                  <wp:extent cx="5172797" cy="29722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2797" cy="2972215"/>
                          </a:xfrm>
                          <a:prstGeom prst="rect">
                            <a:avLst/>
                          </a:prstGeom>
                        </pic:spPr>
                      </pic:pic>
                    </a:graphicData>
                  </a:graphic>
                </wp:inline>
              </w:drawing>
            </w:r>
          </w:p>
        </w:tc>
      </w:tr>
      <w:tr w:rsidR="004D5F29" w:rsidRPr="00BD60DD" w:rsidTr="00FA3437">
        <w:trPr>
          <w:jc w:val="center"/>
        </w:trPr>
        <w:tc>
          <w:tcPr>
            <w:tcW w:w="1300" w:type="dxa"/>
          </w:tcPr>
          <w:p w:rsidR="004D5F29" w:rsidRDefault="004D5F29" w:rsidP="00BD60DD">
            <w:pPr>
              <w:jc w:val="center"/>
            </w:pPr>
            <w:r>
              <w:t>Use data flow diagrams (DFDs) to identify processes that could be automated, and create new DFDs to show how newly automated processes interact with existing parts of the system.</w:t>
            </w:r>
          </w:p>
        </w:tc>
        <w:tc>
          <w:tcPr>
            <w:tcW w:w="1383" w:type="dxa"/>
          </w:tcPr>
          <w:p w:rsidR="004D5F29" w:rsidRDefault="004D5F29" w:rsidP="00BD60DD">
            <w:pPr>
              <w:jc w:val="center"/>
            </w:pPr>
            <w:r>
              <w:t>Chapter 12, “A picture is worth 1024 words”</w:t>
            </w:r>
          </w:p>
        </w:tc>
        <w:tc>
          <w:tcPr>
            <w:tcW w:w="7505" w:type="dxa"/>
          </w:tcPr>
          <w:p w:rsidR="004D5F29" w:rsidRPr="004D5F29" w:rsidRDefault="004D5F29" w:rsidP="004D5F29">
            <w:pPr>
              <w:rPr>
                <w:sz w:val="24"/>
                <w:szCs w:val="24"/>
              </w:rPr>
            </w:pPr>
            <w:r w:rsidRPr="004D5F29">
              <w:rPr>
                <w:sz w:val="24"/>
                <w:szCs w:val="24"/>
              </w:rPr>
              <w:t xml:space="preserve">- A top-level data flow diagram represents how a business process handles data at a high level of abstraction. </w:t>
            </w:r>
            <w:proofErr w:type="spellStart"/>
            <w:r w:rsidRPr="004D5F29">
              <w:rPr>
                <w:sz w:val="24"/>
                <w:szCs w:val="24"/>
              </w:rPr>
              <w:t>Swimlane</w:t>
            </w:r>
            <w:proofErr w:type="spellEnd"/>
            <w:r w:rsidRPr="004D5F29">
              <w:rPr>
                <w:sz w:val="24"/>
                <w:szCs w:val="24"/>
              </w:rPr>
              <w:t xml:space="preserve"> diagrams show the roles that participate in executing the various steps in a business process flow.</w:t>
            </w:r>
          </w:p>
          <w:p w:rsidR="004D5F29" w:rsidRPr="004D5F29" w:rsidRDefault="004D5F29" w:rsidP="004D5F29">
            <w:pPr>
              <w:rPr>
                <w:sz w:val="24"/>
                <w:szCs w:val="24"/>
              </w:rPr>
            </w:pPr>
            <w:r w:rsidRPr="004D5F29">
              <w:rPr>
                <w:sz w:val="24"/>
                <w:szCs w:val="24"/>
              </w:rPr>
              <w:t xml:space="preserve">- Refined levels of data flow diagrams or </w:t>
            </w:r>
            <w:proofErr w:type="spellStart"/>
            <w:r w:rsidRPr="004D5F29">
              <w:rPr>
                <w:sz w:val="24"/>
                <w:szCs w:val="24"/>
              </w:rPr>
              <w:t>swimlane</w:t>
            </w:r>
            <w:proofErr w:type="spellEnd"/>
            <w:r w:rsidRPr="004D5F29">
              <w:rPr>
                <w:sz w:val="24"/>
                <w:szCs w:val="24"/>
              </w:rPr>
              <w:t xml:space="preserve"> diagrams can represent business process flows in considerable detail. Similarly, flowcharts and activity diagrams can be used at either high or low levels of abstraction, although most commonly they are used to define the details of a process</w:t>
            </w:r>
          </w:p>
        </w:tc>
      </w:tr>
      <w:tr w:rsidR="00FA3437" w:rsidRPr="00BD60DD" w:rsidTr="00FA3437">
        <w:trPr>
          <w:jc w:val="center"/>
        </w:trPr>
        <w:tc>
          <w:tcPr>
            <w:tcW w:w="1300" w:type="dxa"/>
          </w:tcPr>
          <w:p w:rsidR="00FA3437" w:rsidRDefault="00FA3437" w:rsidP="00BD60DD">
            <w:pPr>
              <w:jc w:val="center"/>
            </w:pPr>
            <w:r>
              <w:t>Adapt business processes to permit use of a COTS solution.</w:t>
            </w:r>
          </w:p>
        </w:tc>
        <w:tc>
          <w:tcPr>
            <w:tcW w:w="1383" w:type="dxa"/>
          </w:tcPr>
          <w:p w:rsidR="00FA3437" w:rsidRDefault="00FA3437" w:rsidP="00BD60DD">
            <w:pPr>
              <w:jc w:val="center"/>
            </w:pPr>
            <w:r>
              <w:t>Chapter 22, “Packaged solution projects”</w:t>
            </w:r>
          </w:p>
        </w:tc>
        <w:tc>
          <w:tcPr>
            <w:tcW w:w="7505" w:type="dxa"/>
          </w:tcPr>
          <w:p w:rsidR="00FA3437" w:rsidRPr="004D5F29" w:rsidRDefault="0025661B" w:rsidP="0025661B">
            <w:pPr>
              <w:rPr>
                <w:sz w:val="24"/>
                <w:szCs w:val="24"/>
              </w:rPr>
            </w:pPr>
            <w:r>
              <w:rPr>
                <w:sz w:val="24"/>
                <w:szCs w:val="24"/>
              </w:rPr>
              <w:t xml:space="preserve">- </w:t>
            </w:r>
            <w:r w:rsidRPr="0025661B">
              <w:rPr>
                <w:sz w:val="24"/>
                <w:szCs w:val="24"/>
              </w:rPr>
              <w:t>COTS packages are usually selected because implementing and maintaining them is expected to be less expensive than building custom software. Organizations nee</w:t>
            </w:r>
            <w:r>
              <w:rPr>
                <w:sz w:val="24"/>
                <w:szCs w:val="24"/>
              </w:rPr>
              <w:t xml:space="preserve">d to be prepared to adapt their </w:t>
            </w:r>
            <w:r w:rsidRPr="0025661B">
              <w:rPr>
                <w:sz w:val="24"/>
                <w:szCs w:val="24"/>
              </w:rPr>
              <w:t>business processes to the package’s workflow capabilities and limitations. This is different from most development projects where the software is designed specifically to accommodate existing or planned processes.</w:t>
            </w:r>
          </w:p>
        </w:tc>
      </w:tr>
      <w:tr w:rsidR="00FA3437" w:rsidRPr="00BD60DD" w:rsidTr="00FA3437">
        <w:trPr>
          <w:jc w:val="center"/>
        </w:trPr>
        <w:tc>
          <w:tcPr>
            <w:tcW w:w="1300" w:type="dxa"/>
          </w:tcPr>
          <w:p w:rsidR="00FA3437" w:rsidRDefault="00FA3437" w:rsidP="00FA3437">
            <w:pPr>
              <w:jc w:val="center"/>
            </w:pPr>
            <w:r>
              <w:t>Create trace matrices to map process steps to requirements</w:t>
            </w:r>
          </w:p>
        </w:tc>
        <w:tc>
          <w:tcPr>
            <w:tcW w:w="1383" w:type="dxa"/>
          </w:tcPr>
          <w:p w:rsidR="00FA3437" w:rsidRDefault="00FA3437" w:rsidP="00BD60DD">
            <w:pPr>
              <w:jc w:val="center"/>
            </w:pPr>
            <w:r>
              <w:t>Chapter 29, “Links in the requirements chain”</w:t>
            </w:r>
          </w:p>
        </w:tc>
        <w:tc>
          <w:tcPr>
            <w:tcW w:w="7505" w:type="dxa"/>
          </w:tcPr>
          <w:p w:rsidR="00FA3437" w:rsidRDefault="00FA3437" w:rsidP="004D5F29">
            <w:pPr>
              <w:rPr>
                <w:sz w:val="24"/>
                <w:szCs w:val="24"/>
              </w:rPr>
            </w:pPr>
            <w:r w:rsidRPr="00FA3437">
              <w:rPr>
                <w:sz w:val="24"/>
                <w:szCs w:val="24"/>
              </w:rPr>
              <w:drawing>
                <wp:inline distT="0" distB="0" distL="0" distR="0" wp14:anchorId="694213B7" wp14:editId="26FB4479">
                  <wp:extent cx="5201376" cy="1267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1376" cy="1267002"/>
                          </a:xfrm>
                          <a:prstGeom prst="rect">
                            <a:avLst/>
                          </a:prstGeom>
                        </pic:spPr>
                      </pic:pic>
                    </a:graphicData>
                  </a:graphic>
                </wp:inline>
              </w:drawing>
            </w:r>
          </w:p>
          <w:p w:rsidR="00FA3437" w:rsidRDefault="00FA3437" w:rsidP="004D5F29"/>
          <w:p w:rsidR="00FA3437" w:rsidRPr="004D5F29" w:rsidRDefault="00FA3437" w:rsidP="004D5F29">
            <w:pPr>
              <w:rPr>
                <w:sz w:val="24"/>
                <w:szCs w:val="24"/>
              </w:rPr>
            </w:pPr>
            <w:r>
              <w:t>Table 29-1 shows how each functional requirement is linked backward to a specific use case and forward to one or more design, code, and test elements. A design element can be something like an architectural component, a table in a relational data model, or an object class. Code references can be class methods, stored procedures, source code file names, or modules within a source file. Including more trace detail takes more work, but it gives you the precise locations of the related software elements.</w:t>
            </w:r>
          </w:p>
        </w:tc>
      </w:tr>
    </w:tbl>
    <w:p w:rsidR="00CA3E4F" w:rsidRDefault="00CA3E4F" w:rsidP="00BD60DD"/>
    <w:sectPr w:rsidR="00CA3E4F" w:rsidSect="0025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1621"/>
    <w:multiLevelType w:val="hybridMultilevel"/>
    <w:tmpl w:val="8C2872D4"/>
    <w:lvl w:ilvl="0" w:tplc="99CE0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46EEB"/>
    <w:multiLevelType w:val="hybridMultilevel"/>
    <w:tmpl w:val="71B6BAB4"/>
    <w:lvl w:ilvl="0" w:tplc="633C70D0">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C14AC2"/>
    <w:multiLevelType w:val="hybridMultilevel"/>
    <w:tmpl w:val="82323586"/>
    <w:lvl w:ilvl="0" w:tplc="B276FD62">
      <w:start w:val="1"/>
      <w:numFmt w:val="bullet"/>
      <w:lvlText w:val="•"/>
      <w:lvlJc w:val="left"/>
      <w:pPr>
        <w:tabs>
          <w:tab w:val="num" w:pos="720"/>
        </w:tabs>
        <w:ind w:left="720" w:hanging="360"/>
      </w:pPr>
      <w:rPr>
        <w:rFonts w:ascii="Arial" w:hAnsi="Arial" w:hint="default"/>
      </w:rPr>
    </w:lvl>
    <w:lvl w:ilvl="1" w:tplc="5CB64278" w:tentative="1">
      <w:start w:val="1"/>
      <w:numFmt w:val="bullet"/>
      <w:lvlText w:val="•"/>
      <w:lvlJc w:val="left"/>
      <w:pPr>
        <w:tabs>
          <w:tab w:val="num" w:pos="1440"/>
        </w:tabs>
        <w:ind w:left="1440" w:hanging="360"/>
      </w:pPr>
      <w:rPr>
        <w:rFonts w:ascii="Arial" w:hAnsi="Arial" w:hint="default"/>
      </w:rPr>
    </w:lvl>
    <w:lvl w:ilvl="2" w:tplc="7B889C58" w:tentative="1">
      <w:start w:val="1"/>
      <w:numFmt w:val="bullet"/>
      <w:lvlText w:val="•"/>
      <w:lvlJc w:val="left"/>
      <w:pPr>
        <w:tabs>
          <w:tab w:val="num" w:pos="2160"/>
        </w:tabs>
        <w:ind w:left="2160" w:hanging="360"/>
      </w:pPr>
      <w:rPr>
        <w:rFonts w:ascii="Arial" w:hAnsi="Arial" w:hint="default"/>
      </w:rPr>
    </w:lvl>
    <w:lvl w:ilvl="3" w:tplc="7A765DA2" w:tentative="1">
      <w:start w:val="1"/>
      <w:numFmt w:val="bullet"/>
      <w:lvlText w:val="•"/>
      <w:lvlJc w:val="left"/>
      <w:pPr>
        <w:tabs>
          <w:tab w:val="num" w:pos="2880"/>
        </w:tabs>
        <w:ind w:left="2880" w:hanging="360"/>
      </w:pPr>
      <w:rPr>
        <w:rFonts w:ascii="Arial" w:hAnsi="Arial" w:hint="default"/>
      </w:rPr>
    </w:lvl>
    <w:lvl w:ilvl="4" w:tplc="623CF63A" w:tentative="1">
      <w:start w:val="1"/>
      <w:numFmt w:val="bullet"/>
      <w:lvlText w:val="•"/>
      <w:lvlJc w:val="left"/>
      <w:pPr>
        <w:tabs>
          <w:tab w:val="num" w:pos="3600"/>
        </w:tabs>
        <w:ind w:left="3600" w:hanging="360"/>
      </w:pPr>
      <w:rPr>
        <w:rFonts w:ascii="Arial" w:hAnsi="Arial" w:hint="default"/>
      </w:rPr>
    </w:lvl>
    <w:lvl w:ilvl="5" w:tplc="C9B24B04" w:tentative="1">
      <w:start w:val="1"/>
      <w:numFmt w:val="bullet"/>
      <w:lvlText w:val="•"/>
      <w:lvlJc w:val="left"/>
      <w:pPr>
        <w:tabs>
          <w:tab w:val="num" w:pos="4320"/>
        </w:tabs>
        <w:ind w:left="4320" w:hanging="360"/>
      </w:pPr>
      <w:rPr>
        <w:rFonts w:ascii="Arial" w:hAnsi="Arial" w:hint="default"/>
      </w:rPr>
    </w:lvl>
    <w:lvl w:ilvl="6" w:tplc="6A5A5B68" w:tentative="1">
      <w:start w:val="1"/>
      <w:numFmt w:val="bullet"/>
      <w:lvlText w:val="•"/>
      <w:lvlJc w:val="left"/>
      <w:pPr>
        <w:tabs>
          <w:tab w:val="num" w:pos="5040"/>
        </w:tabs>
        <w:ind w:left="5040" w:hanging="360"/>
      </w:pPr>
      <w:rPr>
        <w:rFonts w:ascii="Arial" w:hAnsi="Arial" w:hint="default"/>
      </w:rPr>
    </w:lvl>
    <w:lvl w:ilvl="7" w:tplc="21CABD70" w:tentative="1">
      <w:start w:val="1"/>
      <w:numFmt w:val="bullet"/>
      <w:lvlText w:val="•"/>
      <w:lvlJc w:val="left"/>
      <w:pPr>
        <w:tabs>
          <w:tab w:val="num" w:pos="5760"/>
        </w:tabs>
        <w:ind w:left="5760" w:hanging="360"/>
      </w:pPr>
      <w:rPr>
        <w:rFonts w:ascii="Arial" w:hAnsi="Arial" w:hint="default"/>
      </w:rPr>
    </w:lvl>
    <w:lvl w:ilvl="8" w:tplc="0BC4A5E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DD"/>
    <w:rsid w:val="0025661B"/>
    <w:rsid w:val="003E2B74"/>
    <w:rsid w:val="004D5F29"/>
    <w:rsid w:val="005D64AB"/>
    <w:rsid w:val="008C1ABB"/>
    <w:rsid w:val="00BD60DD"/>
    <w:rsid w:val="00CA3E4F"/>
    <w:rsid w:val="00FA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0DD"/>
    <w:pPr>
      <w:ind w:left="720"/>
      <w:contextualSpacing/>
    </w:pPr>
  </w:style>
  <w:style w:type="paragraph" w:styleId="BalloonText">
    <w:name w:val="Balloon Text"/>
    <w:basedOn w:val="Normal"/>
    <w:link w:val="BalloonTextChar"/>
    <w:uiPriority w:val="99"/>
    <w:semiHidden/>
    <w:unhideWhenUsed/>
    <w:rsid w:val="003E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0DD"/>
    <w:pPr>
      <w:ind w:left="720"/>
      <w:contextualSpacing/>
    </w:pPr>
  </w:style>
  <w:style w:type="paragraph" w:styleId="BalloonText">
    <w:name w:val="Balloon Text"/>
    <w:basedOn w:val="Normal"/>
    <w:link w:val="BalloonTextChar"/>
    <w:uiPriority w:val="99"/>
    <w:semiHidden/>
    <w:unhideWhenUsed/>
    <w:rsid w:val="003E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39991">
      <w:bodyDiv w:val="1"/>
      <w:marLeft w:val="0"/>
      <w:marRight w:val="0"/>
      <w:marTop w:val="0"/>
      <w:marBottom w:val="0"/>
      <w:divBdr>
        <w:top w:val="none" w:sz="0" w:space="0" w:color="auto"/>
        <w:left w:val="none" w:sz="0" w:space="0" w:color="auto"/>
        <w:bottom w:val="none" w:sz="0" w:space="0" w:color="auto"/>
        <w:right w:val="none" w:sz="0" w:space="0" w:color="auto"/>
      </w:divBdr>
      <w:divsChild>
        <w:div w:id="972443580">
          <w:marLeft w:val="403"/>
          <w:marRight w:val="0"/>
          <w:marTop w:val="115"/>
          <w:marBottom w:val="0"/>
          <w:divBdr>
            <w:top w:val="none" w:sz="0" w:space="0" w:color="auto"/>
            <w:left w:val="none" w:sz="0" w:space="0" w:color="auto"/>
            <w:bottom w:val="none" w:sz="0" w:space="0" w:color="auto"/>
            <w:right w:val="none" w:sz="0" w:space="0" w:color="auto"/>
          </w:divBdr>
        </w:div>
        <w:div w:id="577252413">
          <w:marLeft w:val="403"/>
          <w:marRight w:val="0"/>
          <w:marTop w:val="115"/>
          <w:marBottom w:val="0"/>
          <w:divBdr>
            <w:top w:val="none" w:sz="0" w:space="0" w:color="auto"/>
            <w:left w:val="none" w:sz="0" w:space="0" w:color="auto"/>
            <w:bottom w:val="none" w:sz="0" w:space="0" w:color="auto"/>
            <w:right w:val="none" w:sz="0" w:space="0" w:color="auto"/>
          </w:divBdr>
        </w:div>
        <w:div w:id="335377932">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2021-03-25T10:04:00Z</dcterms:created>
  <dcterms:modified xsi:type="dcterms:W3CDTF">2021-03-25T11:29:00Z</dcterms:modified>
</cp:coreProperties>
</file>