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西北</w:t>
      </w:r>
      <w:r>
        <w:t>工业大学</w:t>
      </w:r>
      <w:r>
        <w:rPr>
          <w:rFonts w:hint="eastAsia"/>
        </w:rPr>
        <w:t>20</w:t>
      </w:r>
      <w:r>
        <w:t>22-2023</w:t>
      </w:r>
      <w:r>
        <w:rPr>
          <w:rFonts w:hint="eastAsia"/>
        </w:rPr>
        <w:t>春季</w:t>
      </w:r>
      <w:r>
        <w:t>学期</w:t>
      </w:r>
    </w:p>
    <w:tbl>
      <w:tblPr>
        <w:tblStyle w:val="5"/>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865"/>
        <w:gridCol w:w="954"/>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学号</w:t>
            </w:r>
          </w:p>
        </w:tc>
        <w:tc>
          <w:tcPr>
            <w:tcW w:w="3865" w:type="dxa"/>
          </w:tcPr>
          <w:p>
            <w:pPr>
              <w:spacing w:line="360" w:lineRule="auto"/>
              <w:rPr>
                <w:rFonts w:hint="default" w:ascii="宋体" w:hAnsi="宋体" w:eastAsiaTheme="minorEastAsia"/>
                <w:lang w:val="en-US" w:eastAsia="zh-CN"/>
              </w:rPr>
            </w:pPr>
            <w:r>
              <w:rPr>
                <w:rFonts w:hint="eastAsia" w:ascii="宋体" w:hAnsi="宋体"/>
                <w:lang w:val="en-US" w:eastAsia="zh-CN"/>
              </w:rPr>
              <w:t>2020302904</w:t>
            </w:r>
          </w:p>
        </w:tc>
        <w:tc>
          <w:tcPr>
            <w:tcW w:w="954" w:type="dxa"/>
          </w:tcPr>
          <w:p>
            <w:pPr>
              <w:spacing w:line="360" w:lineRule="auto"/>
              <w:rPr>
                <w:rFonts w:ascii="宋体" w:hAnsi="宋体"/>
              </w:rPr>
            </w:pPr>
            <w:r>
              <w:rPr>
                <w:rFonts w:hint="eastAsia" w:ascii="宋体" w:hAnsi="宋体"/>
              </w:rPr>
              <w:t>班级</w:t>
            </w:r>
          </w:p>
        </w:tc>
        <w:tc>
          <w:tcPr>
            <w:tcW w:w="3827" w:type="dxa"/>
          </w:tcPr>
          <w:p>
            <w:pPr>
              <w:spacing w:line="360" w:lineRule="auto"/>
              <w:rPr>
                <w:rFonts w:hint="default" w:ascii="宋体" w:hAnsi="宋体" w:eastAsiaTheme="minorEastAsia"/>
                <w:lang w:val="en-US" w:eastAsia="zh-CN"/>
              </w:rPr>
            </w:pPr>
            <w:r>
              <w:rPr>
                <w:rFonts w:hint="eastAsia" w:ascii="宋体" w:hAnsi="宋体"/>
                <w:lang w:val="en-US" w:eastAsia="zh-CN"/>
              </w:rPr>
              <w:t>SC012002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姓名</w:t>
            </w:r>
          </w:p>
        </w:tc>
        <w:tc>
          <w:tcPr>
            <w:tcW w:w="3865" w:type="dxa"/>
          </w:tcPr>
          <w:p>
            <w:pPr>
              <w:spacing w:line="360" w:lineRule="auto"/>
              <w:rPr>
                <w:rFonts w:hint="default" w:ascii="宋体" w:hAnsi="宋体" w:eastAsiaTheme="minorEastAsia"/>
                <w:lang w:val="en-US" w:eastAsia="zh-CN"/>
              </w:rPr>
            </w:pPr>
            <w:r>
              <w:rPr>
                <w:rFonts w:hint="eastAsia" w:ascii="宋体" w:hAnsi="宋体"/>
                <w:lang w:val="en-US" w:eastAsia="zh-CN"/>
              </w:rPr>
              <w:t>张兴帆</w:t>
            </w:r>
          </w:p>
        </w:tc>
        <w:tc>
          <w:tcPr>
            <w:tcW w:w="954" w:type="dxa"/>
          </w:tcPr>
          <w:p>
            <w:pPr>
              <w:spacing w:line="360" w:lineRule="auto"/>
              <w:rPr>
                <w:rFonts w:ascii="宋体" w:hAnsi="宋体"/>
              </w:rPr>
            </w:pPr>
            <w:r>
              <w:rPr>
                <w:rFonts w:hint="eastAsia" w:ascii="宋体" w:hAnsi="宋体"/>
              </w:rPr>
              <w:t>学院</w:t>
            </w:r>
          </w:p>
        </w:tc>
        <w:tc>
          <w:tcPr>
            <w:tcW w:w="3827" w:type="dxa"/>
          </w:tcPr>
          <w:p>
            <w:pPr>
              <w:spacing w:line="360" w:lineRule="auto"/>
              <w:rPr>
                <w:rFonts w:hint="default" w:ascii="宋体" w:hAnsi="宋体" w:eastAsiaTheme="minorEastAsia"/>
                <w:lang w:val="en-US" w:eastAsia="zh-CN"/>
              </w:rPr>
            </w:pPr>
            <w:r>
              <w:rPr>
                <w:rFonts w:hint="eastAsia" w:ascii="宋体" w:hAnsi="宋体"/>
                <w:lang w:val="en-US" w:eastAsia="zh-CN"/>
              </w:rPr>
              <w:t>网络空间安全学院</w:t>
            </w:r>
          </w:p>
        </w:tc>
      </w:tr>
    </w:tbl>
    <w:p>
      <w:pPr>
        <w:spacing w:line="360" w:lineRule="auto"/>
      </w:pPr>
      <w:r>
        <w:rPr>
          <w:rFonts w:hint="eastAsia"/>
        </w:rPr>
        <w:t>大学生信息素养课程作业</w:t>
      </w:r>
    </w:p>
    <w:tbl>
      <w:tblPr>
        <w:tblStyle w:val="5"/>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01"/>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5</w:t>
            </w:r>
          </w:p>
        </w:tc>
        <w:tc>
          <w:tcPr>
            <w:tcW w:w="1701" w:type="dxa"/>
          </w:tcPr>
          <w:p>
            <w:pPr>
              <w:spacing w:line="360" w:lineRule="auto"/>
              <w:rPr>
                <w:rFonts w:ascii="宋体" w:hAnsi="宋体"/>
              </w:rPr>
            </w:pPr>
            <w:r>
              <w:rPr>
                <w:rFonts w:hint="eastAsia" w:ascii="宋体" w:hAnsi="宋体"/>
              </w:rPr>
              <w:t>信息能力</w:t>
            </w:r>
          </w:p>
          <w:p>
            <w:pPr>
              <w:spacing w:line="360" w:lineRule="auto"/>
              <w:rPr>
                <w:rFonts w:ascii="宋体" w:hAnsi="宋体"/>
              </w:rPr>
            </w:pPr>
            <w:r>
              <w:rPr>
                <w:rFonts w:hint="eastAsia" w:ascii="宋体" w:hAnsi="宋体"/>
              </w:rPr>
              <w:t>【信息识别】</w:t>
            </w:r>
          </w:p>
        </w:tc>
        <w:tc>
          <w:tcPr>
            <w:tcW w:w="7229" w:type="dxa"/>
          </w:tcPr>
          <w:p>
            <w:pPr>
              <w:spacing w:line="360" w:lineRule="auto"/>
              <w:rPr>
                <w:rFonts w:ascii="宋体" w:hAnsi="宋体"/>
              </w:rPr>
            </w:pPr>
            <w:r>
              <w:rPr>
                <w:rFonts w:hint="eastAsia" w:ascii="宋体" w:hAnsi="宋体"/>
              </w:rPr>
              <w:t>从网上查找，马太效应在虚拟世界中的表现是怎么样的，及其出现的原因。</w:t>
            </w:r>
          </w:p>
        </w:tc>
      </w:tr>
    </w:tbl>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default"/>
          <w:sz w:val="24"/>
          <w:szCs w:val="24"/>
          <w:lang w:val="en-US" w:eastAsia="zh-CN"/>
        </w:rPr>
        <w:t>马太效应是一种社会现象，指的是在某个领域中，已经处于有利地位的人或事物会因此而获得更多的机会和资源，而处于不利地位的人或事物则相对较少获得机会和资源，导致差距进一步扩大的现象。</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default"/>
          <w:sz w:val="24"/>
          <w:szCs w:val="24"/>
          <w:lang w:val="en-US" w:eastAsia="zh-CN"/>
        </w:rPr>
        <w:t>在虚拟世界中，马太效应也存在着一些表现。虚拟世界指的是由计算机技术构建的在线平台或虚拟环境，如网络游戏、社交媒体、电子商务等。</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社交媒体粉丝数：在社交媒体平台上，一些知名的个人、品牌或机构可能因为其已有的大量粉丝而吸引更多的关注和资源。这种关注和资源的集中会进一步增加其影响力和可见性，形成了马太效应。</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网络游戏中的装备获取：在一些多人在线游戏中，玩家可以通过游戏内的努力或投入虚拟货币来获取更好的装备和道具。而那些已经拥有高级装备和道具的玩家更容易获得更多的游戏资源和机会，进一步提升其实力和竞争优势。</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电子商务中的竞争优势：在电子商务平台上，一些已经建立起知名品牌或积累了大量顾客的商家往往能够吸引更多的消费者和订单。他们的竞争优势使得他们能够更好地销售产品，进一步扩大市场份额，并获得更多的资源和利润。</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网络影响力的累积：在网络世界中，一些知名的博主、视频创作者或网红由于其已经积累的大量粉丝和影响力，更容易吸引品牌合作、广告赞助和其他商业机会。这种累积效应使得他们能够获得更多的经济回报和资源，进一步扩大其影响力。</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default"/>
          <w:sz w:val="24"/>
          <w:szCs w:val="24"/>
          <w:lang w:val="en-US" w:eastAsia="zh-CN"/>
        </w:rPr>
        <w:t>虚拟世界中的马太效应在一定程度上与现实世界中的马太效应相似，都是在已有的优势基础上进一步获得更多的机会和资源。然而，虚拟世界中的马太效应也受到虚拟环境的规则和机制的制约，如平台规则、用户行为等，因此具体表现可能会有所不同。</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default"/>
          <w:sz w:val="24"/>
          <w:szCs w:val="24"/>
          <w:lang w:val="en-US" w:eastAsia="zh-CN"/>
        </w:rPr>
        <w:t>马太效应的出现可以归因于以下几个原因：</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起点差异：起点差异是指在某个领域中，个体或事物的初始条件存在差异。有些人或事物可能由于先天条件、家庭背景、教育机会等因素，从一开始就处于较有利的位置，获得更多的机会和资源，进一步提升了他们的竞争优势。</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积累效应：成功和优势往往会带来更多的机会和资源，而这些机会和资源的积累又进一步增加了成功和优势的可能性。比如，一个成功的企业会吸引更多的投资和客户，进一步扩大其规模和市场份额，从而获得更多的资源和竞争优势。</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网络效应：网络效应是指在某个领域中，个体或事物之间的互动和关联关系对其竞争优势的影响。一旦某个个体或事物在网络中获得了较高的地位或知名度，他们更容易吸引其他人的关注和支持，进一步巩固其竞争优势，形成正反馈的循环。</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不公平机制：社会中存在着一些不公平的机制，如特权阶层、权力集中、不平等的分配制度等。这些机制使得已经处于有利地位的人或事物能够更轻易地获得机会和资源，而不利地位的人或事物则难以改变自身状况。</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default"/>
          <w:sz w:val="24"/>
          <w:szCs w:val="24"/>
          <w:lang w:val="en-US" w:eastAsia="zh-CN"/>
        </w:rPr>
        <w:t>需要指出的是，马太效应并非普遍存在于所有领域和情境中，而是在一些特定的环境下较为显著。为了减少马太效应的出现，社会需要关注公平正义、提供平等的机会和资源分配、推动社会流动性等方面的政策和措施。</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zNDE4ZDhmZWNmYzcxZmZlYWQ0YjRjNmFlYWQzOGMifQ=="/>
  </w:docVars>
  <w:rsids>
    <w:rsidRoot w:val="00000000"/>
    <w:rsid w:val="13213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2023-05-11T06:22:30Z</dcterms:created>
  <dc:creator>star</dc:creator>
  <cp:lastModifiedBy>Fantastic★</cp:lastModifiedBy>
  <dcterms:modified xsi:type="dcterms:W3CDTF">2023-05-11T07:37:19Z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6C368A9EDB254BFC983880D60B1AC710</vt:lpwstr>
  </property>
</Properties>
</file>