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jpg" ContentType="image/jpeg"/>
  <Override PartName="/word/media/rId32.png" ContentType="image/png"/>
  <Override PartName="/word/media/rId49.jpg" ContentType="image/jpeg"/>
  <Override PartName="/word/media/rId50.jpg" ContentType="image/jpeg"/>
  <Override PartName="/word/media/rId74.png" ContentType="image/png"/>
  <Override PartName="/word/media/rId75.png" ContentType="image/png"/>
  <Override PartName="/word/media/rId76.png" ContentType="image/png"/>
  <Override PartName="/word/media/rId77.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writing/fantasy-faction-monthly/ebook-compilation/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r>
        <w:pict>
          <v:rect style="width:0;height:1.5pt" o:hralign="center" o:hrstd="t" o:hr="t"/>
        </w:pict>
      </w:r>
    </w:p>
    <w:p>
      <w:pPr>
        <w:pStyle w:val="Heading3"/>
      </w:pPr>
      <w:bookmarkStart w:id="28" w:name="original-source"/>
      <w:bookmarkEnd w:id="28"/>
      <w:r>
        <w:t xml:space="preserve">Original Source</w:t>
      </w:r>
    </w:p>
    <w:p>
      <w:pPr>
        <w:pStyle w:val="FirstParagraph"/>
      </w:pPr>
      <w:hyperlink r:id="rId29">
        <w:r>
          <w:rPr>
            <w:rStyle w:val="Hyperlink"/>
          </w:rPr>
          <w:t xml:space="preserve">https://en.wikipedia.org/wiki/Ed_Hindson</w:t>
        </w:r>
      </w:hyperlink>
    </w:p>
    <w:p>
      <w:pPr>
        <w:pStyle w:val="BodyText"/>
      </w:pPr>
      <w:r>
        <w:t xml:space="preserve">Ed Hindson (born Edward Hindson on December 21, 1944) is an American Christian evangelist and current host of The King Is Coming, a syndicated television broadcast shown across the United States. Hindson has written more than twenty books that deal with Bible prophecy and the imminent return of Jesus. He is a professor of Old Testament studies and eschatology at Liberty University in Lynchburg, Virginia, and a frequent speaker on prophecy.</w:t>
      </w:r>
    </w:p>
    <w:p>
      <w:pPr>
        <w:pStyle w:val="BodyText"/>
      </w:pPr>
      <w:r>
        <w:t xml:space="preserve">Hindson graduated from William Tyndale College in Farmington Hills, Michigan. He completed a DPhil at the University of South Africa and also holds a number of degrees such as an MA and ThD from Trinity Evangelical Divinity School, ThM from Grace Theological Seminary and D Min from Westminster Theological Seminary.</w:t>
      </w:r>
    </w:p>
    <w:p>
      <w:pPr>
        <w:pStyle w:val="BodyText"/>
      </w:pPr>
      <w:r>
        <w:t xml:space="preserve">His show, The King Is Coming, is aired on TBN, DayStar and other Christian television networks and stations.</w:t>
      </w:r>
    </w:p>
    <w:p>
      <w:pPr>
        <w:pStyle w:val="BodyText"/>
      </w:pPr>
      <w:r>
        <w:t xml:space="preserve">Dr. Hindson was named Dean of Liberty University's School of Religion on November 20, 2013.</w:t>
      </w:r>
    </w:p>
    <w:p>
      <w:pPr>
        <w:pStyle w:val="Heading1"/>
      </w:pPr>
      <w:bookmarkStart w:id="30" w:name="story2"/>
      <w:bookmarkEnd w:id="30"/>
      <w:r>
        <w:t xml:space="preserve">The Voice of the People</w:t>
      </w:r>
    </w:p>
    <w:p>
      <w:pPr>
        <w:pStyle w:val="Heading2"/>
      </w:pPr>
      <w:bookmarkStart w:id="31" w:name="by-jmack"/>
      <w:bookmarkEnd w:id="31"/>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writing/fantasy-faction-monthly/ebook-compilation/output/images/jmack-0.png" id="0" name="Picture"/>
                    <pic:cNvPicPr>
                      <a:picLocks noChangeArrowheads="1" noChangeAspect="1"/>
                    </pic:cNvPicPr>
                  </pic:nvPicPr>
                  <pic:blipFill>
                    <a:blip r:embed="rId32"/>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r>
        <w:pict>
          <v:rect style="width:0;height:1.5pt" o:hralign="center" o:hrstd="t" o:hr="t"/>
        </w:pict>
      </w:r>
    </w:p>
    <w:p>
      <w:pPr>
        <w:pStyle w:val="Heading3"/>
      </w:pPr>
      <w:bookmarkStart w:id="33" w:name="original-source-1"/>
      <w:bookmarkEnd w:id="33"/>
      <w:r>
        <w:t xml:space="preserve">Original Source</w:t>
      </w:r>
    </w:p>
    <w:p>
      <w:pPr>
        <w:pStyle w:val="FirstParagraph"/>
      </w:pPr>
      <w:hyperlink r:id="rId34">
        <w:r>
          <w:rPr>
            <w:rStyle w:val="Hyperlink"/>
          </w:rPr>
          <w:t xml:space="preserve">https://en.wikipedia.org/wiki/Philippine_parliamentary_election,_1984</w:t>
        </w:r>
      </w:hyperlink>
    </w:p>
    <w:p>
      <w:pPr>
        <w:pStyle w:val="BodyText"/>
      </w:pPr>
      <w:r>
        <w:t xml:space="preserve">Parliamentary elections were held on May 14, 1984, in the Philippines. Like past elections, charges of bribery, protests and complaints on irregularities marred the elections. Former Manila Times publisher Chino Roces and Former Senator and opposition leader Jose W. Diokno supported the campaign of boycotting the elections. The NAMFREL (NAMFREL) helped to lessen election rigging during the election.</w:t>
      </w:r>
    </w:p>
    <w:p>
      <w:pPr>
        <w:pStyle w:val="Heading1"/>
      </w:pPr>
      <w:bookmarkStart w:id="35" w:name="story3"/>
      <w:bookmarkEnd w:id="35"/>
      <w:r>
        <w:t xml:space="preserve">Safe Harbor No More</w:t>
      </w:r>
    </w:p>
    <w:p>
      <w:pPr>
        <w:pStyle w:val="Heading2"/>
      </w:pPr>
      <w:bookmarkStart w:id="36" w:name="by-nightwrite"/>
      <w:bookmarkEnd w:id="36"/>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r>
        <w:pict>
          <v:rect style="width:0;height:1.5pt" o:hralign="center" o:hrstd="t" o:hr="t"/>
        </w:pict>
      </w:r>
    </w:p>
    <w:p>
      <w:pPr>
        <w:pStyle w:val="Heading3"/>
      </w:pPr>
      <w:bookmarkStart w:id="37" w:name="original-source-2"/>
      <w:bookmarkEnd w:id="37"/>
      <w:r>
        <w:t xml:space="preserve">Original Source</w:t>
      </w:r>
    </w:p>
    <w:p>
      <w:pPr>
        <w:pStyle w:val="FirstParagraph"/>
      </w:pPr>
      <w:hyperlink r:id="rId38">
        <w:r>
          <w:rPr>
            <w:rStyle w:val="Hyperlink"/>
          </w:rPr>
          <w:t xml:space="preserve">https://en.wikipedia.org/wiki/Harbour_of_Tears</w:t>
        </w:r>
      </w:hyperlink>
    </w:p>
    <w:p>
      <w:pPr>
        <w:pStyle w:val="BodyText"/>
      </w:pPr>
      <w:r>
        <w:t xml:space="preserve">Harbour of Tears is a studio concept album by English progressive rock band Camel. It tells the story of an Irish family who are painfully separated as their young ones depart to the United States to seek a better future. Released in 1996, it was their twelfth studio album.</w:t>
      </w:r>
    </w:p>
    <w:p>
      <w:pPr>
        <w:pStyle w:val="Heading4"/>
      </w:pPr>
      <w:bookmarkStart w:id="39" w:name="title-and-lyrics"/>
      <w:bookmarkEnd w:id="39"/>
      <w:r>
        <w:t xml:space="preserve">Title and lyrics</w:t>
      </w:r>
    </w:p>
    <w:p>
      <w:pPr>
        <w:pStyle w:val="FirstParagraph"/>
      </w:pPr>
      <w:r>
        <w:t xml:space="preserve">Band vocalist and guitarist Andrew Latimer learned that the last sight of Ireland his grandmother's family would have seen was Cóbh Harbour, a deep water port that witnessed the fracturing of thousands of families as their sons and daughters departed towards America. Thus the album was titled as the common alias of the port, 'Harbour of Tears'.</w:t>
      </w:r>
    </w:p>
    <w:p>
      <w:pPr>
        <w:pStyle w:val="Heading1"/>
      </w:pPr>
      <w:bookmarkStart w:id="40" w:name="story4"/>
      <w:bookmarkEnd w:id="40"/>
      <w:r>
        <w:t xml:space="preserve">Infinite Memory</w:t>
      </w:r>
    </w:p>
    <w:p>
      <w:pPr>
        <w:pStyle w:val="Heading2"/>
      </w:pPr>
      <w:bookmarkStart w:id="41" w:name="by-venandiaer"/>
      <w:bookmarkEnd w:id="41"/>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r>
        <w:pict>
          <v:rect style="width:0;height:1.5pt" o:hralign="center" o:hrstd="t" o:hr="t"/>
        </w:pict>
      </w:r>
    </w:p>
    <w:p>
      <w:pPr>
        <w:pStyle w:val="Heading3"/>
      </w:pPr>
      <w:bookmarkStart w:id="42" w:name="original-source-3"/>
      <w:bookmarkEnd w:id="42"/>
      <w:r>
        <w:t xml:space="preserve">Original Source</w:t>
      </w:r>
    </w:p>
    <w:p>
      <w:pPr>
        <w:pStyle w:val="FirstParagraph"/>
      </w:pPr>
      <w:hyperlink r:id="rId43">
        <w:r>
          <w:rPr>
            <w:rStyle w:val="Hyperlink"/>
          </w:rPr>
          <w:t xml:space="preserve">https://en.wikipedia.org/wiki/Eagle_Butte_High_School</w:t>
        </w:r>
      </w:hyperlink>
    </w:p>
    <w:p>
      <w:pPr>
        <w:pStyle w:val="BodyText"/>
      </w:pPr>
      <w:r>
        <w:t xml:space="preserve">Eagle Butte High School is a high school in Dunmore, Alberta established in 1996. It is a school with only one hallway, a single floor, and is built into a hill for better heating efficiency. It is part of Prairie Rose School Division No. 8.</w:t>
      </w:r>
    </w:p>
    <w:p>
      <w:pPr>
        <w:pStyle w:val="Heading4"/>
      </w:pPr>
      <w:bookmarkStart w:id="44" w:name="history"/>
      <w:bookmarkEnd w:id="44"/>
      <w:r>
        <w:t xml:space="preserve">History</w:t>
      </w:r>
    </w:p>
    <w:p>
      <w:pPr>
        <w:pStyle w:val="FirstParagraph"/>
      </w:pPr>
      <w:r>
        <w:t xml:space="preserve">Eagle Butte High School was built in the spring of 1996. It was named after a former one-room schoolhouse in the Cypress Hills called "Eagle Butte School".</w:t>
      </w:r>
    </w:p>
    <w:p>
      <w:pPr>
        <w:pStyle w:val="BodyText"/>
      </w:pPr>
      <w:r>
        <w:t xml:space="preserve">In the fall of 1996, 220 students – mostly registered in grade 10 – began study at Eagle Butte; coming from Redcliff, Irvine, Schuler, Seven Persons, Ralston and surrounding areas.</w:t>
      </w:r>
    </w:p>
    <w:p>
      <w:pPr>
        <w:pStyle w:val="BodyText"/>
      </w:pPr>
      <w:r>
        <w:t xml:space="preserve">The school now offers a full range of high school programs, from welding, woodworking and firearm safety to cosmetology, food studies and computers (both Macintosh and IBM).</w:t>
      </w:r>
    </w:p>
    <w:p>
      <w:pPr>
        <w:pStyle w:val="Heading4"/>
      </w:pPr>
      <w:bookmarkStart w:id="45" w:name="student-body"/>
      <w:bookmarkEnd w:id="45"/>
      <w:r>
        <w:t xml:space="preserve">Student body</w:t>
      </w:r>
    </w:p>
    <w:p>
      <w:pPr>
        <w:pStyle w:val="FirstParagraph"/>
      </w:pPr>
      <w:r>
        <w:t xml:space="preserve">Generally the students of Eagle Butte come from the feeder schools which are part of the Prairie Rose Regional School Division No. 8. Students come from communities or farms and ranches in or around Dunmore, Irvine, Walsh, Elkwater, Medicine Hat, Suffield, Seven Persons, and Redcliff.</w:t>
      </w:r>
    </w:p>
    <w:p>
      <w:pPr>
        <w:pStyle w:val="Heading4"/>
      </w:pPr>
      <w:bookmarkStart w:id="46" w:name="athletics"/>
      <w:bookmarkEnd w:id="46"/>
      <w:r>
        <w:t xml:space="preserve">Athletics</w:t>
      </w:r>
    </w:p>
    <w:p>
      <w:pPr>
        <w:pStyle w:val="FirstParagraph"/>
      </w:pPr>
      <w:r>
        <w:t xml:space="preserve">Eagle Butte has programs in the following sports: Badminton, Baseball, Basketball, Volleyball, Cross Country Running, Curling, Track and Field, Rugby, and a combined football team with McCoy High School in Medicine Hat.</w:t>
      </w:r>
    </w:p>
    <w:p>
      <w:pPr>
        <w:pStyle w:val="Heading1"/>
      </w:pPr>
      <w:bookmarkStart w:id="47" w:name="story5"/>
      <w:bookmarkEnd w:id="47"/>
      <w:r>
        <w:t xml:space="preserve">Cat Country 100.3FM</w:t>
      </w:r>
    </w:p>
    <w:p>
      <w:pPr>
        <w:pStyle w:val="Heading2"/>
      </w:pPr>
      <w:bookmarkStart w:id="48" w:name="by-lady_ty"/>
      <w:bookmarkEnd w:id="48"/>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writing/fantasy-faction-monthly/ebook-compilation/output/images/lady_ty-0.jpg" id="0" name="Picture"/>
                    <pic:cNvPicPr>
                      <a:picLocks noChangeArrowheads="1" noChangeAspect="1"/>
                    </pic:cNvPicPr>
                  </pic:nvPicPr>
                  <pic:blipFill>
                    <a:blip r:embed="rId49"/>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writing/fantasy-faction-monthly/ebook-compilation/output/images/lady_ty-1.jpg" id="0" name="Picture"/>
                    <pic:cNvPicPr>
                      <a:picLocks noChangeArrowheads="1" noChangeAspect="1"/>
                    </pic:cNvPicPr>
                  </pic:nvPicPr>
                  <pic:blipFill>
                    <a:blip r:embed="rId50"/>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r>
        <w:pict>
          <v:rect style="width:0;height:1.5pt" o:hralign="center" o:hrstd="t" o:hr="t"/>
        </w:pict>
      </w:r>
    </w:p>
    <w:p>
      <w:pPr>
        <w:pStyle w:val="Heading3"/>
      </w:pPr>
      <w:bookmarkStart w:id="51" w:name="original-source-4"/>
      <w:bookmarkEnd w:id="51"/>
      <w:r>
        <w:t xml:space="preserve">Original Source</w:t>
      </w:r>
    </w:p>
    <w:p>
      <w:pPr>
        <w:pStyle w:val="FirstParagraph"/>
      </w:pPr>
      <w:hyperlink r:id="rId52">
        <w:r>
          <w:rPr>
            <w:rStyle w:val="Hyperlink"/>
          </w:rPr>
          <w:t xml:space="preserve">https://en.wikipedia.org/wiki/KSNR</w:t>
        </w:r>
      </w:hyperlink>
    </w:p>
    <w:p>
      <w:pPr>
        <w:pStyle w:val="BodyText"/>
      </w:pPr>
      <w:r>
        <w:t xml:space="preserve">KSNR (100.3 FM, "100.3 Cat Country") is a radio station broadcasting a country format. Licensed to Fisher, Minnesota, it serves the Grand Forks, North Dakota area. It first began broadcasting in 1983. The station is currently owned by iHeartMedia, Inc..</w:t>
      </w:r>
    </w:p>
    <w:p>
      <w:pPr>
        <w:pStyle w:val="BodyText"/>
      </w:pPr>
      <w:r>
        <w:t xml:space="preserve">KSNR also broadcasts University of North Dakota men's and women's basketball home games, while sister station KQHT broadcasts University of North Dakota men's ice hockey and football games as the flagship station, and sister station KKXL-AM broadcasts University of North Dakota women's ice hockey. 100.3 Cat Country competes with Leighton Broadcasting's 97 KYCK.</w:t>
      </w:r>
    </w:p>
    <w:p>
      <w:pPr>
        <w:pStyle w:val="Heading4"/>
      </w:pPr>
      <w:bookmarkStart w:id="53" w:name="history-1"/>
      <w:bookmarkEnd w:id="53"/>
      <w:r>
        <w:t xml:space="preserve">History</w:t>
      </w:r>
    </w:p>
    <w:p>
      <w:pPr>
        <w:pStyle w:val="FirstParagraph"/>
      </w:pPr>
      <w:r>
        <w:t xml:space="preserve">The station began life at 99.3 FM as KOSN in Thief River Falls, Minnesota in 1976. KOSN broadcast only 3,000 watts. The station changed call letters to KSNR in 1983 as it flipped to an oldies format, concentrating on 50s and 60s "Golden Oldies" format. After upgrading to 100,000 watts at 100.3 FM in 1987, the station attracted listeners in Grand Forks, North Dakota, since the signal could be heard on most radios and KSNR was the only oldies station in the area.</w:t>
      </w:r>
    </w:p>
    <w:p>
      <w:pPr>
        <w:pStyle w:val="BodyText"/>
      </w:pPr>
      <w:r>
        <w:t xml:space="preserve">KSNR later became "Kool 100.3", and began playing 1970s era music, and moved its studios to Grand Forks after being sold. KSNR also played Christmas music from Thanksgiving Day to Christmas Day annually until the format change in 2005. In 2000, Clear Channel Communications bought out KSNR and several other stations, and the format was changed to play 1960s and 1970s era music. It also became the flagship station for University of North Dakota basketball play-by-play broadcasts.</w:t>
      </w:r>
    </w:p>
    <w:p>
      <w:pPr>
        <w:pStyle w:val="BodyText"/>
      </w:pPr>
      <w:r>
        <w:t xml:space="preserve">Kool 100.3 switched to country music as "Cat Country" in October, 2005, competing with Leighton Broadcasting's heritage country station, 97 KYCK and classic country station KNOX-FM "Rooster 94.7". In 2006, co-owned classic hits (a mixture of oldies and classic rock formats) station KQHT "96.1 The Fox" began shifting towards to an oldies format.</w:t>
      </w:r>
    </w:p>
    <w:p>
      <w:pPr>
        <w:pStyle w:val="BodyText"/>
      </w:pPr>
      <w:r>
        <w:t xml:space="preserve">In 2005, KSNR changed its city of license from Thief River Falls to Fisher, which would allow it to move its transmitter tower closer to Grand Forks in the future.</w:t>
      </w:r>
    </w:p>
    <w:p>
      <w:pPr>
        <w:pStyle w:val="BodyText"/>
      </w:pPr>
      <w:r>
        <w:t xml:space="preserve">In the fall of 2012, all local personalities were removed from Cat Country in favor of Bobby Bones Show in the morning and Premium Choice radio personalities in all other dayparts. The previous local morning show was moved to sister station KQHT (96.1 The Fox), which carries an updated classic hits version of the former "Kool 100.3" oldies format. In 2016, Cat Country brought back some local personalities previously heard on the station.</w:t>
      </w:r>
    </w:p>
    <w:p>
      <w:pPr>
        <w:pStyle w:val="Heading1"/>
      </w:pPr>
      <w:bookmarkStart w:id="54" w:name="story6"/>
      <w:bookmarkEnd w:id="54"/>
      <w:r>
        <w:t xml:space="preserve">Stories, Good and Bad</w:t>
      </w:r>
    </w:p>
    <w:p>
      <w:pPr>
        <w:pStyle w:val="Heading2"/>
      </w:pPr>
      <w:bookmarkStart w:id="55" w:name="by-alex-hormann"/>
      <w:bookmarkEnd w:id="55"/>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r>
        <w:pict>
          <v:rect style="width:0;height:1.5pt" o:hralign="center" o:hrstd="t" o:hr="t"/>
        </w:pict>
      </w:r>
    </w:p>
    <w:p>
      <w:pPr>
        <w:pStyle w:val="Heading3"/>
      </w:pPr>
      <w:bookmarkStart w:id="56" w:name="original-source-5"/>
      <w:bookmarkEnd w:id="56"/>
      <w:r>
        <w:t xml:space="preserve">Original Source</w:t>
      </w:r>
    </w:p>
    <w:p>
      <w:pPr>
        <w:pStyle w:val="FirstParagraph"/>
      </w:pPr>
      <w:hyperlink r:id="rId57">
        <w:r>
          <w:rPr>
            <w:rStyle w:val="Hyperlink"/>
          </w:rPr>
          <w:t xml:space="preserve">https://en.wikipedia.org/wiki/Julia_Ettie_Crane</w:t>
        </w:r>
      </w:hyperlink>
    </w:p>
    <w:p>
      <w:pPr>
        <w:pStyle w:val="BodyText"/>
      </w:pPr>
      <w:r>
        <w:t xml:space="preserve">Julia Ettie Crane (May 19, 1855 – 1923), also known as Julia Etta Crane, was an American music educator, and the first person to set up a school, the Crane School of Music, specifically for the training of public school music teachers. She is among the most important figures in the history of American music education. Crane was a student of Manuel García.</w:t>
      </w:r>
    </w:p>
    <w:p>
      <w:pPr>
        <w:pStyle w:val="BodyText"/>
      </w:pPr>
      <w:r>
        <w:t xml:space="preserve">Crane was inducted into the Music Educators Hall of Fame in 1986.</w:t>
      </w:r>
    </w:p>
    <w:p>
      <w:pPr>
        <w:pStyle w:val="Heading1"/>
      </w:pPr>
      <w:bookmarkStart w:id="58" w:name="story7"/>
      <w:bookmarkEnd w:id="58"/>
      <w:r>
        <w:t xml:space="preserve">One Last Drink</w:t>
      </w:r>
    </w:p>
    <w:p>
      <w:pPr>
        <w:pStyle w:val="Heading2"/>
      </w:pPr>
      <w:bookmarkStart w:id="59" w:name="by-tebakutis"/>
      <w:bookmarkEnd w:id="59"/>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r>
        <w:pict>
          <v:rect style="width:0;height:1.5pt" o:hralign="center" o:hrstd="t" o:hr="t"/>
        </w:pict>
      </w:r>
    </w:p>
    <w:p>
      <w:pPr>
        <w:pStyle w:val="Heading3"/>
      </w:pPr>
      <w:bookmarkStart w:id="60" w:name="original-source-6"/>
      <w:bookmarkEnd w:id="60"/>
      <w:r>
        <w:t xml:space="preserve">Original Source</w:t>
      </w:r>
    </w:p>
    <w:p>
      <w:pPr>
        <w:pStyle w:val="FirstParagraph"/>
      </w:pPr>
      <w:hyperlink r:id="rId61">
        <w:r>
          <w:rPr>
            <w:rStyle w:val="Hyperlink"/>
          </w:rPr>
          <w:t xml:space="preserve">https://en.wikipedia.org/wiki/Claudius_Labeo</w:t>
        </w:r>
      </w:hyperlink>
    </w:p>
    <w:p>
      <w:pPr>
        <w:pStyle w:val="BodyText"/>
      </w:pPr>
      <w:r>
        <w:t xml:space="preserve">Claudius Labeo (1st. ct. AD) was a Batavian and a military leader in the service of the Roman Empire at the time of the Batavian rebellion. He was prefect of the Batavian ala of auxiliaries, which went over from Lupercus to Civilis.</w:t>
      </w:r>
    </w:p>
    <w:p>
      <w:pPr>
        <w:pStyle w:val="BodyText"/>
      </w:pPr>
      <w:r>
        <w:t xml:space="preserve">Civilis, whose rival he was in their native town, not being willing to incur the odium of putting him to death, and yet fearing that, if allowed to remain with his army, he might excite disaffection, sent him as a prisoner among the Frisii. He afterwards escaped, and offered his services to Vocula, who gave him a small force, with, which he carried on an irregular warfare against the insurgents. He was defeated by Civilis, who, however, tried in vain to crush him.</w:t>
      </w:r>
    </w:p>
    <w:p>
      <w:pPr>
        <w:pStyle w:val="BodyText"/>
      </w:pPr>
      <w:r>
        <w:t xml:space="preserve">Significantly More Info:</w:t>
      </w:r>
      <w:r>
        <w:t xml:space="preserve"> </w:t>
      </w:r>
      <w:hyperlink r:id="rId62">
        <w:r>
          <w:rPr>
            <w:rStyle w:val="Hyperlink"/>
          </w:rPr>
          <w:t xml:space="preserve">http://www.livius.org/articles/person/claudius-labeo</w:t>
        </w:r>
      </w:hyperlink>
    </w:p>
    <w:p>
      <w:pPr>
        <w:pStyle w:val="Heading1"/>
      </w:pPr>
      <w:bookmarkStart w:id="63" w:name="story8"/>
      <w:bookmarkEnd w:id="63"/>
      <w:r>
        <w:t xml:space="preserve">The Gambit</w:t>
      </w:r>
    </w:p>
    <w:p>
      <w:pPr>
        <w:pStyle w:val="Heading2"/>
      </w:pPr>
      <w:bookmarkStart w:id="64" w:name="by-arcaneartsvelho"/>
      <w:bookmarkEnd w:id="6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r>
        <w:pict>
          <v:rect style="width:0;height:1.5pt" o:hralign="center" o:hrstd="t" o:hr="t"/>
        </w:pict>
      </w:r>
    </w:p>
    <w:p>
      <w:pPr>
        <w:pStyle w:val="Heading3"/>
      </w:pPr>
      <w:bookmarkStart w:id="65" w:name="original-source-7"/>
      <w:bookmarkEnd w:id="65"/>
      <w:r>
        <w:t xml:space="preserve">Original Source</w:t>
      </w:r>
    </w:p>
    <w:p>
      <w:pPr>
        <w:pStyle w:val="FirstParagraph"/>
      </w:pPr>
      <w:hyperlink r:id="rId66">
        <w:r>
          <w:rPr>
            <w:rStyle w:val="Hyperlink"/>
          </w:rPr>
          <w:t xml:space="preserve">https://en.wikipedia.org/wiki/Benko_Gambit</w:t>
        </w:r>
      </w:hyperlink>
    </w:p>
    <w:p>
      <w:pPr>
        <w:pStyle w:val="BodyText"/>
      </w:pPr>
      <w:r>
        <w:t xml:space="preserve">The Benko Gambit (or Volga Gambit) is a chess opening characterised by the move 3...b5 in the Benoni Defense arising after:</w:t>
      </w:r>
    </w:p>
    <w:p>
      <w:pPr>
        <w:pStyle w:val="Compact"/>
        <w:numPr>
          <w:numId w:val="1002"/>
          <w:ilvl w:val="0"/>
        </w:numPr>
      </w:pPr>
      <w:r>
        <w:t xml:space="preserve">d4 Nf6</w:t>
      </w:r>
    </w:p>
    <w:p>
      <w:pPr>
        <w:pStyle w:val="Compact"/>
        <w:numPr>
          <w:numId w:val="1002"/>
          <w:ilvl w:val="0"/>
        </w:numPr>
      </w:pPr>
      <w:r>
        <w:t xml:space="preserve">c4 c5</w:t>
      </w:r>
    </w:p>
    <w:p>
      <w:pPr>
        <w:pStyle w:val="Compact"/>
        <w:numPr>
          <w:numId w:val="1002"/>
          <w:ilvl w:val="0"/>
        </w:numPr>
      </w:pPr>
      <w:r>
        <w:t xml:space="preserve">d5 b5</w:t>
      </w:r>
      <w:r>
        <w:t xml:space="preserve"> </w:t>
      </w:r>
      <w:r>
        <w:t xml:space="preserve">The Encyclopaedia of Chess Openings (ECO) has three codes for the Benko Gambit:</w:t>
      </w:r>
    </w:p>
    <w:p>
      <w:pPr>
        <w:pStyle w:val="FirstParagraph"/>
      </w:pPr>
      <w:r>
        <w:t xml:space="preserve">A57 3...b5</w:t>
      </w:r>
      <w:r>
        <w:t xml:space="preserve"> </w:t>
      </w:r>
      <w:r>
        <w:t xml:space="preserve">A58 3...b5 4.cxb5 a6 5.bxa6</w:t>
      </w:r>
      <w:r>
        <w:t xml:space="preserve"> </w:t>
      </w:r>
      <w:r>
        <w:t xml:space="preserve">A59 3...b5 4.cxb5 a6 5.bxa6 Bxa6 6.Nc3 d6 7.e4</w:t>
      </w:r>
    </w:p>
    <w:p>
      <w:pPr>
        <w:pStyle w:val="Heading4"/>
      </w:pPr>
      <w:bookmarkStart w:id="67" w:name="theory"/>
      <w:bookmarkEnd w:id="67"/>
      <w:r>
        <w:t xml:space="preserve">Theory</w:t>
      </w:r>
    </w:p>
    <w:p>
      <w:pPr>
        <w:pStyle w:val="FirstParagraph"/>
      </w:pPr>
      <w:r>
        <w:t xml:space="preserve">The main line continues with the moves 4. cxb5 a6 5. bxa6 Bxa6 followed by Black fianchettoing the f8-bishop. (Black players leery of the double-fianchetto system, where White plays g3 and b3, and fianchettos both bishops, have preferred 5...g6 intending 6.b3 Bg7 7.Bb2 Nxa6! The point is that it is awkward for White to meet the threat of ...Nb4, hitting d5 and a2, when Nc3 may often be met by ...Nfxd5 because of the latent pin down the long diagonal.) Black's compensation for the pawn takes several forms. First, White, who is already behind in development, must solve the problem of developing the f1-bishop. After 6. Nc3 d6, if White plays 7.e4, then Black will play 7...Bxf1, and after recapturing with the king, White will have to spend time castling artificially with g3 and Kg2, as in the line 7...Bxf1 8.Kxf1 g6 9.g3 Bg7 10.Kg2. If White avoids this by fianchettoing the bishop, it will be in a rather passive position, being blocked by White's own pawn on d5.</w:t>
      </w:r>
    </w:p>
    <w:p>
      <w:pPr>
        <w:pStyle w:val="BodyText"/>
      </w:pPr>
      <w:r>
        <w:t xml:space="preserve">Apart from this, Black also obtains fast development and good control of the a1–h8 diagonal and can exert pressure down the half-open a- and b-files. These are benefits which can last well into the endgame and so, unusual for a gambit, Black does not generally mind if queens are exchanged; indeed, exchanging queens can often remove the sting from a kingside attack by White.</w:t>
      </w:r>
    </w:p>
    <w:p>
      <w:pPr>
        <w:pStyle w:val="BodyText"/>
      </w:pPr>
      <w:r>
        <w:t xml:space="preserve">Although the main line of the Benko is considered acceptable for White, there are various alternatives which avoid some of the problems entailed in the main line. The simplest is to just decline the gambit with 4.Nf3. Other possible moves are 4.Nd2, 4.a4, and 4.Qc2. Another idea, popular at the grandmaster level as of 2004, is to accept the pawn but then immediately return it with 4.cxb5 a6 5.b6. Another popular alternative is 5.e3.</w:t>
      </w:r>
    </w:p>
    <w:p>
      <w:pPr>
        <w:pStyle w:val="Heading1"/>
      </w:pPr>
      <w:bookmarkStart w:id="68" w:name="story9"/>
      <w:bookmarkEnd w:id="68"/>
      <w:r>
        <w:t xml:space="preserve">Never Trust a Thief (Especially if you're an Asshole)</w:t>
      </w:r>
    </w:p>
    <w:p>
      <w:pPr>
        <w:pStyle w:val="Heading2"/>
      </w:pPr>
      <w:bookmarkStart w:id="69" w:name="by-rukaio_alter"/>
      <w:bookmarkEnd w:id="69"/>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r>
        <w:pict>
          <v:rect style="width:0;height:1.5pt" o:hralign="center" o:hrstd="t" o:hr="t"/>
        </w:pict>
      </w:r>
    </w:p>
    <w:p>
      <w:pPr>
        <w:pStyle w:val="Heading3"/>
      </w:pPr>
      <w:bookmarkStart w:id="70" w:name="original-source-8"/>
      <w:bookmarkEnd w:id="70"/>
      <w:r>
        <w:t xml:space="preserve">Original Source</w:t>
      </w:r>
    </w:p>
    <w:p>
      <w:pPr>
        <w:pStyle w:val="FirstParagraph"/>
      </w:pPr>
      <w:hyperlink r:id="rId71">
        <w:r>
          <w:rPr>
            <w:rStyle w:val="Hyperlink"/>
          </w:rPr>
          <w:t xml:space="preserve">https://en.wikipedia.org/wiki/Imprimis_Pharmaceuticals</w:t>
        </w:r>
      </w:hyperlink>
    </w:p>
    <w:p>
      <w:pPr>
        <w:pStyle w:val="BodyText"/>
      </w:pPr>
      <w:r>
        <w:t xml:space="preserve">Imprimis Pharmaceuticals is a publicly traded pharmaceutical company (NASDAQ: IMMY) based in San Diego.[1][2] It makes eye drops, compounded medicines and other products.</w:t>
      </w:r>
    </w:p>
    <w:p>
      <w:pPr>
        <w:pStyle w:val="BodyText"/>
      </w:pPr>
      <w:r>
        <w:t xml:space="preserve">It manufactures a pyrimethamine and leucovorin compound which may offer a low-cost "alternative" to Daraprim, a medication which gained public attention after its price in the United States was increased by over 5,000% by Martin Shkreli and Turing Pharmaceuticals.</w:t>
      </w:r>
    </w:p>
    <w:p>
      <w:pPr>
        <w:pStyle w:val="Heading1"/>
      </w:pPr>
      <w:bookmarkStart w:id="72" w:name="story10"/>
      <w:bookmarkEnd w:id="72"/>
      <w:r>
        <w:t xml:space="preserve">Curse the Schedule</w:t>
      </w:r>
    </w:p>
    <w:p>
      <w:pPr>
        <w:pStyle w:val="Heading2"/>
      </w:pPr>
      <w:bookmarkStart w:id="73" w:name="by-m3mnoch"/>
      <w:bookmarkEnd w:id="73"/>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7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7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7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3.png" id="0" name="Picture"/>
                    <pic:cNvPicPr>
                      <a:picLocks noChangeArrowheads="1" noChangeAspect="1"/>
                    </pic:cNvPicPr>
                  </pic:nvPicPr>
                  <pic:blipFill>
                    <a:blip r:embed="rId7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r>
        <w:pict>
          <v:rect style="width:0;height:1.5pt" o:hralign="center" o:hrstd="t" o:hr="t"/>
        </w:pict>
      </w:r>
    </w:p>
    <w:p>
      <w:pPr>
        <w:pStyle w:val="Heading3"/>
      </w:pPr>
      <w:bookmarkStart w:id="78" w:name="original-source-9"/>
      <w:bookmarkEnd w:id="78"/>
      <w:r>
        <w:t xml:space="preserve">Original Source</w:t>
      </w:r>
    </w:p>
    <w:p>
      <w:pPr>
        <w:pStyle w:val="FirstParagraph"/>
      </w:pPr>
      <w:hyperlink r:id="rId79">
        <w:r>
          <w:rPr>
            <w:rStyle w:val="Hyperlink"/>
          </w:rPr>
          <w:t xml:space="preserve">https://en.wikipedia.org/wiki/Twiga_Cement</w:t>
        </w:r>
      </w:hyperlink>
    </w:p>
    <w:p>
      <w:pPr>
        <w:pStyle w:val="BodyText"/>
      </w:pPr>
      <w:r>
        <w:t xml:space="preserve">Twiga Cement (TPCC) is a Tanzanian company that manufactures portland cement. Twiga's cement is produced in grades of Twiga Ordinary and Twiga Extra.</w:t>
      </w:r>
    </w:p>
    <w:p>
      <w:pPr>
        <w:pStyle w:val="Heading4"/>
      </w:pPr>
      <w:bookmarkStart w:id="80" w:name="history-2"/>
      <w:bookmarkEnd w:id="80"/>
      <w:r>
        <w:t xml:space="preserve">History</w:t>
      </w:r>
    </w:p>
    <w:p>
      <w:pPr>
        <w:pStyle w:val="FirstParagraph"/>
      </w:pPr>
      <w:r>
        <w:t xml:space="preserve">The company was founded in 1959 as Tanzania Portland Cement Company, producing its first bag of cement in mid-1966, in association with Tanzania Development Corporation and Cementia AG of Switzerland. Major cement-producing facilities at Wazo Hill in Dar es Salaam went online in 1966. In 1973 the company was nationalized with the government of Tanzania owning 100% of shares. In 1998 the company was reprivatized by the government, Scancem of Norway and Swedfund. By 2005 Twiga was a part of Heidelberg Cement Africa, of which Scancem is subsidiary.</w:t>
      </w:r>
    </w:p>
    <w:p>
      <w:pPr>
        <w:pStyle w:val="Heading4"/>
      </w:pPr>
      <w:bookmarkStart w:id="81" w:name="location"/>
      <w:bookmarkEnd w:id="81"/>
      <w:r>
        <w:t xml:space="preserve">Location</w:t>
      </w:r>
    </w:p>
    <w:p>
      <w:pPr>
        <w:pStyle w:val="FirstParagraph"/>
      </w:pPr>
      <w:r>
        <w:t xml:space="preserve">The Twiga cement factory is located about 30 km northwest of Dar es Salaam. Offices are located in Dar es Salaam.</w:t>
      </w:r>
    </w:p>
    <w:p>
      <w:pPr>
        <w:pStyle w:val="Heading1"/>
      </w:pPr>
      <w:bookmarkStart w:id="82" w:name="story11"/>
      <w:bookmarkEnd w:id="82"/>
      <w:r>
        <w:t xml:space="preserve">The Colliery</w:t>
      </w:r>
    </w:p>
    <w:p>
      <w:pPr>
        <w:pStyle w:val="Heading2"/>
      </w:pPr>
      <w:bookmarkStart w:id="83" w:name="by-anonymous"/>
      <w:bookmarkEnd w:id="83"/>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writing/fantasy-faction-monthly/ebook-compilation/output/images/anonymous-0.jpg"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r>
        <w:pict>
          <v:rect style="width:0;height:1.5pt" o:hralign="center" o:hrstd="t" o:hr="t"/>
        </w:pict>
      </w:r>
    </w:p>
    <w:p>
      <w:pPr>
        <w:pStyle w:val="Heading3"/>
      </w:pPr>
      <w:bookmarkStart w:id="85" w:name="original-source-10"/>
      <w:bookmarkEnd w:id="85"/>
      <w:r>
        <w:t xml:space="preserve">Original Source</w:t>
      </w:r>
    </w:p>
    <w:p>
      <w:pPr>
        <w:pStyle w:val="FirstParagraph"/>
      </w:pPr>
      <w:hyperlink r:id="rId86">
        <w:r>
          <w:rPr>
            <w:rStyle w:val="Hyperlink"/>
          </w:rPr>
          <w:t xml:space="preserve">https://en.wikipedia.org/wiki/Nedderton</w:t>
        </w:r>
      </w:hyperlink>
    </w:p>
    <w:p>
      <w:pPr>
        <w:pStyle w:val="BodyText"/>
      </w:pPr>
      <w:r>
        <w:t xml:space="preserve">Nedderton is a village in Northumberland, England about 5 miles (8 km) southeast of Morpeth, just off the A192 road.</w:t>
      </w:r>
    </w:p>
    <w:p>
      <w:pPr>
        <w:pStyle w:val="Heading4"/>
      </w:pPr>
      <w:bookmarkStart w:id="87" w:name="history-3"/>
      <w:bookmarkEnd w:id="87"/>
      <w:r>
        <w:t xml:space="preserve">History</w:t>
      </w:r>
    </w:p>
    <w:p>
      <w:pPr>
        <w:pStyle w:val="FirstParagraph"/>
      </w:pPr>
      <w:r>
        <w:t xml:space="preserve">In the early part of the nineteenth century Nedderton village was described as containing ten houses, a few cottages and a colliery. A Church of England school was built in 1846, funded by the Earl of Carlisle, though it seems many of the children preferred to attend Bedlington or Scotland Gate where the schools were non-denominational. The village also had both Primitive and Wesleyan Methodist chapels.</w:t>
      </w:r>
    </w:p>
    <w:p>
      <w:pPr>
        <w:pStyle w:val="Heading4"/>
      </w:pPr>
      <w:bookmarkStart w:id="88" w:name="geography"/>
      <w:bookmarkEnd w:id="88"/>
      <w:r>
        <w:t xml:space="preserve">Geography</w:t>
      </w:r>
    </w:p>
    <w:p>
      <w:pPr>
        <w:pStyle w:val="FirstParagraph"/>
      </w:pPr>
      <w:r>
        <w:t xml:space="preserve">The soil in this area consists of clay with a subsoil of freestone. Chief among crops produced at the beginning of the twentieth century were wheat, oats, turnip and potatoes.</w:t>
      </w:r>
    </w:p>
    <w:p>
      <w:pPr>
        <w:pStyle w:val="Heading4"/>
      </w:pPr>
      <w:bookmarkStart w:id="89" w:name="economy"/>
      <w:bookmarkEnd w:id="89"/>
      <w:r>
        <w:t xml:space="preserve">Economy</w:t>
      </w:r>
    </w:p>
    <w:p>
      <w:pPr>
        <w:pStyle w:val="FirstParagraph"/>
      </w:pPr>
      <w:r>
        <w:t xml:space="preserve">Nedderton Colliery was one of the oldest in the Bedlington area; it was sunk in 1818. The Howard West Hartley Coal Company leased the royalty from the Earl of Carlisle. Production increased through the nineteenth century, with around 280 to 300 hewers working and an output of 680 to 700 tons a day. By 1877 however it was no longer viable and the colliery closed. The site was taken over and again a pit was sunk, with coal being drawn by 1888. Nedderton Hall Pit was the last pit to be opened in Bedlingtonshire. It was first owned by a Mr. Wood, but by 1901 had been taken on by the Nedderton Coal Company. The pit was worked until 1943. It was closed during World War II by the Coal Commission, who could not justify the manpower used to keep it running during the war.</w:t>
      </w:r>
    </w:p>
    <w:p>
      <w:pPr>
        <w:pStyle w:val="Heading1"/>
      </w:pPr>
      <w:bookmarkStart w:id="90" w:name="story12"/>
      <w:bookmarkEnd w:id="90"/>
      <w:r>
        <w:t xml:space="preserve">The Panther Spirit of the Swamp</w:t>
      </w:r>
    </w:p>
    <w:p>
      <w:pPr>
        <w:pStyle w:val="Heading2"/>
      </w:pPr>
      <w:bookmarkStart w:id="91" w:name="by-lanko"/>
      <w:bookmarkEnd w:id="91"/>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p>
      <w:r>
        <w:pict>
          <v:rect style="width:0;height:1.5pt" o:hralign="center" o:hrstd="t" o:hr="t"/>
        </w:pict>
      </w:r>
    </w:p>
    <w:p>
      <w:pPr>
        <w:pStyle w:val="Heading3"/>
      </w:pPr>
      <w:bookmarkStart w:id="92" w:name="original-source-11"/>
      <w:bookmarkEnd w:id="92"/>
      <w:r>
        <w:t xml:space="preserve">Original Source</w:t>
      </w:r>
    </w:p>
    <w:p>
      <w:pPr>
        <w:pStyle w:val="FirstParagraph"/>
      </w:pPr>
      <w:hyperlink r:id="rId93">
        <w:r>
          <w:rPr>
            <w:rStyle w:val="Hyperlink"/>
          </w:rPr>
          <w:t xml:space="preserve">https://en.wikipedia.org/wiki/Kafue_Flats</w:t>
        </w:r>
      </w:hyperlink>
    </w:p>
    <w:p>
      <w:pPr>
        <w:pStyle w:val="BodyText"/>
      </w:pPr>
      <w:r>
        <w:t xml:space="preserve">The Kafue Flats (locally called Butwa) are a vast area of swamp, open lagoon and seasonally inundated flood-plain on the Kafue River in the Southern, Central and Lusaka provinces of Zambia. They are a shallow flood plain 240 km long and about 50 km wide, flooded to a depth of less than a meter in the rainy season (deeper in some lagoons and permanently swampy areas), and drying out to a clayey black soil in the dry season.</w:t>
      </w:r>
    </w:p>
    <w:p>
      <w:pPr>
        <w:pStyle w:val="Heading4"/>
      </w:pPr>
      <w:bookmarkStart w:id="94" w:name="geography-1"/>
      <w:bookmarkEnd w:id="94"/>
      <w:r>
        <w:t xml:space="preserve">Geography</w:t>
      </w:r>
    </w:p>
    <w:p>
      <w:pPr>
        <w:pStyle w:val="FirstParagraph"/>
      </w:pPr>
      <w:r>
        <w:t xml:space="preserve">The Kafue Flats stretch for approximately 240 km east to west along the Kafue River from below the Itezhi-Tezhi gap, site of the Itezhi-Tezhi Dam, to Kafue town and the start of the Kafue Gorge. At their widest point they are 50 km wide and their total area is around 6,500 sq km. The elevation of the Kafue river falls 40 m along the flats from 1030 m at Itezhi-Tezhi to 990 m at Kafue town.</w:t>
      </w:r>
    </w:p>
    <w:p>
      <w:pPr>
        <w:pStyle w:val="BodyText"/>
      </w:pPr>
      <w:r>
        <w:t xml:space="preserve">The town of Mazabuka and the Nakambala sugar estate lie on the south east edge and the small town of Namwala is situated at the south west edge of the flats.</w:t>
      </w:r>
    </w:p>
    <w:p>
      <w:pPr>
        <w:pStyle w:val="BodyText"/>
      </w:pPr>
      <w:r>
        <w:t xml:space="preserve">False colour NASA MODIS image of the Kafue Flats in flood and the Itezhi-Tezhi dam - 14 February 2008.</w:t>
      </w:r>
      <w:r>
        <w:t xml:space="preserve"> </w:t>
      </w:r>
      <w:r>
        <w:t xml:space="preserve">The Kafue Flats fall within parts of the Itezhi-Tezhi and Mumbwa Districts in Central Province, Kafue District in Lusaka Province and Monze, Namwala and Mazabuka districts in Southern Province.</w:t>
      </w:r>
    </w:p>
    <w:p>
      <w:pPr>
        <w:pStyle w:val="Heading4"/>
      </w:pPr>
      <w:bookmarkStart w:id="95" w:name="people"/>
      <w:bookmarkEnd w:id="95"/>
      <w:r>
        <w:t xml:space="preserve">People</w:t>
      </w:r>
    </w:p>
    <w:p>
      <w:pPr>
        <w:pStyle w:val="FirstParagraph"/>
      </w:pPr>
      <w:r>
        <w:t xml:space="preserve">The Batwa (or Twa) are thought to have been the first inhabitants of the Kafue Flats area but are now a small minority population settled on higher ground around the Kafue river channel where they support themselves through fishing. The Batwa are generally considered to be the surviving remnants of nomadic Bushmen who inhabited Zambia long before the Bantu peoples began to arrive from the Congo basin to the north.</w:t>
      </w:r>
    </w:p>
    <w:p>
      <w:pPr>
        <w:pStyle w:val="BodyText"/>
      </w:pPr>
      <w:r>
        <w:t xml:space="preserve">The area is now dominated by Ila and Balundwe (or Lundwe, or Plateau Tonga) farmers and cattle herders, in at least 21 chieftaincies, who came to the area between 200 and 300 years ago. They depended on farming, fishing, cattle rearing and wildlife, often moving between a fixed settlement in the woodlands and cattle camps in the flats after the floods have receded. In addition to the settled community there is also a seasonal influx of fishing communities from other parts of the country. These immigrants are mostly Bemba from the north of the country and the Copperbelt area, and Lozi from the Western Province.</w:t>
      </w:r>
    </w:p>
    <w:p>
      <w:pPr>
        <w:pStyle w:val="BodyText"/>
      </w:pPr>
      <w:r>
        <w:t xml:space="preserve">The population has increased significantly since the 1970s and by 2004 there were at least 11 major permanent fishing camps on the flats each of which was occupied by at least 500 fishermen. In addition there were a large number of temporary fishing camps established during the dry season.</w:t>
      </w:r>
    </w:p>
    <w:p>
      <w:pPr>
        <w:pStyle w:val="BodyText"/>
      </w:pPr>
      <w:r>
        <w:t xml:space="preserve">In some cases the Batwa are marginalised from other ethnic groups, particularly the Bemba and the Lozi fishermen who consider them inferior. By contrast the Ila are held in high regard by other groups due to their history of being one of the richest cattle-owning groups in the region, although fishing and hunting plays an equally significant role in their culture.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4ea9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7e215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jpg" /><Relationship Type="http://schemas.openxmlformats.org/officeDocument/2006/relationships/image" Id="rId32" Target="media/rId32.pn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