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71"/>
        <w:tblGridChange w:id="0">
          <w:tblGrid>
            <w:gridCol w:w="957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МИНИСТЕРСТВО НАУКИ И ВЫСШЕГО ОБРАЗОВАНИЯ РОССИЙСКОЙ ФЕДЕРАЦИИ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ФЕДЕРАЛЬНОЕ ГОСУДАРСТВЕННОЕ АВТОНОМНОЕ ОБРАЗОВАТЕЛЬНОЕ УЧРЕЖДЕНИЕ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16"/>
                <w:szCs w:val="16"/>
                <w:rtl w:val="0"/>
              </w:rPr>
              <w:t xml:space="preserve">ВЫСШЕГО ОБРАЗОВАНИЯ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«Национальный исследовательский ядерный университет «МИФИ»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ИНСТИТУТ ИНТЕЛЛЕКТУАЛЬНЫХ КИБЕРНЕТИЧЕСКИХ СИСТЕМ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КАФЕДРА «КОМПЬЮТЕРНЫЕ СИСТЕМЫ И ТЕХНОЛОГИИ» (№12)</w:t>
            </w:r>
          </w:p>
        </w:tc>
      </w:tr>
    </w:tbl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КУРСОВАЯ РАБОТА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СХЕМОТЕХНИКА ЦИФРОВЫХ УСТРОЙСТВ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0"/>
        <w:gridCol w:w="540"/>
        <w:gridCol w:w="5457"/>
        <w:gridCol w:w="1080"/>
        <w:gridCol w:w="1294"/>
        <w:tblGridChange w:id="0">
          <w:tblGrid>
            <w:gridCol w:w="1200"/>
            <w:gridCol w:w="540"/>
            <w:gridCol w:w="5457"/>
            <w:gridCol w:w="1080"/>
            <w:gridCol w:w="1294"/>
          </w:tblGrid>
        </w:tblGridChange>
      </w:tblGrid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Тема: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Анализатор протокола генератора сигналов (кодирование и модуляция)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Ахметов Азат Фаридович, Сазиков Никита Денисович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Группа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С20-501</w:t>
            </w:r>
          </w:p>
        </w:tc>
      </w:tr>
      <w:tr>
        <w:trPr>
          <w:cantSplit w:val="0"/>
          <w:trHeight w:val="4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ФИО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Руководитель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Решетько Валерий Михайлович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ФИО</w:t>
            </w:r>
          </w:p>
        </w:tc>
      </w:tr>
    </w:tbl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Москва, 2022</w:t>
      </w:r>
    </w:p>
    <w:p w:rsidR="00000000" w:rsidDel="00000000" w:rsidP="00000000" w:rsidRDefault="00000000" w:rsidRPr="00000000" w14:paraId="0000004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tabs>
              <w:tab w:val="right" w:leader="none" w:pos="9354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yot76oz2k7y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_heading=h.yot76oz2k7ym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 СИГНАЛЫ ИНТЕРФЕЙСА И ИХ ОПИСАНИЕ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 ОТЧЕТ О ВЕРИФИКАЦИИ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9354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2.1. Верификация модуля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9354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2dsjvqeoj5u4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 Проверка согласования с соседними модулями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_heading=h.2dsjvqeoj5u4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monseq8i8x9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3. СИНТЕЗ СХЕМЫ И ВРЕМЕННЫЕ ХАРАКТЕРИСТИКИ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_heading=h.monseq8i8x9y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9354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E">
          <w:pPr>
            <w:tabs>
              <w:tab w:val="right" w:leader="none" w:pos="9354.511811023624"/>
            </w:tabs>
            <w:spacing w:after="80" w:before="20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yot76oz2k7ym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51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Генераторы сигналов (функциональные генераторы) играют важную роль при проведении измерений электрических параметров и испытаний. Они служат источниками тестовых сигналов, которые подаются на такие испытуемые компоненты, как фильтры, усилители или готовые модули с целью проверить их работу и изучить их поведение и характеристики. Помимо формирования простых сигналов (импульсы, периодические сигналы), генераторы сигналов могут формировать сигналы с аналоговой и цифровой модуляцией (векторные генераторы).</w:t>
      </w:r>
    </w:p>
    <w:p w:rsidR="00000000" w:rsidDel="00000000" w:rsidP="00000000" w:rsidRDefault="00000000" w:rsidRPr="00000000" w14:paraId="00000052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Сигнал, формируемый модулем функционального генератора, подается на исследуемое устройство (ИУ) (усилитель, фильтр и т.п.). Затем выходной сигнал модуля анализируется с помощью подходящего контрольно-измерительного оборудования, например, анализатора спектра или сигналов, осциллографа, измерителя мощности и т.д. По анализу результатов таких измерений можно определить, корректно ли устройство выполняет свои функции.</w:t>
      </w:r>
    </w:p>
    <w:p w:rsidR="00000000" w:rsidDel="00000000" w:rsidP="00000000" w:rsidRDefault="00000000" w:rsidRPr="00000000" w14:paraId="00000053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функционального генератора предназначен для генерации аналоговых сигналов произвольной формы. Генерация цифрового сигнала производится с помощью отладочной платы cyc1000 с установленной на ней ПЛИС Cyclone 10LP 10CL025 фирмы Intel. Далее цифровой сигнал преобразуется в аналоговый с помощью платы ЦАП, на которой установлен цифро-аналоговый преобразователь (ЦАП) AD9761 фирмы Analog Devices. Полученный аналоговый сигнал можно вывести на экран осциллографа. </w:t>
      </w:r>
    </w:p>
    <w:p w:rsidR="00000000" w:rsidDel="00000000" w:rsidP="00000000" w:rsidRDefault="00000000" w:rsidRPr="00000000" w14:paraId="00000054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Логическое наполнение проекта состоит из модулей, разбитых в соответствии с выполняемыми ими функциями, для удобства написания и отладки проекта.</w:t>
      </w:r>
    </w:p>
    <w:p w:rsidR="00000000" w:rsidDel="00000000" w:rsidP="00000000" w:rsidRDefault="00000000" w:rsidRPr="00000000" w14:paraId="00000055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кодирования и модуляции, разработанный в курсовой работе, — часть анализатора протокола векторного генератора сигналов. Он используется для модуляции сигналов (для режимов QPSK, 8-PSK, 16-QAM), а также формирует данные, необходимые для работы модуля синтеза периодических сигналов.</w:t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СИГНАЛЫ ИНТЕРФЕЙСА И ИХ ОПИСАНИЕ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Анализатор протокола предназначен для конфигурирования системы (например, задания режима работы), выполнения квадратурной модуляции сигнала для режимов QPSK, 8-PSK, 16-QAM, формирование необходимых значений амплитуды, начальной фазы и частотного слова гармонического сигнала. 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Реализуемый в данной курсовой работе модуль является частью анализатора протокола и выполняет модуляцию и кодирование данных. В данной работе применяется кодирование 8b/10b. </w:t>
      </w:r>
    </w:p>
    <w:p w:rsidR="00000000" w:rsidDel="00000000" w:rsidP="00000000" w:rsidRDefault="00000000" w:rsidRPr="00000000" w14:paraId="0000005A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Возможные режимы модуляции:</w:t>
      </w:r>
    </w:p>
    <w:p w:rsidR="00000000" w:rsidDel="00000000" w:rsidP="00000000" w:rsidRDefault="00000000" w:rsidRPr="00000000" w14:paraId="0000005B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</w:t>
        <w:tab/>
        <w:t xml:space="preserve">QPSK (Квадратурно-фазовая модуляция);</w:t>
      </w:r>
    </w:p>
    <w:p w:rsidR="00000000" w:rsidDel="00000000" w:rsidP="00000000" w:rsidRDefault="00000000" w:rsidRPr="00000000" w14:paraId="0000005C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</w:t>
        <w:tab/>
        <w:t xml:space="preserve">8-PSK (Восьмипозиционная фазовая модуляция);</w:t>
      </w:r>
    </w:p>
    <w:p w:rsidR="00000000" w:rsidDel="00000000" w:rsidP="00000000" w:rsidRDefault="00000000" w:rsidRPr="00000000" w14:paraId="0000005D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</w:t>
        <w:tab/>
        <w:t xml:space="preserve">16-QAM (Квадратурная амплитудная модуляция 16-позиционного сигнала).</w:t>
      </w:r>
    </w:p>
    <w:p w:rsidR="00000000" w:rsidDel="00000000" w:rsidP="00000000" w:rsidRDefault="00000000" w:rsidRPr="00000000" w14:paraId="0000005E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1.1 изображено условное графическое обозначение модуля кодирования и модуляции анализатора протокола.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pict>
          <v:shape id="_x0000_i1025" style="width:389.25pt;height:148.5pt" type="#_x0000_t75">
            <v:imagedata r:id="rId1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Рис.1.1. УГО модуля кодирования и модуляции анализатора протокола.</w:t>
      </w:r>
    </w:p>
    <w:p w:rsidR="00000000" w:rsidDel="00000000" w:rsidP="00000000" w:rsidRDefault="00000000" w:rsidRPr="00000000" w14:paraId="00000063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сигналов представлено в таблице 1.1.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180" w:firstLine="88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Таблица 1.1. Описание сигналов</w:t>
      </w:r>
    </w:p>
    <w:tbl>
      <w:tblPr>
        <w:tblStyle w:val="Table3"/>
        <w:tblW w:w="100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4"/>
        <w:gridCol w:w="2711"/>
        <w:gridCol w:w="850"/>
        <w:gridCol w:w="5954"/>
        <w:tblGridChange w:id="0">
          <w:tblGrid>
            <w:gridCol w:w="534"/>
            <w:gridCol w:w="2711"/>
            <w:gridCol w:w="850"/>
            <w:gridCol w:w="5954"/>
          </w:tblGrid>
        </w:tblGridChange>
      </w:tblGrid>
      <w:tr>
        <w:trPr>
          <w:cantSplit w:val="0"/>
          <w:tblHeader w:val="1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 п.п.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Напр.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Системные сигналы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Тактовый сигнал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nRst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 сброса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Входные сигналы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Режим работы: 0 – обычный режим; 1 – режим PSK.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ModulationMode (1:0)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«00» – QPSK; «01» – 8-PSK; «10» – 16-QAM; «11» – модуляция не используется.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SymbolFrequency (31:0)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Частотное слово символьной частоты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DataPort (15:0)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Порт записи данных FIFO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Сигнал, информирующий об отсутствии данных в FIFO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Выходные сигналы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rdreq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Запрос чтения с FIFO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Сигналы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схемы прямого цифрового синтеза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DDS_en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 разрешения работы для модуля синтеза периодических сигналов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DDS_amplitude (15:0)</w:t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Амплитуда периодического сигнала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DDS_start_phase (15:0)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Начальная фаза</w:t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таблице 1.2 приведено описание регистра порта записи данных с побитным указанием информации, хранящейся в нем.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Таблица 1.2 — Описание регистра порта записи данных</w:t>
      </w:r>
    </w:p>
    <w:tbl>
      <w:tblPr>
        <w:tblStyle w:val="Table4"/>
        <w:tblW w:w="935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8"/>
        <w:gridCol w:w="2339"/>
        <w:gridCol w:w="2338"/>
        <w:gridCol w:w="2339"/>
        <w:tblGridChange w:id="0">
          <w:tblGrid>
            <w:gridCol w:w="2338"/>
            <w:gridCol w:w="2339"/>
            <w:gridCol w:w="2338"/>
            <w:gridCol w:w="2339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righ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righ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0</w:t>
            </w:r>
          </w:p>
        </w:tc>
      </w:tr>
      <w:tr>
        <w:trPr>
          <w:cantSplit w:val="0"/>
          <w:trHeight w:val="68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Byte1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Byte0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RW, 0x0000</w:t>
            </w:r>
          </w:p>
        </w:tc>
      </w:tr>
    </w:tbl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Byte0 и Byte1 — младший и старший байты данных соответственно. Данные для пересылки по каналу модуляции. Пересылка осуществляется младшими байтами вперед. При записи данных в этот порт они отправляются в FIFO буфера пересылки.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 рисунке 1.2 изображена схема формирования фрейма. Все части данной схемы необходимы для корректной передачи данных. 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962650" cy="619125"/>
                <wp:effectExtent b="0" l="0" r="0" t="0"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4675" y="3470425"/>
                          <a:ext cx="5962650" cy="619125"/>
                          <a:chOff x="2364675" y="3470425"/>
                          <a:chExt cx="5962650" cy="619150"/>
                        </a:xfrm>
                      </wpg:grpSpPr>
                      <wpg:grpSp>
                        <wpg:cNvGrpSpPr/>
                        <wpg:grpSpPr>
                          <a:xfrm>
                            <a:off x="2364675" y="3470438"/>
                            <a:ext cx="5962650" cy="619125"/>
                            <a:chOff x="2364675" y="3469925"/>
                            <a:chExt cx="5962650" cy="6201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64675" y="3469925"/>
                              <a:ext cx="5962650" cy="620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64675" y="3470438"/>
                              <a:ext cx="5962650" cy="619125"/>
                              <a:chOff x="2364675" y="3457725"/>
                              <a:chExt cx="5962650" cy="64455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364675" y="3457725"/>
                                <a:ext cx="5962650" cy="644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364675" y="3470438"/>
                                <a:ext cx="5962650" cy="619125"/>
                                <a:chOff x="0" y="0"/>
                                <a:chExt cx="5962650" cy="61912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0" y="0"/>
                                  <a:ext cx="5962650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0" y="0"/>
                                  <a:ext cx="1163529" cy="619125"/>
                                  <a:chOff x="0" y="0"/>
                                  <a:chExt cx="1163529" cy="61912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60656" y="0"/>
                                    <a:ext cx="1042215" cy="6191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0" y="161906"/>
                                    <a:ext cx="1163529" cy="361914"/>
                                  </a:xfrm>
                                  <a:custGeom>
                                    <a:rect b="b" l="l" r="r" t="t"/>
                                    <a:pathLst>
                                      <a:path extrusionOk="0" h="361914" w="1163529">
                                        <a:moveTo>
                                          <a:pt x="0" y="0"/>
                                        </a:moveTo>
                                        <a:lnTo>
                                          <a:pt x="0" y="361914"/>
                                        </a:lnTo>
                                        <a:lnTo>
                                          <a:pt x="1163529" y="361914"/>
                                        </a:lnTo>
                                        <a:lnTo>
                                          <a:pt x="116352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" w:cs="Times" w:eastAsia="Times" w:hAnsi="Times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0"/>
                                          <w:vertAlign w:val="baseline"/>
                                        </w:rPr>
                                        <w:t xml:space="preserve">Кодирование</w:t>
                                      </w:r>
                                    </w:p>
                                  </w:txbxContent>
                                </wps:txbx>
                                <wps:bodyPr anchorCtr="0" anchor="t" bIns="38100" lIns="88900" spcFirstLastPara="1" rIns="88900" wrap="square" tIns="38100">
                                  <a:noAutofit/>
                                </wps:bodyPr>
                              </wps:wsp>
                            </wpg:grpSp>
                            <wpg:grpSp>
                              <wpg:cNvGrpSpPr/>
                              <wpg:grpSpPr>
                                <a:xfrm>
                                  <a:off x="4461948" y="0"/>
                                  <a:ext cx="1500701" cy="619125"/>
                                  <a:chOff x="0" y="0"/>
                                  <a:chExt cx="1500701" cy="619125"/>
                                </a:xfrm>
                              </wpg:grpSpPr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448393" y="0"/>
                                    <a:ext cx="578630" cy="6191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0" y="161906"/>
                                    <a:ext cx="1500701" cy="361914"/>
                                  </a:xfrm>
                                  <a:custGeom>
                                    <a:rect b="b" l="l" r="r" t="t"/>
                                    <a:pathLst>
                                      <a:path extrusionOk="0" h="361914" w="1500701">
                                        <a:moveTo>
                                          <a:pt x="0" y="0"/>
                                        </a:moveTo>
                                        <a:lnTo>
                                          <a:pt x="0" y="361914"/>
                                        </a:lnTo>
                                        <a:lnTo>
                                          <a:pt x="1500701" y="361914"/>
                                        </a:lnTo>
                                        <a:lnTo>
                                          <a:pt x="150070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" w:cs="Times" w:eastAsia="Times" w:hAnsi="Times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0"/>
                                          <w:vertAlign w:val="baseline"/>
                                        </w:rPr>
                                        <w:t xml:space="preserve">DDS</w:t>
                                      </w:r>
                                    </w:p>
                                  </w:txbxContent>
                                </wps:txbx>
                                <wps:bodyPr anchorCtr="0" anchor="t" bIns="38100" lIns="88900" spcFirstLastPara="1" rIns="88900" wrap="square" tIns="38100">
                                  <a:noAutofit/>
                                </wps:bodyPr>
                              </wps:wsp>
                            </wpg:grpSp>
                            <wpg:grpSp>
                              <wpg:cNvGrpSpPr/>
                              <wpg:grpSpPr>
                                <a:xfrm>
                                  <a:off x="1629026" y="0"/>
                                  <a:ext cx="1345712" cy="619125"/>
                                  <a:chOff x="0" y="0"/>
                                  <a:chExt cx="1345712" cy="619125"/>
                                </a:xfrm>
                              </wpg:grpSpPr>
                              <wps:wsp>
                                <wps:cNvSpPr/>
                                <wps:cNvPr id="15" name="Shape 15"/>
                                <wps:spPr>
                                  <a:xfrm>
                                    <a:off x="0" y="0"/>
                                    <a:ext cx="1345712" cy="6191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cap="flat" cmpd="sng" w="25400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6" name="Shape 16"/>
                                <wps:spPr>
                                  <a:xfrm>
                                    <a:off x="0" y="47601"/>
                                    <a:ext cx="1345712" cy="562022"/>
                                  </a:xfrm>
                                  <a:custGeom>
                                    <a:rect b="b" l="l" r="r" t="t"/>
                                    <a:pathLst>
                                      <a:path extrusionOk="0" h="562022" w="1345712">
                                        <a:moveTo>
                                          <a:pt x="0" y="0"/>
                                        </a:moveTo>
                                        <a:lnTo>
                                          <a:pt x="0" y="562022"/>
                                        </a:lnTo>
                                        <a:lnTo>
                                          <a:pt x="1345712" y="562022"/>
                                        </a:lnTo>
                                        <a:lnTo>
                                          <a:pt x="134571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center"/>
                                        <w:textDirection w:val="btLr"/>
                                      </w:pPr>
                                      <w:r w:rsidDel="00000000" w:rsidR="00000000" w:rsidRPr="00000000">
                                        <w:rPr>
                                          <w:rFonts w:ascii="Times" w:cs="Times" w:eastAsia="Times" w:hAnsi="Times"/>
                                          <w:b w:val="0"/>
                                          <w:i w:val="0"/>
                                          <w:smallCaps w:val="0"/>
                                          <w:strike w:val="0"/>
                                          <w:color w:val="000000"/>
                                          <w:sz w:val="20"/>
                                          <w:vertAlign w:val="baseline"/>
                                        </w:rPr>
                                        <w:t xml:space="preserve">Подготовка кодовых слов</w:t>
                                      </w:r>
                                    </w:p>
                                  </w:txbxContent>
                                </wps:txbx>
                                <wps:bodyPr anchorCtr="0" anchor="t" bIns="38100" lIns="88900" spcFirstLastPara="1" rIns="88900" wrap="square" tIns="38100">
                                  <a:noAutofit/>
                                </wps:bodyPr>
                              </wps:wsp>
                            </wpg:grpSp>
                            <wps:wsp>
                              <wps:cNvSpPr/>
                              <wps:cNvPr id="17" name="Shape 17"/>
                              <wps:spPr>
                                <a:xfrm>
                                  <a:off x="1112964" y="314312"/>
                                  <a:ext cx="516061" cy="0"/>
                                </a:xfrm>
                                <a:custGeom>
                                  <a:rect b="b" l="l" r="r" t="t"/>
                                  <a:pathLst>
                                    <a:path extrusionOk="0" h="1" w="516061">
                                      <a:moveTo>
                                        <a:pt x="0" y="0"/>
                                      </a:moveTo>
                                      <a:lnTo>
                                        <a:pt x="516061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cap="flat" cmpd="sng"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8" name="Shape 18"/>
                              <wps:spPr>
                                <a:xfrm>
                                  <a:off x="2986636" y="304812"/>
                                  <a:ext cx="458698" cy="0"/>
                                </a:xfrm>
                                <a:custGeom>
                                  <a:rect b="b" l="l" r="r" t="t"/>
                                  <a:pathLst>
                                    <a:path extrusionOk="0" h="1" w="458698">
                                      <a:moveTo>
                                        <a:pt x="0" y="0"/>
                                      </a:moveTo>
                                      <a:lnTo>
                                        <a:pt x="458698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cap="flat" cmpd="sng"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med" w="med" type="triangl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2650" cy="619125"/>
                <wp:effectExtent b="0" l="0" r="0" t="0"/>
                <wp:docPr id="28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-12699</wp:posOffset>
                </wp:positionV>
                <wp:extent cx="1050925" cy="69532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858638" y="3470438"/>
                          <a:ext cx="974725" cy="61912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-12699</wp:posOffset>
                </wp:positionV>
                <wp:extent cx="1050925" cy="695325"/>
                <wp:effectExtent b="0" l="0" r="0" t="0"/>
                <wp:wrapNone/>
                <wp:docPr id="29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0925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114300</wp:posOffset>
                </wp:positionV>
                <wp:extent cx="985520" cy="39052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867528" y="3599025"/>
                          <a:ext cx="956945" cy="361950"/>
                        </a:xfrm>
                        <a:custGeom>
                          <a:rect b="b" l="l" r="r" t="t"/>
                          <a:pathLst>
                            <a:path extrusionOk="0" h="361950" w="956945">
                              <a:moveTo>
                                <a:pt x="0" y="0"/>
                              </a:moveTo>
                              <a:lnTo>
                                <a:pt x="0" y="361950"/>
                              </a:lnTo>
                              <a:lnTo>
                                <a:pt x="956945" y="361950"/>
                              </a:lnTo>
                              <a:lnTo>
                                <a:pt x="95694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Модулятор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114300</wp:posOffset>
                </wp:positionV>
                <wp:extent cx="985520" cy="390525"/>
                <wp:effectExtent b="0" l="0" r="0" t="0"/>
                <wp:wrapNone/>
                <wp:docPr id="3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552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292100</wp:posOffset>
                </wp:positionV>
                <wp:extent cx="0" cy="2540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095810" y="3780000"/>
                          <a:ext cx="500380" cy="0"/>
                        </a:xfrm>
                        <a:custGeom>
                          <a:rect b="b" l="l" r="r" t="t"/>
                          <a:pathLst>
                            <a:path extrusionOk="0" h="1" w="500380">
                              <a:moveTo>
                                <a:pt x="0" y="0"/>
                              </a:moveTo>
                              <a:lnTo>
                                <a:pt x="50038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292100</wp:posOffset>
                </wp:positionV>
                <wp:extent cx="0" cy="25400"/>
                <wp:effectExtent b="0" l="0" r="0" t="0"/>
                <wp:wrapNone/>
                <wp:docPr id="3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8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1.2. Структура формирования фрейма.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упрощения взаимодействия в команде и поддержки проекта, реализация модуля была разбит на несколько файлов компонентов. Схема соединений модуля приведена на рисунке 1.3.</w:t>
      </w:r>
    </w:p>
    <w:p w:rsidR="00000000" w:rsidDel="00000000" w:rsidP="00000000" w:rsidRDefault="00000000" w:rsidRPr="00000000" w14:paraId="000000BC">
      <w:pPr>
        <w:spacing w:after="3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5450288" cy="3022341"/>
                <wp:effectExtent b="0" l="0" r="0" t="0"/>
                <wp:docPr id="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23825"/>
                          <a:ext cx="5450288" cy="3022341"/>
                          <a:chOff x="0" y="423825"/>
                          <a:chExt cx="6721550" cy="3683925"/>
                        </a:xfrm>
                      </wpg:grpSpPr>
                      <wps:wsp>
                        <wps:cNvSpPr/>
                        <wps:cNvPr id="22" name="Shape 22"/>
                        <wps:spPr>
                          <a:xfrm>
                            <a:off x="1210025" y="428600"/>
                            <a:ext cx="2051400" cy="647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E6B8A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modulator_modulation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5038275" y="498775"/>
                            <a:ext cx="1678500" cy="588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E59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modulation_lut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1356950" y="3514075"/>
                            <a:ext cx="1678500" cy="588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9CB9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modulator_8b10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4252825" y="3514075"/>
                            <a:ext cx="1678500" cy="5889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EA9999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8b10b_enc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0" y="567625"/>
                            <a:ext cx="1161000" cy="3924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FIFO data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 rot="5400000">
                            <a:off x="753350" y="2132875"/>
                            <a:ext cx="2188800" cy="3147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3079817" y="3659125"/>
                            <a:ext cx="1173000" cy="298800"/>
                          </a:xfrm>
                          <a:prstGeom prst="left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Encoding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 rot="5397665">
                            <a:off x="1550337" y="2114725"/>
                            <a:ext cx="2208301" cy="351000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Coded_data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3310600" y="597025"/>
                            <a:ext cx="1678500" cy="3924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Modulation_data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 rot="5400000">
                            <a:off x="4823325" y="1628575"/>
                            <a:ext cx="1971000" cy="1541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 rot="5400000">
                            <a:off x="5548875" y="2067475"/>
                            <a:ext cx="1318800" cy="4515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Amplitude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 rot="5400000">
                            <a:off x="4759200" y="2075125"/>
                            <a:ext cx="1334100" cy="4515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Phase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5754750" y="1176125"/>
                            <a:ext cx="176700" cy="182100"/>
                          </a:xfrm>
                          <a:prstGeom prst="down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5268975" y="2967925"/>
                            <a:ext cx="1447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 data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450288" cy="3022341"/>
                <wp:effectExtent b="0" l="0" r="0" t="0"/>
                <wp:docPr id="3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0288" cy="30223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1.3. УГО модуля кодирования и модуляции анализатора протокола.</w:t>
      </w:r>
    </w:p>
    <w:p w:rsidR="00000000" w:rsidDel="00000000" w:rsidP="00000000" w:rsidRDefault="00000000" w:rsidRPr="00000000" w14:paraId="000000BE">
      <w:pPr>
        <w:spacing w:after="3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Никита Сазиков вёл разработку модуля управления кодированием 8b\10, а также модуля памяти (файлы modulator_lut.vhd и modulator_8b10.vhd).</w:t>
      </w:r>
    </w:p>
    <w:p w:rsidR="00000000" w:rsidDel="00000000" w:rsidP="00000000" w:rsidRDefault="00000000" w:rsidRPr="00000000" w14:paraId="000000BF">
      <w:pPr>
        <w:spacing w:after="3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управления кодированием 8b\10b предназначен для обработки данных с FIFO (запрос новых двухбайтных слов и выбор обрабатываемого байта), а также передачи его модулю кодирования данных — 8b10b_enc.vhd.  В качестве модуля кодирования используется готовая реализация The OpenCores 8b10b_encdec Project.</w:t>
      </w:r>
    </w:p>
    <w:p w:rsidR="00000000" w:rsidDel="00000000" w:rsidP="00000000" w:rsidRDefault="00000000" w:rsidRPr="00000000" w14:paraId="000000C0">
      <w:pPr>
        <w:spacing w:after="3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дальнейшем, кодированное 10-битовое слово передается на модуль подготовки кодовых слов и модуляции.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таблице 1.3 представлена структура памяти ROM, в которой хранится кодировка для трех режимов модуляции с представлением амплитуды и фазы в виде числа с фиксированной точкой. Данная память адресуется только внутри, доступ извне невозможен.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Таблица 1.3 — Структура памяти, хранящая кодировку для всех режимов модуляции</w:t>
      </w:r>
    </w:p>
    <w:tbl>
      <w:tblPr>
        <w:tblStyle w:val="Table5"/>
        <w:tblW w:w="9578.0" w:type="dxa"/>
        <w:jc w:val="left"/>
        <w:tblInd w:w="-1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75"/>
        <w:gridCol w:w="3201"/>
        <w:gridCol w:w="3202"/>
        <w:tblGridChange w:id="0">
          <w:tblGrid>
            <w:gridCol w:w="3175"/>
            <w:gridCol w:w="3201"/>
            <w:gridCol w:w="3202"/>
          </w:tblGrid>
        </w:tblGridChange>
      </w:tblGrid>
      <w:tr>
        <w:trPr>
          <w:cantSplit w:val="0"/>
          <w:trHeight w:val="587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Режим модуляции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Начальная фаза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Амплитуда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QPSK (“00”)</w:t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000000-000011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8-PSK (“01”)</w:t>
            </w:r>
          </w:p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010000 - 010111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8000</w:t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C000</w:t>
            </w:r>
          </w:p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16-QAM (“10”)</w:t>
            </w:r>
          </w:p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100000 - 101111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A666</w:t>
            </w:r>
          </w:p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D333</w:t>
            </w:r>
          </w:p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9333</w:t>
            </w:r>
          </w:p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E666</w:t>
            </w:r>
          </w:p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5333</w:t>
            </w:r>
          </w:p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2666</w:t>
            </w:r>
          </w:p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6666</w:t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1333</w:t>
            </w:r>
          </w:p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</w:tc>
      </w:tr>
    </w:tbl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После модуляции полученные значения амплитуды и начальной фазы необходимо нанести на несущую, которая генерируется с помощью отдельного DDS с возможностью установления частоты несущей, а также частоты следования символов. </w:t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Азат Ахметов вёл разработку модуля подготовки кодовых слов и модуляции (modulator_modulation.vhd).</w:t>
      </w:r>
    </w:p>
    <w:p w:rsidR="00000000" w:rsidDel="00000000" w:rsidP="00000000" w:rsidRDefault="00000000" w:rsidRPr="00000000" w14:paraId="0000010D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подготовке кодового слова оно разбивается на части, соответствующие режиму модуляции: 2 бита при QPSK, 3 бита при 8-PSK, 4 бита при 16-QAM. Для этого производится сдвиг на необходимое количество бит. Запросом такого действия является установка регистра need_shifted_r. При работе сдвиговый регистр считает оставшееся количество необходимых сдвигов в счётчике shift_counter. После выполнения сдвигов, в зависимости от символьной скорости, данные будут перенесены в биты адреса, соответствующие модулируемым данным.</w:t>
      </w:r>
    </w:p>
    <w:p w:rsidR="00000000" w:rsidDel="00000000" w:rsidP="00000000" w:rsidRDefault="00000000" w:rsidRPr="00000000" w14:paraId="0000010E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 слово полезных данных составляет 10 бит. После сдвига всех полезных данных, должно быть запрошено следующее слово. За этим событием следит счётчик shifted_10bit_counter, хранящий количество оставшихся полезных данных в области current_data. При обнулении счётчика ByteReadRequest устанавливается в 1 (при следующем клоке он будет убран), тем самым запрашивая новые данные у соседнего модуля. Наглядно ход работы сдвигового регистра можно представить на рисунке 1.4.</w:t>
      </w:r>
    </w:p>
    <w:p w:rsidR="00000000" w:rsidDel="00000000" w:rsidP="00000000" w:rsidRDefault="00000000" w:rsidRPr="00000000" w14:paraId="0000010F">
      <w:pPr>
        <w:spacing w:after="3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4160358" cy="3668762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358" cy="366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1.4. Схема работы сдвигового регистра.</w:t>
      </w:r>
    </w:p>
    <w:p w:rsidR="00000000" w:rsidDel="00000000" w:rsidP="00000000" w:rsidRDefault="00000000" w:rsidRPr="00000000" w14:paraId="0000011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ОТЧЕТ О ВЕРИФИКАЦИИ</w:t>
      </w:r>
    </w:p>
    <w:p w:rsidR="00000000" w:rsidDel="00000000" w:rsidP="00000000" w:rsidRDefault="00000000" w:rsidRPr="00000000" w14:paraId="000001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 Верификация модуля</w:t>
      </w:r>
    </w:p>
    <w:p w:rsidR="00000000" w:rsidDel="00000000" w:rsidP="00000000" w:rsidRDefault="00000000" w:rsidRPr="00000000" w14:paraId="0000011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2.1. изображена диаграмма реакции модуля на сигнал сброса. В момент низкого сигнала на сбросе происходит обнуление начальной фазы (StartPhase), амплитуды (Amplitude), данных, хранящихся в DataPort. Также на сигнал разрешения работы для модуля синтеза периодических сигналов подается 0. </w:t>
      </w:r>
    </w:p>
    <w:p w:rsidR="00000000" w:rsidDel="00000000" w:rsidP="00000000" w:rsidRDefault="00000000" w:rsidRPr="00000000" w14:paraId="0000011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сигнале Mode, установленным в 0, схема не производит модуляцию, она происходит лишь при Mode=1.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pict>
          <v:shape id="_x0000_i1028" style="width:468pt;height:91.5pt;visibility:visible" type="#_x0000_t75">
            <v:imagedata r:id="rId4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2.1. Временная диаграмма сброса модуля.</w:t>
      </w:r>
    </w:p>
    <w:p w:rsidR="00000000" w:rsidDel="00000000" w:rsidP="00000000" w:rsidRDefault="00000000" w:rsidRPr="00000000" w14:paraId="00000117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рисунках 2.2–2.4 показан ход работы при разных видах модуляции.</w:t>
      </w:r>
    </w:p>
    <w:p w:rsidR="00000000" w:rsidDel="00000000" w:rsidP="00000000" w:rsidRDefault="00000000" w:rsidRPr="00000000" w14:paraId="00000119">
      <w:pPr>
        <w:spacing w:after="3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2.2 происходит модуляция 16-QAM, при которой изменяется как начальная фаза (StartPhase), так и амплитуда (Amplitude). ModulationMode в данном случае равен 10 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pict>
          <v:shape id="_x0000_i1029" style="width:468pt;height:87.75pt;visibility:visible" type="#_x0000_t75">
            <v:imagedata r:id="rId5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2.2. Временная диаграмма работы модуля при модуляции 16-QAM.</w:t>
      </w:r>
    </w:p>
    <w:p w:rsidR="00000000" w:rsidDel="00000000" w:rsidP="00000000" w:rsidRDefault="00000000" w:rsidRPr="00000000" w14:paraId="0000011C">
      <w:pPr>
        <w:spacing w:after="3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2.3. происходит модуляция QPSK (может иметь в данном случае 4 состояния), при которой изменяется только лишь начальная фаза.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pict>
          <v:shape id="_x0000_i1030" style="width:467.25pt;height:87.75pt;visibility:visible" type="#_x0000_t75">
            <v:imagedata r:id="rId6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2.3. Временная диаграмма работы модуля при модуляции QPSK.</w:t>
      </w:r>
    </w:p>
    <w:p w:rsidR="00000000" w:rsidDel="00000000" w:rsidP="00000000" w:rsidRDefault="00000000" w:rsidRPr="00000000" w14:paraId="0000011F">
      <w:pPr>
        <w:spacing w:after="3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2.4. происходит модуляция 8-PSK (может иметь в данном случае 8 состояний), при которой изменяется только лишь начальная фаза.</w:t>
      </w:r>
    </w:p>
    <w:p w:rsidR="00000000" w:rsidDel="00000000" w:rsidP="00000000" w:rsidRDefault="00000000" w:rsidRPr="00000000" w14:paraId="00000120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1" style="width:468pt;height:90pt;visibility:visible" type="#_x0000_t75">
            <v:imagedata r:id="rId7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2.4. Временная диаграмма работы модуля при модуляции 8-PSK.</w:t>
      </w:r>
    </w:p>
    <w:p w:rsidR="00000000" w:rsidDel="00000000" w:rsidP="00000000" w:rsidRDefault="00000000" w:rsidRPr="00000000" w14:paraId="00000122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30"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 2.5. показано, что при увеличении символьной частоты увеличивается и частота изменения начальной фазы сигнала</w:t>
      </w:r>
    </w:p>
    <w:p w:rsidR="00000000" w:rsidDel="00000000" w:rsidP="00000000" w:rsidRDefault="00000000" w:rsidRPr="00000000" w14:paraId="00000124">
      <w:pPr>
        <w:spacing w:after="30" w:line="360" w:lineRule="auto"/>
        <w:jc w:val="both"/>
        <w:rPr/>
      </w:pPr>
      <w:r w:rsidDel="00000000" w:rsidR="00000000" w:rsidRPr="00000000">
        <w:rPr/>
        <w:pict>
          <v:shape id="_x0000_i1032" style="width:467.25pt;height:87.75pt;visibility:visible" type="#_x0000_t75">
            <v:imagedata r:id="rId8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2.5. Временная диаграмма работы модуля при изменении символьной частоты.</w:t>
      </w:r>
    </w:p>
    <w:p w:rsidR="00000000" w:rsidDel="00000000" w:rsidP="00000000" w:rsidRDefault="00000000" w:rsidRPr="00000000" w14:paraId="00000126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2.6 отображен процесс передачи данных внутри модуля (работа сдвигового регистра). На вход модуля модуляции поступают кодированные данные (CodedData), которые записываются в старшие биты регистра сдвига (data_r). Эта часть регистра (data[13:4]) отображена на диаграмме как current_data.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pict>
          <v:shape id="_x0000_i1033" style="width:468pt;height:192.75pt;visibility:visible" type="#_x0000_t75">
            <v:imagedata r:id="rId9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2.6. Временная диаграмма переноса данных.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определения режима модуляции, перед передачей полезных данных передаются специальные калибровочные данные размером 60 бит. В течение этой передачи, вне зависимости от режима модуляции, будет передано необходимое количество изменений фазы и амплитуды для однозначного различения режима модуляции. Диаграмма первоначальной калибровки приведена на рис. 2.7.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pict>
          <v:shape id="_x0000_i1034" style="width:468pt;height:134.25pt;visibility:visible" type="#_x0000_t75">
            <v:imagedata r:id="rId10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2.7. Временная диаграмма калибровки.</w:t>
      </w:r>
    </w:p>
    <w:p w:rsidR="00000000" w:rsidDel="00000000" w:rsidP="00000000" w:rsidRDefault="00000000" w:rsidRPr="00000000" w14:paraId="0000012E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рис. 2.8. наблюдается, что необходимость калибровки устанавливается (CalibrationNeeded_r =1) при сбросе или установке режима модуляции (Mode=0). Данные для калибровки передаются и обрабатываются также, как и обычные полезные данные, полученные извне. В качестве калибровочных данных используется последовательность бит, при модулировании которой будет наблюдаться достаточная вариативность сигнала для однозначного распознавания типа модуляции: 3 изменения фазы при QPSK, 5 изменений фаз при 8-PSK и 16QAM. Эта последовательность повторяется 3 раза для достижения количества 60 бит: наименьшего общего кратного между количеством бит в каждом пакете при любом режиме модуляции, и общим количеством бит в слове (соответственно, 2, 3, 4, и 10 бит).</w:t>
      </w:r>
    </w:p>
    <w:p w:rsidR="00000000" w:rsidDel="00000000" w:rsidP="00000000" w:rsidRDefault="00000000" w:rsidRPr="00000000" w14:paraId="0000012F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ходом работы следит счётчик CalibrationByte_counter. При сдвиге всех 60 бит калибровки, режим калибровки завершается, и модуль переходит в нормальный режим работы.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43600" cy="1736466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2.8. Временная диаграмма передачи данных в режиме калибровки.</w:t>
      </w:r>
    </w:p>
    <w:p w:rsidR="00000000" w:rsidDel="00000000" w:rsidP="00000000" w:rsidRDefault="00000000" w:rsidRPr="00000000" w14:paraId="0000013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dsjvqeoj5u4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2.2. Проверка согласования с соседними модулями</w:t>
      </w:r>
    </w:p>
    <w:p w:rsidR="00000000" w:rsidDel="00000000" w:rsidP="00000000" w:rsidRDefault="00000000" w:rsidRPr="00000000" w14:paraId="00000135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проверки согласования и возможности интеграции в проект был собран специальный тестбенч, содержащий три модуля: часть анализатора протокола, отвечающая за хранение данных, модуль кодирования и модуляции и модуль генератора сигналов. Структурная схема межсоединений показана на рисунке 2.9.</w:t>
      </w:r>
    </w:p>
    <w:p w:rsidR="00000000" w:rsidDel="00000000" w:rsidP="00000000" w:rsidRDefault="00000000" w:rsidRPr="00000000" w14:paraId="00000137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6" style="width:468.75pt;height:96.75pt;visibility:visible" type="#_x0000_t75">
            <v:imagedata r:id="rId11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2.9. Соединение соседних модулей в проекте.</w:t>
      </w:r>
    </w:p>
    <w:p w:rsidR="00000000" w:rsidDel="00000000" w:rsidP="00000000" w:rsidRDefault="00000000" w:rsidRPr="00000000" w14:paraId="00000139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временной диаграмме (рис. 2.10) видно, что входные конфигурирующие сигналы анализатора протокола управляют работой модуля кодирования и модуляции, а модуль генерации сигнала синтезирует необходимую форму сигнала.</w:t>
      </w:r>
    </w:p>
    <w:p w:rsidR="00000000" w:rsidDel="00000000" w:rsidP="00000000" w:rsidRDefault="00000000" w:rsidRPr="00000000" w14:paraId="0000013A">
      <w:pPr>
        <w:spacing w:after="3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829300" cy="3524897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24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2.10. Временная диаграмма общей сборки из трёх модулей.</w:t>
      </w:r>
    </w:p>
    <w:p w:rsidR="00000000" w:rsidDel="00000000" w:rsidP="00000000" w:rsidRDefault="00000000" w:rsidRPr="00000000" w14:paraId="0000013D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начальный момент времени сигнал разрешения работы для модуля синтеза периодических сигналов установлен в 0 (DDS_en_r=0), и синфазная и квадратурная составляющие генератора сигналов нулевые (DAC_Q_s=0 и DAC_I_s=0).</w:t>
      </w:r>
    </w:p>
    <w:p w:rsidR="00000000" w:rsidDel="00000000" w:rsidP="00000000" w:rsidRDefault="00000000" w:rsidRPr="00000000" w14:paraId="0000013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68270" cy="1095375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34358" l="736" r="865" t="24943"/>
                    <a:stretch>
                      <a:fillRect/>
                    </a:stretch>
                  </pic:blipFill>
                  <pic:spPr>
                    <a:xfrm>
                      <a:off x="0" y="0"/>
                      <a:ext cx="556827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3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2.5..Временная диаграмма в начальный момент времени</w:t>
      </w:r>
    </w:p>
    <w:p w:rsidR="00000000" w:rsidDel="00000000" w:rsidP="00000000" w:rsidRDefault="00000000" w:rsidRPr="00000000" w14:paraId="0000014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рис.2.6. продемонстрированы сигналы на генераторе в момент времени, когда символьная частота (SymbolFrequency=0010FFFF) меньше, чем несущая частота(CarrierFrequency = 010003FF)</w:t>
      </w:r>
    </w:p>
    <w:p w:rsidR="00000000" w:rsidDel="00000000" w:rsidP="00000000" w:rsidRDefault="00000000" w:rsidRPr="00000000" w14:paraId="00000143">
      <w:pPr>
        <w:spacing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0357" cy="1629728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0357" cy="162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2.6. Временная диаграмма в момент времени, когда SymbolFrequency меньше CarrierFrequency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monseq8i8x9y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СИНТЕЗ СХЕМЫ И ВРЕМЕННЫЕ ХАРАКТЕРИСТИКИ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проверки синтезируемости были проведены стадии Analysis &amp; Synthesis, Place &amp; Route, Generate programming files и Timing Analysis спроектированной схемы для ПЛИС семейства Cyclone 10 LP. </w:t>
      </w:r>
    </w:p>
    <w:p w:rsidR="00000000" w:rsidDel="00000000" w:rsidP="00000000" w:rsidRDefault="00000000" w:rsidRPr="00000000" w14:paraId="0000014A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рисунках 3.1-3.7 представлены результаты проведенного синтеза. Все этапы синтеза пройдены успешно.</w:t>
      </w:r>
    </w:p>
    <w:p w:rsidR="00000000" w:rsidDel="00000000" w:rsidP="00000000" w:rsidRDefault="00000000" w:rsidRPr="00000000" w14:paraId="0000014B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8" style="width:377.25pt;height:212.25pt;visibility:visible" type="#_x0000_t75">
            <v:imagedata r:id="rId12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3.1. Отчёт о занимаемых ресурсах.</w:t>
      </w:r>
    </w:p>
    <w:p w:rsidR="00000000" w:rsidDel="00000000" w:rsidP="00000000" w:rsidRDefault="00000000" w:rsidRPr="00000000" w14:paraId="0000014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9" style="width:310.5pt;height:69.75pt;visibility:visible" type="#_x0000_t75">
            <v:imagedata r:id="rId13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3.2. Используемые тактовые сигналы.</w:t>
      </w:r>
    </w:p>
    <w:p w:rsidR="00000000" w:rsidDel="00000000" w:rsidP="00000000" w:rsidRDefault="00000000" w:rsidRPr="00000000" w14:paraId="0000015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0" style="width:223.5pt;height:69pt;visibility:visible" type="#_x0000_t75">
            <v:imagedata r:id="rId14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3.3. Отчёт о временных характеристиках модуля при 85 С.</w:t>
      </w:r>
    </w:p>
    <w:p w:rsidR="00000000" w:rsidDel="00000000" w:rsidP="00000000" w:rsidRDefault="00000000" w:rsidRPr="00000000" w14:paraId="0000015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1" style="width:228.75pt;height:69pt;visibility:visible" type="#_x0000_t75">
            <v:imagedata r:id="rId15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3.4. Отчёт о временных характеристиках модуля при 0 С.</w:t>
      </w:r>
    </w:p>
    <w:p w:rsidR="00000000" w:rsidDel="00000000" w:rsidP="00000000" w:rsidRDefault="00000000" w:rsidRPr="00000000" w14:paraId="00000156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924550" cy="1876425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3.5. Схема модуля анализатора протокола.</w:t>
      </w:r>
    </w:p>
    <w:p w:rsidR="00000000" w:rsidDel="00000000" w:rsidP="00000000" w:rsidRDefault="00000000" w:rsidRPr="00000000" w14:paraId="00000158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2" style="width:468pt;height:346.5pt;visibility:visible" type="#_x0000_t75">
            <v:imagedata r:id="rId16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3.6. Синтезированная схема модуля кодирования информации.</w:t>
      </w:r>
    </w:p>
    <w:p w:rsidR="00000000" w:rsidDel="00000000" w:rsidP="00000000" w:rsidRDefault="00000000" w:rsidRPr="00000000" w14:paraId="0000015A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3" style="width:468pt;height:63.75pt;visibility:visible" type="#_x0000_t75">
            <v:imagedata r:id="rId17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3.7. Синтезированная схема модуля модуляции сигнала.</w:t>
      </w:r>
    </w:p>
    <w:p w:rsidR="00000000" w:rsidDel="00000000" w:rsidP="00000000" w:rsidRDefault="00000000" w:rsidRPr="00000000" w14:paraId="0000015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4" style="width:467.25pt;height:412.5pt;visibility:visible" type="#_x0000_t75">
            <v:imagedata r:id="rId18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3.8. Синтезированная схема модуля хранения данных (таблица поиска).</w:t>
      </w:r>
    </w:p>
    <w:p w:rsidR="00000000" w:rsidDel="00000000" w:rsidP="00000000" w:rsidRDefault="00000000" w:rsidRPr="00000000" w14:paraId="0000016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процессе выполнения курсовой работы были разработаны модуль для кодирования и модуляции информации анализатора протокола.</w:t>
      </w:r>
    </w:p>
    <w:p w:rsidR="00000000" w:rsidDel="00000000" w:rsidP="00000000" w:rsidRDefault="00000000" w:rsidRPr="00000000" w14:paraId="00000163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помощью ModelSim 10.5b проведена симуляция работы устройства c различными входными данными, а также с соседними модулями.</w:t>
      </w:r>
    </w:p>
    <w:p w:rsidR="00000000" w:rsidDel="00000000" w:rsidP="00000000" w:rsidRDefault="00000000" w:rsidRPr="00000000" w14:paraId="00000164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с помощью Quartus Prime 18.0 была выполнена проверка проекта на синтезируемость для ПЛИС семейства Cyclone 10 LP.</w:t>
      </w:r>
    </w:p>
    <w:p w:rsidR="00000000" w:rsidDel="00000000" w:rsidP="00000000" w:rsidRDefault="00000000" w:rsidRPr="00000000" w14:paraId="00000165">
      <w:pPr>
        <w:spacing w:line="360" w:lineRule="auto"/>
        <w:ind w:firstLine="900"/>
        <w:jc w:val="both"/>
        <w:rPr>
          <w:rFonts w:ascii="Roboto" w:cs="Roboto" w:eastAsia="Roboto" w:hAnsi="Roboto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рамках выполнения курсовой работы были получены практические навыки в разработке проекта на языке описания оборудования VHDL, его тестирования в среде ModelSim 10.5b и синтеза в Quartus Prime 18.0.</w:t>
      </w:r>
      <w:r w:rsidDel="00000000" w:rsidR="00000000" w:rsidRPr="00000000">
        <w:rPr>
          <w:rtl w:val="0"/>
        </w:rPr>
      </w:r>
    </w:p>
    <w:sectPr>
      <w:footerReference r:id="rId34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Arial"/>
  <w:font w:name="Times New Roman"/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19" w:subsetted="0"/>
    <w:embedBoldItalic w:fontKey="{00000000-0000-0000-0000-000000000000}" r:id="rId20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right"/>
      <w:rPr>
        <w:rFonts w:ascii="Times" w:cs="Times" w:eastAsia="Times" w:hAnsi="Times"/>
        <w:color w:val="000000"/>
      </w:rPr>
    </w:pPr>
    <w:r w:rsidDel="00000000" w:rsidR="00000000" w:rsidRPr="00000000">
      <w:rPr>
        <w:rFonts w:ascii="Times" w:cs="Times" w:eastAsia="Times" w:hAnsi="Times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ind w:right="360"/>
      <w:rPr>
        <w:rFonts w:ascii="Times" w:cs="Times" w:eastAsia="Times" w:hAnsi="Times"/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="360" w:lineRule="auto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A3E93"/>
    <w:pPr>
      <w:suppressAutoHyphens w:val="1"/>
    </w:pPr>
    <w:rPr>
      <w:rFonts w:ascii="Times New Roman CYR" w:cs="Times New Roman CYR" w:hAnsi="Times New Roman CYR"/>
      <w:lang w:eastAsia="ar-SA"/>
    </w:rPr>
  </w:style>
  <w:style w:type="paragraph" w:styleId="1">
    <w:name w:val="heading 1"/>
    <w:basedOn w:val="a"/>
    <w:next w:val="a"/>
    <w:link w:val="10"/>
    <w:uiPriority w:val="9"/>
    <w:qFormat w:val="1"/>
    <w:rsid w:val="007E23AE"/>
    <w:pPr>
      <w:keepNext w:val="1"/>
      <w:keepLines w:val="1"/>
      <w:spacing w:before="480"/>
      <w:outlineLvl w:val="0"/>
    </w:pPr>
    <w:rPr>
      <w:rFonts w:ascii="Cambria" w:cs="Cambria" w:hAnsi="Cambria"/>
      <w:b w:val="1"/>
      <w:bCs w:val="1"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292409"/>
    <w:pPr>
      <w:keepNext w:val="1"/>
      <w:keepLines w:val="1"/>
      <w:spacing w:before="200"/>
      <w:outlineLvl w:val="1"/>
    </w:pPr>
    <w:rPr>
      <w:rFonts w:ascii="Cambria" w:cs="Cambria" w:hAnsi="Cambria"/>
      <w:b w:val="1"/>
      <w:bCs w:val="1"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6E3CC4"/>
    <w:pPr>
      <w:keepNext w:val="1"/>
      <w:spacing w:after="60" w:before="240"/>
      <w:outlineLvl w:val="2"/>
    </w:pPr>
    <w:rPr>
      <w:rFonts w:ascii="Cambria" w:cs="Times New Roman" w:hAnsi="Cambria"/>
      <w:b w:val="1"/>
      <w:bCs w:val="1"/>
      <w:sz w:val="26"/>
      <w:szCs w:val="26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10" w:customStyle="1">
    <w:name w:val="Заголовок 1 Знак"/>
    <w:link w:val="1"/>
    <w:uiPriority w:val="99"/>
    <w:locked w:val="1"/>
    <w:rsid w:val="007E23AE"/>
    <w:rPr>
      <w:rFonts w:ascii="Cambria" w:hAnsi="Cambria"/>
      <w:b w:val="1"/>
      <w:color w:val="365f91"/>
      <w:sz w:val="28"/>
      <w:lang w:bidi="ar-SA" w:eastAsia="ar-SA" w:val="x-none"/>
    </w:rPr>
  </w:style>
  <w:style w:type="character" w:styleId="20" w:customStyle="1">
    <w:name w:val="Заголовок 2 Знак"/>
    <w:link w:val="2"/>
    <w:uiPriority w:val="99"/>
    <w:semiHidden w:val="1"/>
    <w:locked w:val="1"/>
    <w:rsid w:val="00292409"/>
    <w:rPr>
      <w:rFonts w:ascii="Cambria" w:hAnsi="Cambria"/>
      <w:b w:val="1"/>
      <w:color w:val="4f81bd"/>
      <w:sz w:val="26"/>
      <w:lang w:bidi="ar-SA" w:eastAsia="ar-SA" w:val="x-none"/>
    </w:rPr>
  </w:style>
  <w:style w:type="character" w:styleId="30" w:customStyle="1">
    <w:name w:val="Заголовок 3 Знак"/>
    <w:link w:val="3"/>
    <w:uiPriority w:val="9"/>
    <w:locked w:val="1"/>
    <w:rsid w:val="006E3CC4"/>
    <w:rPr>
      <w:rFonts w:ascii="Cambria" w:hAnsi="Cambria"/>
      <w:b w:val="1"/>
      <w:sz w:val="26"/>
      <w:lang w:bidi="ar-SA" w:eastAsia="ar-SA" w:val="ru-RU"/>
    </w:rPr>
  </w:style>
  <w:style w:type="paragraph" w:styleId="a4">
    <w:name w:val="List Paragraph"/>
    <w:basedOn w:val="a"/>
    <w:uiPriority w:val="34"/>
    <w:qFormat w:val="1"/>
    <w:rsid w:val="007E23AE"/>
    <w:pPr>
      <w:ind w:left="720"/>
    </w:pPr>
  </w:style>
  <w:style w:type="paragraph" w:styleId="11" w:customStyle="1">
    <w:name w:val="Заголовок оглавления1"/>
    <w:basedOn w:val="1"/>
    <w:next w:val="a"/>
    <w:uiPriority w:val="99"/>
    <w:rsid w:val="007E23AE"/>
    <w:pPr>
      <w:suppressAutoHyphens w:val="0"/>
      <w:spacing w:line="276" w:lineRule="auto"/>
      <w:outlineLvl w:val="9"/>
    </w:pPr>
    <w:rPr>
      <w:lang w:eastAsia="en-US"/>
    </w:rPr>
  </w:style>
  <w:style w:type="paragraph" w:styleId="FR1" w:customStyle="1">
    <w:name w:val="FR1"/>
    <w:uiPriority w:val="99"/>
    <w:rsid w:val="0052271B"/>
    <w:pPr>
      <w:widowControl w:val="0"/>
      <w:autoSpaceDE w:val="0"/>
      <w:autoSpaceDN w:val="0"/>
      <w:adjustRightInd w:val="0"/>
    </w:pPr>
    <w:rPr>
      <w:rFonts w:ascii="Arial" w:cs="Arial" w:hAnsi="Arial"/>
      <w:sz w:val="40"/>
      <w:szCs w:val="40"/>
    </w:rPr>
  </w:style>
  <w:style w:type="paragraph" w:styleId="FR3" w:customStyle="1">
    <w:name w:val="FR3"/>
    <w:uiPriority w:val="99"/>
    <w:rsid w:val="0052271B"/>
    <w:pPr>
      <w:widowControl w:val="0"/>
      <w:autoSpaceDE w:val="0"/>
      <w:autoSpaceDN w:val="0"/>
      <w:adjustRightInd w:val="0"/>
    </w:pPr>
    <w:rPr>
      <w:rFonts w:ascii="Arial" w:cs="Arial" w:hAnsi="Arial"/>
      <w:b w:val="1"/>
      <w:bCs w:val="1"/>
      <w:sz w:val="18"/>
      <w:szCs w:val="18"/>
    </w:rPr>
  </w:style>
  <w:style w:type="character" w:styleId="a5">
    <w:name w:val="Hyperlink"/>
    <w:uiPriority w:val="99"/>
    <w:rsid w:val="009F433A"/>
    <w:rPr>
      <w:color w:val="0000ff"/>
      <w:u w:val="single"/>
    </w:rPr>
  </w:style>
  <w:style w:type="paragraph" w:styleId="a6">
    <w:name w:val="header"/>
    <w:basedOn w:val="a"/>
    <w:link w:val="a7"/>
    <w:uiPriority w:val="99"/>
    <w:rsid w:val="00DF7DE9"/>
    <w:pPr>
      <w:tabs>
        <w:tab w:val="center" w:pos="4677"/>
        <w:tab w:val="right" w:pos="9355"/>
      </w:tabs>
    </w:pPr>
  </w:style>
  <w:style w:type="character" w:styleId="a7" w:customStyle="1">
    <w:name w:val="Верхний колонтитул Знак"/>
    <w:link w:val="a6"/>
    <w:uiPriority w:val="99"/>
    <w:locked w:val="1"/>
    <w:rsid w:val="00DF7DE9"/>
    <w:rPr>
      <w:rFonts w:ascii="Times New Roman CYR" w:hAnsi="Times New Roman CYR"/>
      <w:sz w:val="20"/>
      <w:lang w:bidi="ar-SA" w:eastAsia="ar-SA" w:val="x-none"/>
    </w:rPr>
  </w:style>
  <w:style w:type="paragraph" w:styleId="a8">
    <w:name w:val="Balloon Text"/>
    <w:basedOn w:val="a"/>
    <w:link w:val="a9"/>
    <w:uiPriority w:val="99"/>
    <w:semiHidden w:val="1"/>
    <w:rsid w:val="001A3A30"/>
    <w:rPr>
      <w:rFonts w:ascii="Tahoma" w:cs="Tahoma" w:hAnsi="Tahoma"/>
      <w:sz w:val="16"/>
      <w:szCs w:val="16"/>
    </w:rPr>
  </w:style>
  <w:style w:type="character" w:styleId="a9" w:customStyle="1">
    <w:name w:val="Текст выноски Знак"/>
    <w:link w:val="a8"/>
    <w:uiPriority w:val="99"/>
    <w:semiHidden w:val="1"/>
    <w:locked w:val="1"/>
    <w:rsid w:val="001A3A30"/>
    <w:rPr>
      <w:rFonts w:ascii="Tahoma" w:hAnsi="Tahoma"/>
      <w:sz w:val="16"/>
      <w:lang w:bidi="ar-SA" w:eastAsia="ar-SA" w:val="x-none"/>
    </w:rPr>
  </w:style>
  <w:style w:type="paragraph" w:styleId="aa">
    <w:name w:val="footer"/>
    <w:basedOn w:val="a"/>
    <w:link w:val="ab"/>
    <w:uiPriority w:val="99"/>
    <w:rsid w:val="00DF7DE9"/>
    <w:pPr>
      <w:tabs>
        <w:tab w:val="center" w:pos="4677"/>
        <w:tab w:val="right" w:pos="9355"/>
      </w:tabs>
    </w:pPr>
  </w:style>
  <w:style w:type="character" w:styleId="ab" w:customStyle="1">
    <w:name w:val="Нижний колонтитул Знак"/>
    <w:link w:val="aa"/>
    <w:uiPriority w:val="99"/>
    <w:locked w:val="1"/>
    <w:rsid w:val="00DF7DE9"/>
    <w:rPr>
      <w:rFonts w:ascii="Times New Roman CYR" w:hAnsi="Times New Roman CYR"/>
      <w:sz w:val="20"/>
      <w:lang w:bidi="ar-SA" w:eastAsia="ar-SA" w:val="x-none"/>
    </w:rPr>
  </w:style>
  <w:style w:type="character" w:styleId="mw-headline" w:customStyle="1">
    <w:name w:val="mw-headline"/>
    <w:uiPriority w:val="99"/>
    <w:rsid w:val="00292409"/>
  </w:style>
  <w:style w:type="character" w:styleId="apple-converted-space" w:customStyle="1">
    <w:name w:val="apple-converted-space"/>
    <w:uiPriority w:val="99"/>
    <w:rsid w:val="00292409"/>
  </w:style>
  <w:style w:type="paragraph" w:styleId="ac">
    <w:name w:val="Normal (Web)"/>
    <w:basedOn w:val="a"/>
    <w:uiPriority w:val="99"/>
    <w:rsid w:val="001F606D"/>
    <w:pPr>
      <w:suppressAutoHyphens w:val="0"/>
      <w:spacing w:after="100" w:afterAutospacing="1" w:before="100" w:beforeAutospacing="1"/>
    </w:pPr>
    <w:rPr>
      <w:sz w:val="24"/>
      <w:szCs w:val="24"/>
      <w:lang w:eastAsia="ru-RU"/>
    </w:rPr>
  </w:style>
  <w:style w:type="paragraph" w:styleId="31" w:customStyle="1">
    <w:name w:val="Знак Знак3"/>
    <w:basedOn w:val="a"/>
    <w:uiPriority w:val="99"/>
    <w:rsid w:val="009164DB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NoSpacing1" w:customStyle="1">
    <w:name w:val="No Spacing1"/>
    <w:uiPriority w:val="99"/>
    <w:rsid w:val="009164DB"/>
    <w:rPr>
      <w:sz w:val="22"/>
      <w:szCs w:val="22"/>
      <w:lang w:eastAsia="en-US"/>
    </w:rPr>
  </w:style>
  <w:style w:type="paragraph" w:styleId="32" w:customStyle="1">
    <w:name w:val="Знак Знак3 Знак Знак"/>
    <w:basedOn w:val="a"/>
    <w:uiPriority w:val="99"/>
    <w:rsid w:val="003F163F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ad">
    <w:name w:val="TOC Heading"/>
    <w:basedOn w:val="1"/>
    <w:next w:val="a"/>
    <w:uiPriority w:val="39"/>
    <w:qFormat w:val="1"/>
    <w:rsid w:val="003F163F"/>
    <w:pPr>
      <w:suppressAutoHyphens w:val="0"/>
      <w:spacing w:line="276" w:lineRule="auto"/>
      <w:outlineLvl w:val="9"/>
    </w:pPr>
    <w:rPr>
      <w:lang w:eastAsia="en-US"/>
    </w:rPr>
  </w:style>
  <w:style w:type="paragraph" w:styleId="12" w:customStyle="1">
    <w:name w:val="Знак Знак Знак Знак Знак Знак Знак1 Знак Знак Знак"/>
    <w:basedOn w:val="a"/>
    <w:uiPriority w:val="99"/>
    <w:rsid w:val="00B931FE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310" w:customStyle="1">
    <w:name w:val="Знак Знак31"/>
    <w:basedOn w:val="a"/>
    <w:uiPriority w:val="99"/>
    <w:rsid w:val="004A546B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ae" w:customStyle="1">
    <w:name w:val="УИР_Заг_биг"/>
    <w:basedOn w:val="a"/>
    <w:link w:val="af"/>
    <w:uiPriority w:val="99"/>
    <w:rsid w:val="00365AE7"/>
    <w:pPr>
      <w:suppressAutoHyphens w:val="0"/>
      <w:spacing w:after="200" w:line="360" w:lineRule="auto"/>
      <w:jc w:val="center"/>
      <w:outlineLvl w:val="0"/>
    </w:pPr>
    <w:rPr>
      <w:b w:val="1"/>
      <w:bCs w:val="1"/>
      <w:sz w:val="24"/>
      <w:szCs w:val="24"/>
      <w:lang w:eastAsia="en-US"/>
    </w:rPr>
  </w:style>
  <w:style w:type="character" w:styleId="af" w:customStyle="1">
    <w:name w:val="УИР_Заг_биг Знак"/>
    <w:link w:val="ae"/>
    <w:uiPriority w:val="99"/>
    <w:locked w:val="1"/>
    <w:rsid w:val="00365AE7"/>
    <w:rPr>
      <w:rFonts w:eastAsia="Times New Roman"/>
      <w:b w:val="1"/>
      <w:sz w:val="24"/>
      <w:lang w:eastAsia="en-US" w:val="ru-RU"/>
    </w:rPr>
  </w:style>
  <w:style w:type="paragraph" w:styleId="af0">
    <w:name w:val="No Spacing"/>
    <w:link w:val="af1"/>
    <w:uiPriority w:val="99"/>
    <w:qFormat w:val="1"/>
    <w:rsid w:val="005611C3"/>
    <w:rPr>
      <w:sz w:val="22"/>
      <w:szCs w:val="22"/>
      <w:lang w:eastAsia="en-US"/>
    </w:rPr>
  </w:style>
  <w:style w:type="character" w:styleId="af1" w:customStyle="1">
    <w:name w:val="Без интервала Знак"/>
    <w:link w:val="af0"/>
    <w:uiPriority w:val="99"/>
    <w:locked w:val="1"/>
    <w:rsid w:val="005611C3"/>
    <w:rPr>
      <w:rFonts w:ascii="Calibri" w:hAnsi="Calibri"/>
      <w:sz w:val="22"/>
      <w:lang w:eastAsia="en-US" w:val="ru-RU"/>
    </w:rPr>
  </w:style>
  <w:style w:type="character" w:styleId="af2">
    <w:name w:val="page number"/>
    <w:basedOn w:val="a0"/>
    <w:uiPriority w:val="99"/>
    <w:rsid w:val="00A869DB"/>
  </w:style>
  <w:style w:type="paragraph" w:styleId="13">
    <w:name w:val="toc 1"/>
    <w:basedOn w:val="a"/>
    <w:next w:val="a"/>
    <w:autoRedefine w:val="1"/>
    <w:uiPriority w:val="39"/>
    <w:locked w:val="1"/>
    <w:rsid w:val="00193354"/>
  </w:style>
  <w:style w:type="table" w:styleId="af3">
    <w:name w:val="Table Grid"/>
    <w:basedOn w:val="a1"/>
    <w:uiPriority w:val="39"/>
    <w:locked w:val="1"/>
    <w:rsid w:val="0067474E"/>
    <w:rPr>
      <w:rFonts w:ascii="Times New Roman" w:cs="Times New Roman" w:hAnsi="Times New Roma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21">
    <w:name w:val="toc 2"/>
    <w:basedOn w:val="a"/>
    <w:next w:val="a"/>
    <w:autoRedefine w:val="1"/>
    <w:uiPriority w:val="39"/>
    <w:locked w:val="1"/>
    <w:rsid w:val="0067474E"/>
    <w:pPr>
      <w:ind w:left="200"/>
    </w:pPr>
  </w:style>
  <w:style w:type="paragraph" w:styleId="33">
    <w:name w:val="toc 3"/>
    <w:basedOn w:val="a"/>
    <w:next w:val="a"/>
    <w:autoRedefine w:val="1"/>
    <w:uiPriority w:val="39"/>
    <w:locked w:val="1"/>
    <w:rsid w:val="0067474E"/>
    <w:pPr>
      <w:ind w:left="400"/>
    </w:pPr>
  </w:style>
  <w:style w:type="paragraph" w:styleId="22" w:customStyle="1">
    <w:name w:val="Стиль2"/>
    <w:basedOn w:val="a"/>
    <w:link w:val="23"/>
    <w:qFormat w:val="1"/>
    <w:rsid w:val="006F1593"/>
    <w:pPr>
      <w:spacing w:after="3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styleId="23" w:customStyle="1">
    <w:name w:val="Стиль2 Знак"/>
    <w:link w:val="22"/>
    <w:locked w:val="1"/>
    <w:rsid w:val="006F1593"/>
    <w:rPr>
      <w:rFonts w:ascii="Times New Roman" w:hAnsi="Times New Roman"/>
      <w:sz w:val="24"/>
      <w:lang w:bidi="ar-SA" w:eastAsia="ar-SA" w:val="ru-RU"/>
    </w:rPr>
  </w:style>
  <w:style w:type="paragraph" w:styleId="af4" w:customStyle="1">
    <w:name w:val="Текст таблицы"/>
    <w:basedOn w:val="a"/>
    <w:qFormat w:val="1"/>
    <w:rsid w:val="00DD4018"/>
    <w:pPr>
      <w:suppressAutoHyphens w:val="0"/>
      <w:spacing w:line="360" w:lineRule="auto"/>
      <w:jc w:val="both"/>
    </w:pPr>
    <w:rPr>
      <w:rFonts w:ascii="Times New Roman" w:cs="Times New Roman" w:hAnsi="Times New Roman"/>
      <w:szCs w:val="22"/>
      <w:lang w:eastAsia="en-US"/>
    </w:rPr>
  </w:style>
  <w:style w:type="character" w:styleId="af5">
    <w:name w:val="annotation reference"/>
    <w:uiPriority w:val="99"/>
    <w:rsid w:val="00D946FA"/>
    <w:rPr>
      <w:sz w:val="16"/>
    </w:rPr>
  </w:style>
  <w:style w:type="paragraph" w:styleId="af6">
    <w:name w:val="annotation text"/>
    <w:basedOn w:val="a"/>
    <w:link w:val="af7"/>
    <w:uiPriority w:val="99"/>
    <w:rsid w:val="00D946FA"/>
  </w:style>
  <w:style w:type="character" w:styleId="af7" w:customStyle="1">
    <w:name w:val="Текст примечания Знак"/>
    <w:link w:val="af6"/>
    <w:uiPriority w:val="99"/>
    <w:locked w:val="1"/>
    <w:rsid w:val="00D946FA"/>
    <w:rPr>
      <w:rFonts w:ascii="Times New Roman CYR" w:hAnsi="Times New Roman CYR"/>
      <w:lang w:bidi="ar-SA" w:eastAsia="ar-SA" w:val="ru-RU"/>
    </w:rPr>
  </w:style>
  <w:style w:type="paragraph" w:styleId="af8">
    <w:name w:val="annotation subject"/>
    <w:basedOn w:val="af6"/>
    <w:next w:val="af6"/>
    <w:link w:val="af9"/>
    <w:uiPriority w:val="99"/>
    <w:semiHidden w:val="1"/>
    <w:unhideWhenUsed w:val="1"/>
    <w:rsid w:val="00D946FA"/>
    <w:rPr>
      <w:b w:val="1"/>
      <w:bCs w:val="1"/>
    </w:rPr>
  </w:style>
  <w:style w:type="character" w:styleId="af9" w:customStyle="1">
    <w:name w:val="Тема примечания Знак"/>
    <w:link w:val="af8"/>
    <w:uiPriority w:val="99"/>
    <w:semiHidden w:val="1"/>
    <w:locked w:val="1"/>
    <w:rsid w:val="00D946FA"/>
    <w:rPr>
      <w:rFonts w:ascii="Times New Roman CYR" w:hAnsi="Times New Roman CYR"/>
      <w:b w:val="1"/>
      <w:lang w:bidi="ar-SA" w:eastAsia="ar-SA" w:val="ru-RU"/>
    </w:rPr>
  </w:style>
  <w:style w:type="paragraph" w:styleId="afa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fb" w:customStyle="1">
    <w:basedOn w:val="a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a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a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a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styles" Target="styles.xml"/><Relationship Id="rId24" Type="http://schemas.openxmlformats.org/officeDocument/2006/relationships/image" Target="media/image24.png"/><Relationship Id="rId23" Type="http://schemas.openxmlformats.org/officeDocument/2006/relationships/image" Target="media/image23.png"/><Relationship Id="rId1" Type="http://schemas.openxmlformats.org/officeDocument/2006/relationships/image" Target="media/image3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image" Target="media/image5.png"/><Relationship Id="rId26" Type="http://schemas.openxmlformats.org/officeDocument/2006/relationships/image" Target="media/image25.png"/><Relationship Id="rId9" Type="http://schemas.openxmlformats.org/officeDocument/2006/relationships/image" Target="media/image8.png"/><Relationship Id="rId25" Type="http://schemas.openxmlformats.org/officeDocument/2006/relationships/image" Target="media/image26.png"/><Relationship Id="rId28" Type="http://schemas.openxmlformats.org/officeDocument/2006/relationships/image" Target="media/image21.png"/><Relationship Id="rId27" Type="http://schemas.openxmlformats.org/officeDocument/2006/relationships/image" Target="media/image27.png"/><Relationship Id="rId5" Type="http://schemas.openxmlformats.org/officeDocument/2006/relationships/image" Target="media/image4.png"/><Relationship Id="rId6" Type="http://schemas.openxmlformats.org/officeDocument/2006/relationships/image" Target="media/image7.png"/><Relationship Id="rId29" Type="http://schemas.openxmlformats.org/officeDocument/2006/relationships/image" Target="media/image19.png"/><Relationship Id="rId7" Type="http://schemas.openxmlformats.org/officeDocument/2006/relationships/image" Target="media/image6.png"/><Relationship Id="rId8" Type="http://schemas.openxmlformats.org/officeDocument/2006/relationships/image" Target="media/image9.png"/><Relationship Id="rId31" Type="http://schemas.openxmlformats.org/officeDocument/2006/relationships/image" Target="media/image17.png"/><Relationship Id="rId30" Type="http://schemas.openxmlformats.org/officeDocument/2006/relationships/image" Target="media/image22.png"/><Relationship Id="rId11" Type="http://schemas.openxmlformats.org/officeDocument/2006/relationships/image" Target="media/image10.png"/><Relationship Id="rId33" Type="http://schemas.openxmlformats.org/officeDocument/2006/relationships/image" Target="media/image20.png"/><Relationship Id="rId10" Type="http://schemas.openxmlformats.org/officeDocument/2006/relationships/image" Target="media/image11.png"/><Relationship Id="rId32" Type="http://schemas.openxmlformats.org/officeDocument/2006/relationships/image" Target="media/image18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34" Type="http://schemas.openxmlformats.org/officeDocument/2006/relationships/footer" Target="footer1.xml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16.png"/><Relationship Id="rId19" Type="http://schemas.openxmlformats.org/officeDocument/2006/relationships/fontTable" Target="fontTable.xml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20" Type="http://schemas.openxmlformats.org/officeDocument/2006/relationships/font" Target="fonts/Roboto-boldItalic.ttf"/><Relationship Id="rId19" Type="http://schemas.openxmlformats.org/officeDocument/2006/relationships/font" Target="fonts/Roboto-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emB7JPgqs7coGZ+D/WYpOp6lfBA==">AMUW2mUTQsLGuHQgbvp9Q0CerOyZpV2NQnjAjJE2zvW/8iwkslw+soeIB/g/anUv70/9ypc7Gimw8wcO2GKMyMFWuTGpKnGCjQ7CpI+88N8vCQ8mOpZN58v1eSOt/l1dq1j2q7oCQbLMLtzgax5sKfQG/6Vbn4IG4CeIw1uDlflxoUNFbcHLnLQP+OhYLybhiqwcPoUevFnOolE8t5Absji9EQz4YEQvJnGStQCoBohIzPZzHsStO2SDGvJtu5JQq5DLObPankdb6B1pvj32MC3xw6IDWQMxk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2023-01-15T19:51:00Z</dcterms:created>
</cp:coreProperties>
</file>