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71"/>
        <w:tblGridChange w:id="0">
          <w:tblGrid>
            <w:gridCol w:w="957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before="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ФЕДЕРАЛЬНОЕ ГОСУДАРСТВЕННОЕ АВТОНОМНОЕ ОБРАЗОВАТЕЛЬНОЕ УЧРЕЖДЕНИЕ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16"/>
                <w:szCs w:val="16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spacing w:line="28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«Национальный исследовательский ядерный университет «МИФИ»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ИНСТИТУТ ИНТЕЛЛЕКТУАЛЬНЫХ КИБЕРНЕТИЧЕСКИХ СИСТЕМ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before="120" w:lineRule="auto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КАФЕДРА «КОМПЬЮТЕРНЫЕ СИСТЕМЫ И ТЕХНОЛОГИИ» (№12)</w:t>
            </w:r>
          </w:p>
        </w:tc>
      </w:tr>
    </w:tbl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КУРСОВАЯ РАБОТА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СХЕМОТЕХНИКА ЦИФРОВЫХ УСТРОЙСТВ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00"/>
        <w:gridCol w:w="540"/>
        <w:gridCol w:w="5457"/>
        <w:gridCol w:w="1080"/>
        <w:gridCol w:w="1294"/>
        <w:tblGridChange w:id="0">
          <w:tblGrid>
            <w:gridCol w:w="1200"/>
            <w:gridCol w:w="540"/>
            <w:gridCol w:w="5457"/>
            <w:gridCol w:w="1080"/>
            <w:gridCol w:w="1294"/>
          </w:tblGrid>
        </w:tblGridChange>
      </w:tblGrid>
      <w:tr>
        <w:trPr>
          <w:cantSplit w:val="0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Тема: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Анализатор протокола генератора сигналов (кодирование и модуляция)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Студент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Ахметов Азат Фаридович, Сазиков Никита Денисович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Группа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С20-501</w:t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Руководитель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Решетько Валерий Михайлович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4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6">
          <w:pPr>
            <w:tabs>
              <w:tab w:val="right" w:leader="none" w:pos="9354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yot76oz2k7y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_heading=h.yot76oz2k7ym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СИГНАЛЫ ИНТЕРФЕЙСА И ИХ ОПИСАНИЕ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ОТЧЕТ О ВЕРИФИКАЦИИ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354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2.1. Верификация модуля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354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2dsjvqeoj5u4"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2.2. Проверка согласования с соседними модулями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_heading=h.2dsjvqeoj5u4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354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monseq8i8x9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 СИНТЕЗ СХЕМЫ И ВРЕМЕННЫЕ ХАРАКТЕРИСТИКИ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_heading=h.monseq8i8x9y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354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E">
          <w:pPr>
            <w:tabs>
              <w:tab w:val="right" w:leader="none" w:pos="9354.511811023624"/>
            </w:tabs>
            <w:spacing w:after="80" w:before="20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yot76oz2k7ym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ВВЕДЕНИЕ</w:t>
      </w:r>
    </w:p>
    <w:p w:rsidR="00000000" w:rsidDel="00000000" w:rsidP="00000000" w:rsidRDefault="00000000" w:rsidRPr="00000000" w14:paraId="00000051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Генераторы сигналов (функциональные генераторы) играют важную роль при проведении измерений электрических параметров и испытаний. Они служат источниками тестовых сигналов, которые подаются на такие испытуемые компоненты, как фильтры, усилители или готовые модули с целью проверить их работу и изучить их поведение и характеристики. Помимо формирования простых сигналов (импульсы, периодические сигналы), генераторы сигналов могут формировать сигналы с аналоговой и цифровой модуляцией (векторные генераторы).</w:t>
      </w:r>
    </w:p>
    <w:p w:rsidR="00000000" w:rsidDel="00000000" w:rsidP="00000000" w:rsidRDefault="00000000" w:rsidRPr="00000000" w14:paraId="00000052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Сигнал, формируемый модулем функционального генератора, подается на исследуемое устройство (ИУ) (усилитель, фильтр и т.п.). Затем выходной сигнал модуля анализируется с помощью подходящего контрольно-измерительного оборудования, например, анализатора спектра или сигналов, осциллографа, измерителя мощности и т.д. По анализу результатов таких измерений можно определить, корректно ли устройство выполняет свои функции.</w:t>
      </w:r>
    </w:p>
    <w:p w:rsidR="00000000" w:rsidDel="00000000" w:rsidP="00000000" w:rsidRDefault="00000000" w:rsidRPr="00000000" w14:paraId="00000053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функционального генератора предназначен для генерации аналоговых сигналов произвольной формы. Генерация цифрового сигнала производится с помощью отладочной платы cyc1000 с установленной на ней ПЛИС Cyclone 10LP 10CL025 фирмы Intel. Далее цифровой сигнал преобразуется в аналоговый с помощью платы ЦАП, на которой установлен цифро-аналоговый преобразователь (ЦАП) AD9761 фирмы Analog Devices. Полученный аналоговый сигнал можно вывести на экран осциллографа. </w:t>
      </w:r>
    </w:p>
    <w:p w:rsidR="00000000" w:rsidDel="00000000" w:rsidP="00000000" w:rsidRDefault="00000000" w:rsidRPr="00000000" w14:paraId="00000054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Логическое наполнение проекта состоит из модулей, разбитых в соответствии с выполняемыми ими функциями, для удобства написания и отладки проекта.</w:t>
      </w:r>
    </w:p>
    <w:p w:rsidR="00000000" w:rsidDel="00000000" w:rsidP="00000000" w:rsidRDefault="00000000" w:rsidRPr="00000000" w14:paraId="00000055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кодирования и модуляции, разработанный в курсовой работе, — часть анализатора протокола векторного генератора сигналов. Он используется для модуляции сигналов (для режимов QPSK, 8-PSK, 16-QAM), а также формирует данные, необходимые для работы модуля синтеза периодических сигналов.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1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СИГНАЛЫ ИНТЕРФЕЙСА И ИХ ОПИСАНИЕ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Анализатор протокола предназначен для конфигурирования системы (например, задания режима работы), выполнения квадратурной модуляции сигнала для режимов QPSK, 8-PSK, 16-QAM, формирование необходимых значений амплитуды, начальной фазы и частотного слова гармонического сигнала. 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Реализуемый в данной курсовой работе модуль является частью анализатора протокола и выполняет модуляцию и кодирование данных. В данной работе применяется кодирование 8b/10b. </w:t>
      </w:r>
    </w:p>
    <w:p w:rsidR="00000000" w:rsidDel="00000000" w:rsidP="00000000" w:rsidRDefault="00000000" w:rsidRPr="00000000" w14:paraId="0000005A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Возможные режимы модуляции:</w:t>
      </w:r>
    </w:p>
    <w:p w:rsidR="00000000" w:rsidDel="00000000" w:rsidP="00000000" w:rsidRDefault="00000000" w:rsidRPr="00000000" w14:paraId="0000005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  <w:tab/>
        <w:t xml:space="preserve">QPSK (Квадратурно-фазовая модуляция);</w:t>
      </w:r>
    </w:p>
    <w:p w:rsidR="00000000" w:rsidDel="00000000" w:rsidP="00000000" w:rsidRDefault="00000000" w:rsidRPr="00000000" w14:paraId="0000005C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</w:t>
        <w:tab/>
        <w:t xml:space="preserve">8-PSK (Восьмипозиционная фазовая модуляция);</w:t>
      </w:r>
    </w:p>
    <w:p w:rsidR="00000000" w:rsidDel="00000000" w:rsidP="00000000" w:rsidRDefault="00000000" w:rsidRPr="00000000" w14:paraId="0000005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</w:t>
        <w:tab/>
        <w:t xml:space="preserve">16-QAM (Квадратурная амплитудная модуляция 16-позиционного сигнала).</w:t>
      </w:r>
    </w:p>
    <w:p w:rsidR="00000000" w:rsidDel="00000000" w:rsidP="00000000" w:rsidRDefault="00000000" w:rsidRPr="00000000" w14:paraId="0000005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1.1 изображено условное графическое обозначение модуля кодирования и модуляции анализатора протокола.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/>
        <w:pict>
          <v:shape id="_x0000_i1025" style="width:389.25pt;height:148.5pt" type="#_x0000_t75">
            <v:imagedata r:id="rId1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Рис.1.1. УГО модуля кодирования и модуляции анализатора протокола.</w:t>
      </w:r>
    </w:p>
    <w:p w:rsidR="00000000" w:rsidDel="00000000" w:rsidP="00000000" w:rsidRDefault="00000000" w:rsidRPr="00000000" w14:paraId="00000063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сигналов представлено в таблице 1.1.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180" w:firstLine="888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1.1. Описание сигналов</w:t>
      </w:r>
    </w:p>
    <w:tbl>
      <w:tblPr>
        <w:tblStyle w:val="Table3"/>
        <w:tblW w:w="1004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34"/>
        <w:gridCol w:w="2711"/>
        <w:gridCol w:w="850"/>
        <w:gridCol w:w="5954"/>
        <w:tblGridChange w:id="0">
          <w:tblGrid>
            <w:gridCol w:w="534"/>
            <w:gridCol w:w="2711"/>
            <w:gridCol w:w="850"/>
            <w:gridCol w:w="5954"/>
          </w:tblGrid>
        </w:tblGridChange>
      </w:tblGrid>
      <w:tr>
        <w:trPr>
          <w:cantSplit w:val="0"/>
          <w:tblHeader w:val="1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 п.п.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Напр.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Системные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Тактовый сигнал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nRst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сброса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Режим работы: 0 – обычный режим; 1 – режим PSK.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ModulationMode (1:0)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«00» – QPSK; «01» – 8-PSK; «10» – 16-QAM; «11» – модуляция не используется.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SymbolFrequency (31:0)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Частотное слово символьной частоты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DataPort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Порт записи данных FIFO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Сигнал, информирующий об отсутствии данных в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Выходные сигналы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rdreq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Запрос чтения с FIFO</w:t>
            </w:r>
          </w:p>
        </w:tc>
      </w:tr>
      <w:tr>
        <w:trPr>
          <w:cantSplit w:val="0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Сигналы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схемы прямого цифрового синтеза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Сигнал разрешения работы для модуля синтеза периодических сигналов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DDS_amplitude (15:0)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Амплитуда периодического сигнала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DDS_start_phase (15:0)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Начальная фаза</w:t>
            </w:r>
          </w:p>
        </w:tc>
      </w:tr>
    </w:tbl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таблице 1.2 приведено описание регистра порта записи данных с побитным указанием информации, хранящейся в нем.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1.2 — Описание регистра порта записи данных</w:t>
      </w:r>
    </w:p>
    <w:tbl>
      <w:tblPr>
        <w:tblStyle w:val="Table4"/>
        <w:tblW w:w="9354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8"/>
        <w:gridCol w:w="2339"/>
        <w:gridCol w:w="2338"/>
        <w:gridCol w:w="2339"/>
        <w:tblGridChange w:id="0">
          <w:tblGrid>
            <w:gridCol w:w="2338"/>
            <w:gridCol w:w="2339"/>
            <w:gridCol w:w="2338"/>
            <w:gridCol w:w="2339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0</w:t>
            </w:r>
          </w:p>
        </w:tc>
      </w:tr>
      <w:tr>
        <w:trPr>
          <w:cantSplit w:val="0"/>
          <w:trHeight w:val="682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Byte1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Byte0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RW, 0x0000</w:t>
            </w:r>
          </w:p>
        </w:tc>
      </w:tr>
    </w:tbl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Byte0 и Byte1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FIFO буфера пересылки.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На рисунке 1.2 изображена схема формирования фрейма. Все части данной схемы необходимы для корректной передачи данных. 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/>
        <mc:AlternateContent>
          <mc:Choice Requires="wpg">
            <w:drawing>
              <wp:inline distB="0" distT="0" distL="114300" distR="114300">
                <wp:extent cx="5962650" cy="619125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64675" y="3469925"/>
                          <a:ext cx="5962650" cy="619125"/>
                          <a:chOff x="2364675" y="3469925"/>
                          <a:chExt cx="5962650" cy="620150"/>
                        </a:xfrm>
                      </wpg:grpSpPr>
                      <wpg:grpSp>
                        <wpg:cNvGrpSpPr/>
                        <wpg:grpSpPr>
                          <a:xfrm>
                            <a:off x="2364675" y="3470438"/>
                            <a:ext cx="5962650" cy="619125"/>
                            <a:chOff x="2364675" y="3457725"/>
                            <a:chExt cx="5962650" cy="644550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2364675" y="3457725"/>
                              <a:ext cx="5962650" cy="64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64675" y="3470438"/>
                              <a:ext cx="5962650" cy="619125"/>
                              <a:chOff x="0" y="0"/>
                              <a:chExt cx="5962650" cy="619125"/>
                            </a:xfrm>
                          </wpg:grpSpPr>
                          <wps:wsp>
                            <wps:cNvSpPr/>
                            <wps:cNvPr id="7" name="Shape 7"/>
                            <wps:spPr>
                              <a:xfrm>
                                <a:off x="0" y="0"/>
                                <a:ext cx="5962650" cy="619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1163529" cy="619125"/>
                                <a:chOff x="0" y="0"/>
                                <a:chExt cx="1163529" cy="619125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60656" y="0"/>
                                  <a:ext cx="1042215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0" y="161906"/>
                                  <a:ext cx="1163529" cy="361914"/>
                                </a:xfrm>
                                <a:custGeom>
                                  <a:rect b="b" l="l" r="r" t="t"/>
                                  <a:pathLst>
                                    <a:path extrusionOk="0" h="361914" w="1163529">
                                      <a:moveTo>
                                        <a:pt x="0" y="0"/>
                                      </a:moveTo>
                                      <a:lnTo>
                                        <a:pt x="0" y="361914"/>
                                      </a:lnTo>
                                      <a:lnTo>
                                        <a:pt x="1163529" y="361914"/>
                                      </a:lnTo>
                                      <a:lnTo>
                                        <a:pt x="11635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" w:cs="Times" w:eastAsia="Times" w:hAnsi="Time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Кодирование</w:t>
                                    </w:r>
                                  </w:p>
                                </w:txbxContent>
                              </wps:txbx>
                              <wps:bodyPr anchorCtr="0" anchor="t" bIns="38100" lIns="88900" spcFirstLastPara="1" rIns="88900" wrap="square" tIns="381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4461948" y="0"/>
                                <a:ext cx="1500701" cy="619125"/>
                                <a:chOff x="0" y="0"/>
                                <a:chExt cx="1500701" cy="619125"/>
                              </a:xfrm>
                            </wpg:grpSpPr>
                            <wps:wsp>
                              <wps:cNvSpPr/>
                              <wps:cNvPr id="12" name="Shape 12"/>
                              <wps:spPr>
                                <a:xfrm>
                                  <a:off x="448393" y="0"/>
                                  <a:ext cx="578630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>
                                  <a:off x="0" y="161906"/>
                                  <a:ext cx="1500701" cy="361914"/>
                                </a:xfrm>
                                <a:custGeom>
                                  <a:rect b="b" l="l" r="r" t="t"/>
                                  <a:pathLst>
                                    <a:path extrusionOk="0" h="361914" w="1500701">
                                      <a:moveTo>
                                        <a:pt x="0" y="0"/>
                                      </a:moveTo>
                                      <a:lnTo>
                                        <a:pt x="0" y="361914"/>
                                      </a:lnTo>
                                      <a:lnTo>
                                        <a:pt x="1500701" y="361914"/>
                                      </a:lnTo>
                                      <a:lnTo>
                                        <a:pt x="150070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" w:cs="Times" w:eastAsia="Times" w:hAnsi="Time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DDS</w:t>
                                    </w:r>
                                  </w:p>
                                </w:txbxContent>
                              </wps:txbx>
                              <wps:bodyPr anchorCtr="0" anchor="t" bIns="38100" lIns="88900" spcFirstLastPara="1" rIns="88900" wrap="square" tIns="38100">
                                <a:noAutofit/>
                              </wps:bodyPr>
                            </wps:wsp>
                          </wpg:grpSp>
                          <wpg:grpSp>
                            <wpg:cNvGrpSpPr/>
                            <wpg:grpSpPr>
                              <a:xfrm>
                                <a:off x="1629026" y="0"/>
                                <a:ext cx="1345712" cy="619125"/>
                                <a:chOff x="0" y="0"/>
                                <a:chExt cx="1345712" cy="619125"/>
                              </a:xfrm>
                            </wpg:grpSpPr>
                            <wps:wsp>
                              <wps:cNvSpPr/>
                              <wps:cNvPr id="15" name="Shape 15"/>
                              <wps:spPr>
                                <a:xfrm>
                                  <a:off x="0" y="0"/>
                                  <a:ext cx="1345712" cy="619125"/>
                                </a:xfrm>
                                <a:prstGeom prst="rect">
                                  <a:avLst/>
                                </a:prstGeom>
                                <a:noFill/>
                                <a:ln cap="flat" cmpd="sng"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>
                                  <a:off x="0" y="47601"/>
                                  <a:ext cx="1345712" cy="562022"/>
                                </a:xfrm>
                                <a:custGeom>
                                  <a:rect b="b" l="l" r="r" t="t"/>
                                  <a:pathLst>
                                    <a:path extrusionOk="0" h="562022" w="1345712">
                                      <a:moveTo>
                                        <a:pt x="0" y="0"/>
                                      </a:moveTo>
                                      <a:lnTo>
                                        <a:pt x="0" y="562022"/>
                                      </a:lnTo>
                                      <a:lnTo>
                                        <a:pt x="1345712" y="562022"/>
                                      </a:lnTo>
                                      <a:lnTo>
                                        <a:pt x="1345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Times" w:cs="Times" w:eastAsia="Times" w:hAnsi="Times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0"/>
                                        <w:vertAlign w:val="baseline"/>
                                      </w:rPr>
                                      <w:t xml:space="preserve">Подготовка кодовых слов</w:t>
                                    </w:r>
                                  </w:p>
                                </w:txbxContent>
                              </wps:txbx>
                              <wps:bodyPr anchorCtr="0" anchor="t" bIns="38100" lIns="88900" spcFirstLastPara="1" rIns="88900" wrap="square" tIns="38100">
                                <a:noAutofit/>
                              </wps:bodyPr>
                            </wps:wsp>
                          </wpg:grpSp>
                          <wps:wsp>
                            <wps:cNvSpPr/>
                            <wps:cNvPr id="17" name="Shape 17"/>
                            <wps:spPr>
                              <a:xfrm>
                                <a:off x="1112964" y="314312"/>
                                <a:ext cx="516061" cy="0"/>
                              </a:xfrm>
                              <a:custGeom>
                                <a:rect b="b" l="l" r="r" t="t"/>
                                <a:pathLst>
                                  <a:path extrusionOk="0" h="1" w="516061">
                                    <a:moveTo>
                                      <a:pt x="0" y="0"/>
                                    </a:moveTo>
                                    <a:lnTo>
                                      <a:pt x="516061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8" name="Shape 18"/>
                            <wps:spPr>
                              <a:xfrm>
                                <a:off x="2986636" y="304812"/>
                                <a:ext cx="458698" cy="0"/>
                              </a:xfrm>
                              <a:custGeom>
                                <a:rect b="b" l="l" r="r" t="t"/>
                                <a:pathLst>
                                  <a:path extrusionOk="0" h="1" w="458698">
                                    <a:moveTo>
                                      <a:pt x="0" y="0"/>
                                    </a:moveTo>
                                    <a:lnTo>
                                      <a:pt x="458698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cap="flat" cmpd="sng" w="12700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med" w="med" type="triangl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5962650" cy="619125"/>
                <wp:effectExtent b="0" l="0" r="0" t="0"/>
                <wp:docPr id="2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0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-12699</wp:posOffset>
                </wp:positionV>
                <wp:extent cx="1025525" cy="66992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858638" y="3470438"/>
                          <a:ext cx="974725" cy="619125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-12699</wp:posOffset>
                </wp:positionV>
                <wp:extent cx="1025525" cy="669925"/>
                <wp:effectExtent b="0" l="0" r="0" t="0"/>
                <wp:wrapNone/>
                <wp:docPr id="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5525" cy="669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127000</wp:posOffset>
                </wp:positionV>
                <wp:extent cx="975995" cy="3810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67528" y="3599025"/>
                          <a:ext cx="956945" cy="361950"/>
                        </a:xfrm>
                        <a:custGeom>
                          <a:rect b="b" l="l" r="r" t="t"/>
                          <a:pathLst>
                            <a:path extrusionOk="0" h="361950" w="956945">
                              <a:moveTo>
                                <a:pt x="0" y="0"/>
                              </a:moveTo>
                              <a:lnTo>
                                <a:pt x="0" y="361950"/>
                              </a:lnTo>
                              <a:lnTo>
                                <a:pt x="956945" y="361950"/>
                              </a:lnTo>
                              <a:lnTo>
                                <a:pt x="95694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Модулятор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127000</wp:posOffset>
                </wp:positionV>
                <wp:extent cx="975995" cy="381000"/>
                <wp:effectExtent b="0" l="0" r="0" t="0"/>
                <wp:wrapNone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5995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95810" y="3780000"/>
                          <a:ext cx="500380" cy="0"/>
                        </a:xfrm>
                        <a:custGeom>
                          <a:rect b="b" l="l" r="r" t="t"/>
                          <a:pathLst>
                            <a:path extrusionOk="0" h="1" w="500380">
                              <a:moveTo>
                                <a:pt x="0" y="0"/>
                              </a:moveTo>
                              <a:lnTo>
                                <a:pt x="50038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4495800</wp:posOffset>
                </wp:positionH>
                <wp:positionV relativeFrom="paragraph">
                  <wp:posOffset>292100</wp:posOffset>
                </wp:positionV>
                <wp:extent cx="0" cy="25400"/>
                <wp:effectExtent b="0" l="0" r="0" t="0"/>
                <wp:wrapNone/>
                <wp:docPr id="2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1.2. Структура формирования фрейма.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упрощения взаимодействия в команде и поддержки проекта, реализация модуля была разбит на несколько файлов компонентов. Схема соединений модуля приведена на рисунке 1.3.</w:t>
      </w:r>
    </w:p>
    <w:p w:rsidR="00000000" w:rsidDel="00000000" w:rsidP="00000000" w:rsidRDefault="00000000" w:rsidRPr="00000000" w14:paraId="000000BC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Picture 1" style="width:466.5pt;height:147.75pt;visibility:visible" o:spid="_x0000_i1026" type="#_x0000_t75">
            <v:imagedata r:id="rId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1.3. Схема модуля анализатора протокола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Никита Сазиков вёл разработку модуля управления кодированием 8b\10, а также модуля памяти (файлы modulator_lut.vhd и modulator_8b10.vhd).</w:t>
      </w:r>
    </w:p>
    <w:p w:rsidR="00000000" w:rsidDel="00000000" w:rsidP="00000000" w:rsidRDefault="00000000" w:rsidRPr="00000000" w14:paraId="000000BF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Модуль управления кодированием 8b\10b предназначен для обработки данных с FIFO (запрос новых двухбайтных слов и выбор обрабатываемого байта), а также передачи его модулю кодирования данных. В качестве модуля кодирования используется готовая реализация The OpenCores 8b10b_encdec Project.</w:t>
      </w:r>
    </w:p>
    <w:p w:rsidR="00000000" w:rsidDel="00000000" w:rsidP="00000000" w:rsidRDefault="00000000" w:rsidRPr="00000000" w14:paraId="000000C0">
      <w:pPr>
        <w:spacing w:after="30"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дальнейшем, кодированное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-битовое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слово передается на модуль подготовки кодовых слов и модуляции.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таблице 1.3 представлена структура памяти ROM, в которой хранится кодировка для трех режимов модуляции с представлением амплитуды и фазы в виде числа с фиксированной точкой. Данная память адресуется только внутри, доступ извне невозможен.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Таблица 1.3 — Структура памяти, хранящая кодировку для всех режимов модуляции</w:t>
      </w:r>
    </w:p>
    <w:tbl>
      <w:tblPr>
        <w:tblStyle w:val="Table5"/>
        <w:tblW w:w="9578.0" w:type="dxa"/>
        <w:jc w:val="left"/>
        <w:tblInd w:w="-1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75"/>
        <w:gridCol w:w="3201"/>
        <w:gridCol w:w="3202"/>
        <w:tblGridChange w:id="0">
          <w:tblGrid>
            <w:gridCol w:w="3175"/>
            <w:gridCol w:w="3201"/>
            <w:gridCol w:w="3202"/>
          </w:tblGrid>
        </w:tblGridChange>
      </w:tblGrid>
      <w:tr>
        <w:trPr>
          <w:cantSplit w:val="0"/>
          <w:trHeight w:val="587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Режим модуляции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Начальная фаза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Амплитуда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QPSK (“00”)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000000-000011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8-PSK (“01”)</w:t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010000 - 010111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8000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4000</w:t>
            </w:r>
          </w:p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C000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0000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00000000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16-QAM (“10”)</w:t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100000 - 101111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A666</w:t>
            </w:r>
          </w:p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D333</w:t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9333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A000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E666</w:t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E000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5333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2666</w:t>
            </w:r>
          </w:p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6666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6000</w:t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1333</w:t>
            </w:r>
          </w:p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72.0" w:type="dxa"/>
              <w:left w:w="144.0" w:type="dxa"/>
              <w:bottom w:w="72.0" w:type="dxa"/>
              <w:right w:w="144.0" w:type="dxa"/>
            </w:tcMar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FFFF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DFFF</w:t>
            </w:r>
          </w:p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7FFF</w:t>
            </w:r>
          </w:p>
        </w:tc>
      </w:tr>
    </w:tbl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После модуляции полученные значения амплитуды и начальной фазы необходимо нанести на несущую, которая генерируется с помощью отдельного DDS с возможностью установления частоты несущей, а также частоты следования символов. 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Азат Ахметов вёл разработку модуля подготовки кодовых слов и модуляции (modulator_modulation.vhd).</w:t>
      </w:r>
    </w:p>
    <w:p w:rsidR="00000000" w:rsidDel="00000000" w:rsidP="00000000" w:rsidRDefault="00000000" w:rsidRPr="00000000" w14:paraId="0000010D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подготовке кодового слова оно разбивается на части, соответствующие режиму модуляции: 2 бита при QPSK, 3 бита при 8-PSK, 4 бита при 16-QAM. Для этого производится сдвиг на необходимое количество бит. Запросом такого действия является установка регистра need_shifted_r. При работе сдвиговый регистр считает оставшееся количество необходимых сдвигов в счётчике shift_counter. После выполнения сдвигов, в зависимости от символьной скорости, данные будут перенесены в биты адреса, соответствующие модулируемым данным.</w:t>
      </w:r>
    </w:p>
    <w:p w:rsidR="00000000" w:rsidDel="00000000" w:rsidP="00000000" w:rsidRDefault="00000000" w:rsidRPr="00000000" w14:paraId="0000010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 слово полезных данных составляет 10 бит. После сдвига всех полезных данных, должно быть запрошено следующее слово. За этим событием следит счётчик shifted_10bit_counter, хранящий количество оставшихся полезных данных в области current_data. При обнулении счётчика ByteReadRequest устанавливается в 1 (при следующем клоке он будет убран), тем самым запрашивая новые данные у соседнего модуля. Наглядно ход работы сдвигового регистра можно представить на рисунке 1.4.</w:t>
      </w:r>
    </w:p>
    <w:p w:rsidR="00000000" w:rsidDel="00000000" w:rsidP="00000000" w:rsidRDefault="00000000" w:rsidRPr="00000000" w14:paraId="0000010F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27" style="width:363pt;height:320.25pt" type="#_x0000_t75">
            <v:imagedata r:id="rId3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1.4. Схема работы сдвигового регистра.</w:t>
      </w:r>
    </w:p>
    <w:p w:rsidR="00000000" w:rsidDel="00000000" w:rsidP="00000000" w:rsidRDefault="00000000" w:rsidRPr="00000000" w14:paraId="00000111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ОТЧЕТ О ВЕРИФИКАЦИИ</w:t>
      </w:r>
    </w:p>
    <w:p w:rsidR="00000000" w:rsidDel="00000000" w:rsidP="00000000" w:rsidRDefault="00000000" w:rsidRPr="00000000" w14:paraId="00000112">
      <w:pPr>
        <w:pStyle w:val="Heading2"/>
        <w:spacing w:line="360" w:lineRule="auto"/>
        <w:jc w:val="cente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2.1. Верификация модуля</w:t>
      </w:r>
    </w:p>
    <w:p w:rsidR="00000000" w:rsidDel="00000000" w:rsidP="00000000" w:rsidRDefault="00000000" w:rsidRPr="00000000" w14:paraId="0000011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2.1. изображена диаграмма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реакции модуля на сигнал сброса. Именно в момент, когда nRst равен 0, происходит обнуление StartPhase, Amplitude, данных, хранящихся в DataPort. Также на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сигнал разрешения работы для модуля синтеза периодических сигналов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подается 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сигнале Mode, установленным в 0, схема не производит модуляцию, она происходит лишь при Mode=1.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pict>
          <v:shape id="_x0000_i1028" style="width:468pt;height:91.5pt;visibility:visible" type="#_x0000_t75">
            <v:imagedata r:id="rId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2.1. Временная диаграмма сброса модуля.</w:t>
      </w:r>
    </w:p>
    <w:p w:rsidR="00000000" w:rsidDel="00000000" w:rsidP="00000000" w:rsidRDefault="00000000" w:rsidRPr="00000000" w14:paraId="00000117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рисунках 2.2–2.4 показан ход работы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разных видах модуляции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9">
      <w:pPr>
        <w:spacing w:after="3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2.2 происходит модуляция 16-QAM, при которой изменяется как начальная фаза(StartPhase), так и амплитуда(Amplitude). ModulationMode в данном случае равен 10 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/>
        <w:pict>
          <v:shape id="_x0000_i1029" style="width:468pt;height:87.75pt;visibility:visible" type="#_x0000_t75">
            <v:imagedata r:id="rId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2.2. Временная диаграмма работы модуля при модуляции 16-QAM.</w:t>
      </w:r>
    </w:p>
    <w:p w:rsidR="00000000" w:rsidDel="00000000" w:rsidP="00000000" w:rsidRDefault="00000000" w:rsidRPr="00000000" w14:paraId="0000011C">
      <w:pPr>
        <w:spacing w:after="3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2.3. происходит модуляция QPSK(может иметь в данном случае 4 состояния фазы), при которой изменяется только лишь начальная фаза.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pict>
          <v:shape id="_x0000_i1030" style="width:467.25pt;height:87.75pt;visibility:visible" type="#_x0000_t75">
            <v:imagedata r:id="rId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2.3. Временная диаграмма работы модуля при модуляции QPSK.</w:t>
      </w:r>
    </w:p>
    <w:p w:rsidR="00000000" w:rsidDel="00000000" w:rsidP="00000000" w:rsidRDefault="00000000" w:rsidRPr="00000000" w14:paraId="0000011F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 2.4. происходит модуляция 8-PSK(может иметь в данном случае 8 состояний фазы), при которой изменяется только лишь начальная фаза.</w:t>
      </w:r>
    </w:p>
    <w:p w:rsidR="00000000" w:rsidDel="00000000" w:rsidP="00000000" w:rsidRDefault="00000000" w:rsidRPr="00000000" w14:paraId="00000120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1" style="width:468pt;height:90pt;visibility:visible" type="#_x0000_t75">
            <v:imagedata r:id="rId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2.4. Временная диаграмма работы модуля при модуляции 8-PSK.</w:t>
      </w:r>
    </w:p>
    <w:p w:rsidR="00000000" w:rsidDel="00000000" w:rsidP="00000000" w:rsidRDefault="00000000" w:rsidRPr="00000000" w14:paraId="00000122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3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 2.5. показано, что при увеличении символьной частоты увеличивается и частота изменения начальной фазы сигнала</w:t>
      </w:r>
    </w:p>
    <w:p w:rsidR="00000000" w:rsidDel="00000000" w:rsidP="00000000" w:rsidRDefault="00000000" w:rsidRPr="00000000" w14:paraId="00000124">
      <w:pPr>
        <w:spacing w:after="30" w:line="360" w:lineRule="auto"/>
        <w:jc w:val="both"/>
        <w:rPr/>
      </w:pPr>
      <w:r w:rsidDel="00000000" w:rsidR="00000000" w:rsidRPr="00000000">
        <w:rPr/>
        <w:pict>
          <v:shape id="_x0000_i1032" style="width:467.25pt;height:87.75pt;visibility:visible" type="#_x0000_t75">
            <v:imagedata r:id="rId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 Временная диаграмма работы модуля при изменении символьной частоты.</w:t>
      </w:r>
    </w:p>
    <w:p w:rsidR="00000000" w:rsidDel="00000000" w:rsidP="00000000" w:rsidRDefault="00000000" w:rsidRPr="00000000" w14:paraId="00000126">
      <w:pPr>
        <w:spacing w:after="30" w:line="360" w:lineRule="auto"/>
        <w:ind w:firstLine="70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рисунке 2.6 отображен процесс передачи данных внутри модуля (работа сдвигового регистра). На вход модуля модуляции поступают кодированные данные (CodedData), которые записываются в старшие биты регистра сдвига (data_r). Эта часть регистра (data[13:4]) отображена на диаграмме как current_data.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pict>
          <v:shape id="_x0000_i1033" style="width:468pt;height:192.75pt;visibility:visible" type="#_x0000_t75">
            <v:imagedata r:id="rId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Временная диаграмма переноса данных.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определения режима модуляции, перед передачей полезных данных передаются специальные калибровочные данные размером 60 бит. В течение этой передачи, вне зависимости от режима модуляции, будет передано необходимое количество изменений фазы и амплитуды для однозначного различения режима модуляции. Диаграмма первоначальной калибровки приведена на рис. 2.7.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pict>
          <v:shape id="_x0000_i1034" style="width:468pt;height:134.25pt;visibility:visible" type="#_x0000_t75">
            <v:imagedata r:id="rId1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2.7. Временная диаграмма калибровки.</w:t>
      </w:r>
    </w:p>
    <w:p w:rsidR="00000000" w:rsidDel="00000000" w:rsidP="00000000" w:rsidRDefault="00000000" w:rsidRPr="00000000" w14:paraId="0000012E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рис. 2.8. наблюдается, что необходимость калибровки устанавливается (CalibrationNeeded_r =1) при сбросе или установке режима модуляции (Mode=0). Данные для калибровки передаются и обрабатываются также, как и обычные полезные данные, полученные извне. В качестве калибровочных данных используется последовательность бит, при модулировании которой будет наблюдаться достаточная вариативность сигнала для однозначного распознавания типа модуляции: 3 изменения фазы при QPSK, 5 изменений фаз при 8-PSK и 16QAM. Эта последовательность повторяется 3 раза для достижения количества 60 бит: наименьшего общего кратного между количеством бит в каждом пакете при любом режиме модуляции, и общим количеством бит в слове (соответственно, 2, 3, 4, и 10 бит).</w:t>
      </w:r>
    </w:p>
    <w:p w:rsidR="00000000" w:rsidDel="00000000" w:rsidP="00000000" w:rsidRDefault="00000000" w:rsidRPr="00000000" w14:paraId="0000012F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ходом работы следит счётчик CalibrationByte_counter. При сдвиге всех 60 бит калибровки, режим калибровки завершается, и модуль переходит в нормальный режим работы.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943600" cy="173646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2.8. Временная диаграмма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передачи данных в режиме калибровки.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spacing w:line="360" w:lineRule="auto"/>
        <w:jc w:val="center"/>
        <w:rPr/>
      </w:pPr>
      <w:bookmarkStart w:colFirst="0" w:colLast="0" w:name="_heading=h.yr7ira7xaxj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line="360" w:lineRule="auto"/>
        <w:jc w:val="center"/>
        <w:rPr/>
      </w:pPr>
      <w:bookmarkStart w:colFirst="0" w:colLast="0" w:name="_heading=h.2dsjvqeoj5u4" w:id="6"/>
      <w:bookmarkEnd w:id="6"/>
      <w:r w:rsidDel="00000000" w:rsidR="00000000" w:rsidRPr="00000000">
        <w:rPr>
          <w:rtl w:val="0"/>
        </w:rPr>
        <w:t xml:space="preserve">2.2. Проверка согласования с соседними модулями</w:t>
      </w:r>
    </w:p>
    <w:p w:rsidR="00000000" w:rsidDel="00000000" w:rsidP="00000000" w:rsidRDefault="00000000" w:rsidRPr="00000000" w14:paraId="00000138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3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согласования и возможности интеграции в проект был собран специальный тестбенч, содержащий три модуля: часть анализатора протокола, отвечающая за хранение данных, модуль кодирования и модуляции и модуль генератора сигналов. Структурная схема межсоединений показана на рисунке 2.9.</w:t>
      </w:r>
    </w:p>
    <w:p w:rsidR="00000000" w:rsidDel="00000000" w:rsidP="00000000" w:rsidRDefault="00000000" w:rsidRPr="00000000" w14:paraId="0000013A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6" style="width:468.75pt;height:96.75pt;visibility:visible" type="#_x0000_t75">
            <v:imagedata r:id="rId12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2.9.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Соединение соседних модулей в проекте.</w:t>
      </w:r>
    </w:p>
    <w:p w:rsidR="00000000" w:rsidDel="00000000" w:rsidP="00000000" w:rsidRDefault="00000000" w:rsidRPr="00000000" w14:paraId="0000013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30" w:line="360" w:lineRule="auto"/>
        <w:ind w:firstLine="709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временной диаграмме (рис. 2.10) видно, что входные конфигурирующие сигналы анализатора протокола управляют работой модуля кодирования и модуляции, а модуль генерации сигнала синтезирует необходимую форму сигнала.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3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829300" cy="3524897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4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2.10. Временная диаграмма общей сборки из трёх модулей.</w:t>
      </w:r>
    </w:p>
    <w:p w:rsidR="00000000" w:rsidDel="00000000" w:rsidP="00000000" w:rsidRDefault="00000000" w:rsidRPr="00000000" w14:paraId="00000141">
      <w:pPr>
        <w:spacing w:after="3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начальный момент времени DDS_en_r равен 0 и на выходах DAC_Q_s и DAC_I_s также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установлены 0.</w:t>
      </w:r>
      <w:r w:rsidDel="00000000" w:rsidR="00000000" w:rsidRPr="00000000">
        <w:rPr/>
        <w:drawing>
          <wp:inline distB="114300" distT="114300" distL="114300" distR="114300">
            <wp:extent cx="5568270" cy="10953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34358" l="736" r="865" t="24943"/>
                    <a:stretch>
                      <a:fillRect/>
                    </a:stretch>
                  </pic:blipFill>
                  <pic:spPr>
                    <a:xfrm>
                      <a:off x="0" y="0"/>
                      <a:ext cx="556827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3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2.5..Временная диаграмма в начальный момент времени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рис.2.6. продемонстрированы сигналы на генераторе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момент времени, когда Символьная частота(SymbolFrequency = 0010FFFF) меньше, чем Несущая частота(CarrierFrequency = 010003FF)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6135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15787" l="0" r="0" t="166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2.6. Временная диаграмма в момент времени, когда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SymbolFrequency меньше CarrierFrequency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monseq8i8x9y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СИНТЕЗ СХЕМЫ И ВРЕМЕННЫЕ ХАРАКТЕРИСТИКИ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проверки синтезируемости были проведены стадии Analysis &amp; Synthesis, Place &amp; Route, Generate programming files и Timing Analysis спроектированной схемы для ПЛИС семейства Cyclone 10 LP. На рисунках 3.1-3.7 представлены результаты проведенного синтеза. Все этапы синтеза пройдены успешно.</w:t>
      </w:r>
    </w:p>
    <w:p w:rsidR="00000000" w:rsidDel="00000000" w:rsidP="00000000" w:rsidRDefault="00000000" w:rsidRPr="00000000" w14:paraId="0000014C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8" style="width:377.25pt;height:212.25pt;visibility:visible" type="#_x0000_t75">
            <v:imagedata r:id="rId14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3.1. Отчёт о занимаемых ресурсах.</w:t>
      </w:r>
    </w:p>
    <w:p w:rsidR="00000000" w:rsidDel="00000000" w:rsidP="00000000" w:rsidRDefault="00000000" w:rsidRPr="00000000" w14:paraId="0000014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39" style="width:310.5pt;height:69.75pt;visibility:visible" type="#_x0000_t75">
            <v:imagedata r:id="rId15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3.2. Используемые тактовые сигналы.</w:t>
      </w:r>
    </w:p>
    <w:p w:rsidR="00000000" w:rsidDel="00000000" w:rsidP="00000000" w:rsidRDefault="00000000" w:rsidRPr="00000000" w14:paraId="0000015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0" style="width:223.5pt;height:69pt;visibility:visible" type="#_x0000_t75">
            <v:imagedata r:id="rId16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3.3. Отчёт о временных характеристиках модуля при 85 С.</w:t>
      </w:r>
    </w:p>
    <w:p w:rsidR="00000000" w:rsidDel="00000000" w:rsidP="00000000" w:rsidRDefault="00000000" w:rsidRPr="00000000" w14:paraId="0000015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ind w:firstLine="90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1" style="width:228.75pt;height:69pt;visibility:visible" type="#_x0000_t75">
            <v:imagedata r:id="rId17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3.4. Отчёт о временных характеристиках модуля при 0 С.</w:t>
      </w:r>
    </w:p>
    <w:p w:rsidR="00000000" w:rsidDel="00000000" w:rsidP="00000000" w:rsidRDefault="00000000" w:rsidRPr="00000000" w14:paraId="00000157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2" style="width:468pt;height:346.5pt;visibility:visible" type="#_x0000_t75">
            <v:imagedata r:id="rId18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3.5. Синтезированная схема модуля кодирования информации.</w:t>
      </w:r>
    </w:p>
    <w:p w:rsidR="00000000" w:rsidDel="00000000" w:rsidP="00000000" w:rsidRDefault="00000000" w:rsidRPr="00000000" w14:paraId="0000015A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3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3" style="width:468pt;height:63.75pt;visibility:visible" type="#_x0000_t75">
            <v:imagedata r:id="rId19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3.6. Синтезированная схема модуля модуляции сигнала.</w:t>
      </w:r>
    </w:p>
    <w:p w:rsidR="00000000" w:rsidDel="00000000" w:rsidP="00000000" w:rsidRDefault="00000000" w:rsidRPr="00000000" w14:paraId="0000015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pict>
          <v:shape id="_x0000_i1044" style="width:467.25pt;height:412.5pt;visibility:visible" type="#_x0000_t75">
            <v:imagedata r:id="rId20" o:title="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30"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3.7. Синтезированная схема модуля хранения данных (таблица поиска).</w:t>
      </w:r>
    </w:p>
    <w:p w:rsidR="00000000" w:rsidDel="00000000" w:rsidP="00000000" w:rsidRDefault="00000000" w:rsidRPr="00000000" w14:paraId="00000160">
      <w:pPr>
        <w:pStyle w:val="Heading1"/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4d34og8" w:id="9"/>
      <w:bookmarkEnd w:id="9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ЗАКЛЮЧЕНИЕ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курсовой работы были разработаны модуль для кодирования и модуляции информации анализатора протокола.</w:t>
      </w:r>
    </w:p>
    <w:p w:rsidR="00000000" w:rsidDel="00000000" w:rsidP="00000000" w:rsidRDefault="00000000" w:rsidRPr="00000000" w14:paraId="00000163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ModelSim 10.5b проведена симуляция работы устройства c различными входными данными, а также с соседними модулями.</w:t>
      </w:r>
    </w:p>
    <w:p w:rsidR="00000000" w:rsidDel="00000000" w:rsidP="00000000" w:rsidRDefault="00000000" w:rsidRPr="00000000" w14:paraId="00000164">
      <w:pPr>
        <w:spacing w:line="360" w:lineRule="auto"/>
        <w:ind w:firstLine="9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с помощью Quartus Prime 18.0 была выполнена проверка проекта на синтезируемость для ПЛИС семейства Cyclone 10 LP.</w:t>
      </w:r>
    </w:p>
    <w:p w:rsidR="00000000" w:rsidDel="00000000" w:rsidP="00000000" w:rsidRDefault="00000000" w:rsidRPr="00000000" w14:paraId="00000165">
      <w:pPr>
        <w:spacing w:line="360" w:lineRule="auto"/>
        <w:ind w:firstLine="900"/>
        <w:jc w:val="both"/>
        <w:rPr>
          <w:rFonts w:ascii="Roboto" w:cs="Roboto" w:eastAsia="Roboto" w:hAnsi="Roboto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VHDL, его тестирования в среде ModelSim 10.5b и синтеза в Quartus Prime 18.0.</w:t>
      </w:r>
      <w:r w:rsidDel="00000000" w:rsidR="00000000" w:rsidRPr="00000000">
        <w:rPr>
          <w:rtl w:val="0"/>
        </w:rPr>
      </w:r>
    </w:p>
    <w:sectPr>
      <w:footerReference r:id="rId33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Georgia"/>
  <w:font w:name="Arial"/>
  <w:font w:name="Roboto">
    <w:embedRegular w:fontKey="{00000000-0000-0000-0000-000000000000}" r:id="rId11" w:subsetted="0"/>
    <w:embedBold w:fontKey="{00000000-0000-0000-0000-000000000000}" r:id="rId13" w:subsetted="0"/>
    <w:embedItalic w:fontKey="{00000000-0000-0000-0000-000000000000}" r:id="rId21" w:subsetted="0"/>
    <w:embedBoldItalic w:fontKey="{00000000-0000-0000-0000-000000000000}" r:id="rId22" w:subsetted="0"/>
  </w:font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right"/>
      <w:rPr>
        <w:rFonts w:ascii="Times" w:cs="Times" w:eastAsia="Times" w:hAnsi="Times"/>
        <w:color w:val="000000"/>
      </w:rPr>
    </w:pPr>
    <w:r w:rsidDel="00000000" w:rsidR="00000000" w:rsidRPr="00000000">
      <w:rPr>
        <w:rFonts w:ascii="Times" w:cs="Times" w:eastAsia="Times" w:hAnsi="Times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ind w:right="360"/>
      <w:rPr>
        <w:rFonts w:ascii="Times" w:cs="Times" w:eastAsia="Times" w:hAnsi="Times"/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80" w:line="360" w:lineRule="auto"/>
      <w:jc w:val="center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A3E93"/>
    <w:pPr>
      <w:suppressAutoHyphens w:val="1"/>
    </w:pPr>
    <w:rPr>
      <w:rFonts w:ascii="Times New Roman CYR" w:cs="Times New Roman CYR" w:hAnsi="Times New Roman CYR"/>
      <w:lang w:eastAsia="ar-SA"/>
    </w:rPr>
  </w:style>
  <w:style w:type="paragraph" w:styleId="1">
    <w:name w:val="heading 1"/>
    <w:basedOn w:val="a"/>
    <w:next w:val="a"/>
    <w:link w:val="10"/>
    <w:uiPriority w:val="9"/>
    <w:qFormat w:val="1"/>
    <w:rsid w:val="007E23AE"/>
    <w:pPr>
      <w:keepNext w:val="1"/>
      <w:keepLines w:val="1"/>
      <w:spacing w:before="480"/>
      <w:outlineLvl w:val="0"/>
    </w:pPr>
    <w:rPr>
      <w:rFonts w:ascii="Cambria" w:cs="Cambria" w:hAnsi="Cambria"/>
      <w:b w:val="1"/>
      <w:bCs w:val="1"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292409"/>
    <w:pPr>
      <w:keepNext w:val="1"/>
      <w:keepLines w:val="1"/>
      <w:spacing w:before="200"/>
      <w:outlineLvl w:val="1"/>
    </w:pPr>
    <w:rPr>
      <w:rFonts w:ascii="Cambria" w:cs="Cambria" w:hAnsi="Cambria"/>
      <w:b w:val="1"/>
      <w:bCs w:val="1"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6E3CC4"/>
    <w:pPr>
      <w:keepNext w:val="1"/>
      <w:spacing w:after="60" w:before="240"/>
      <w:outlineLvl w:val="2"/>
    </w:pPr>
    <w:rPr>
      <w:rFonts w:ascii="Cambria" w:cs="Times New Roman" w:hAnsi="Cambria"/>
      <w:b w:val="1"/>
      <w:bCs w:val="1"/>
      <w:sz w:val="26"/>
      <w:szCs w:val="26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10" w:customStyle="1">
    <w:name w:val="Заголовок 1 Знак"/>
    <w:link w:val="1"/>
    <w:uiPriority w:val="99"/>
    <w:locked w:val="1"/>
    <w:rsid w:val="007E23AE"/>
    <w:rPr>
      <w:rFonts w:ascii="Cambria" w:hAnsi="Cambria"/>
      <w:b w:val="1"/>
      <w:color w:val="365f91"/>
      <w:sz w:val="28"/>
      <w:lang w:bidi="ar-SA" w:eastAsia="ar-SA" w:val="x-none"/>
    </w:rPr>
  </w:style>
  <w:style w:type="character" w:styleId="20" w:customStyle="1">
    <w:name w:val="Заголовок 2 Знак"/>
    <w:link w:val="2"/>
    <w:uiPriority w:val="99"/>
    <w:semiHidden w:val="1"/>
    <w:locked w:val="1"/>
    <w:rsid w:val="00292409"/>
    <w:rPr>
      <w:rFonts w:ascii="Cambria" w:hAnsi="Cambria"/>
      <w:b w:val="1"/>
      <w:color w:val="4f81bd"/>
      <w:sz w:val="26"/>
      <w:lang w:bidi="ar-SA" w:eastAsia="ar-SA" w:val="x-none"/>
    </w:rPr>
  </w:style>
  <w:style w:type="character" w:styleId="30" w:customStyle="1">
    <w:name w:val="Заголовок 3 Знак"/>
    <w:link w:val="3"/>
    <w:uiPriority w:val="9"/>
    <w:locked w:val="1"/>
    <w:rsid w:val="006E3CC4"/>
    <w:rPr>
      <w:rFonts w:ascii="Cambria" w:hAnsi="Cambria"/>
      <w:b w:val="1"/>
      <w:sz w:val="26"/>
      <w:lang w:bidi="ar-SA" w:eastAsia="ar-SA" w:val="ru-RU"/>
    </w:rPr>
  </w:style>
  <w:style w:type="paragraph" w:styleId="a4">
    <w:name w:val="List Paragraph"/>
    <w:basedOn w:val="a"/>
    <w:uiPriority w:val="34"/>
    <w:qFormat w:val="1"/>
    <w:rsid w:val="007E23AE"/>
    <w:pPr>
      <w:ind w:left="720"/>
    </w:pPr>
  </w:style>
  <w:style w:type="paragraph" w:styleId="11" w:customStyle="1">
    <w:name w:val="Заголовок оглавления1"/>
    <w:basedOn w:val="1"/>
    <w:next w:val="a"/>
    <w:uiPriority w:val="99"/>
    <w:rsid w:val="007E23AE"/>
    <w:pPr>
      <w:suppressAutoHyphens w:val="0"/>
      <w:spacing w:line="276" w:lineRule="auto"/>
      <w:outlineLvl w:val="9"/>
    </w:pPr>
    <w:rPr>
      <w:lang w:eastAsia="en-US"/>
    </w:rPr>
  </w:style>
  <w:style w:type="paragraph" w:styleId="FR1" w:customStyle="1">
    <w:name w:val="FR1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sz w:val="40"/>
      <w:szCs w:val="40"/>
    </w:rPr>
  </w:style>
  <w:style w:type="paragraph" w:styleId="FR3" w:customStyle="1">
    <w:name w:val="FR3"/>
    <w:uiPriority w:val="99"/>
    <w:rsid w:val="0052271B"/>
    <w:pPr>
      <w:widowControl w:val="0"/>
      <w:autoSpaceDE w:val="0"/>
      <w:autoSpaceDN w:val="0"/>
      <w:adjustRightInd w:val="0"/>
    </w:pPr>
    <w:rPr>
      <w:rFonts w:ascii="Arial" w:cs="Arial" w:hAnsi="Arial"/>
      <w:b w:val="1"/>
      <w:bCs w:val="1"/>
      <w:sz w:val="18"/>
      <w:szCs w:val="18"/>
    </w:rPr>
  </w:style>
  <w:style w:type="character" w:styleId="a5">
    <w:name w:val="Hyperlink"/>
    <w:uiPriority w:val="99"/>
    <w:rsid w:val="009F433A"/>
    <w:rPr>
      <w:color w:val="0000ff"/>
      <w:u w:val="single"/>
    </w:rPr>
  </w:style>
  <w:style w:type="paragraph" w:styleId="a6">
    <w:name w:val="header"/>
    <w:basedOn w:val="a"/>
    <w:link w:val="a7"/>
    <w:uiPriority w:val="99"/>
    <w:rsid w:val="00DF7DE9"/>
    <w:pPr>
      <w:tabs>
        <w:tab w:val="center" w:pos="4677"/>
        <w:tab w:val="right" w:pos="9355"/>
      </w:tabs>
    </w:pPr>
  </w:style>
  <w:style w:type="character" w:styleId="a7" w:customStyle="1">
    <w:name w:val="Верхний колонтитул Знак"/>
    <w:link w:val="a6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paragraph" w:styleId="a8">
    <w:name w:val="Balloon Text"/>
    <w:basedOn w:val="a"/>
    <w:link w:val="a9"/>
    <w:uiPriority w:val="99"/>
    <w:semiHidden w:val="1"/>
    <w:rsid w:val="001A3A30"/>
    <w:rPr>
      <w:rFonts w:ascii="Tahoma" w:cs="Tahoma" w:hAnsi="Tahoma"/>
      <w:sz w:val="16"/>
      <w:szCs w:val="16"/>
    </w:rPr>
  </w:style>
  <w:style w:type="character" w:styleId="a9" w:customStyle="1">
    <w:name w:val="Текст выноски Знак"/>
    <w:link w:val="a8"/>
    <w:uiPriority w:val="99"/>
    <w:semiHidden w:val="1"/>
    <w:locked w:val="1"/>
    <w:rsid w:val="001A3A30"/>
    <w:rPr>
      <w:rFonts w:ascii="Tahoma" w:hAnsi="Tahoma"/>
      <w:sz w:val="16"/>
      <w:lang w:bidi="ar-SA" w:eastAsia="ar-SA" w:val="x-none"/>
    </w:rPr>
  </w:style>
  <w:style w:type="paragraph" w:styleId="aa">
    <w:name w:val="footer"/>
    <w:basedOn w:val="a"/>
    <w:link w:val="ab"/>
    <w:uiPriority w:val="99"/>
    <w:rsid w:val="00DF7DE9"/>
    <w:pPr>
      <w:tabs>
        <w:tab w:val="center" w:pos="4677"/>
        <w:tab w:val="right" w:pos="9355"/>
      </w:tabs>
    </w:pPr>
  </w:style>
  <w:style w:type="character" w:styleId="ab" w:customStyle="1">
    <w:name w:val="Нижний колонтитул Знак"/>
    <w:link w:val="aa"/>
    <w:uiPriority w:val="99"/>
    <w:locked w:val="1"/>
    <w:rsid w:val="00DF7DE9"/>
    <w:rPr>
      <w:rFonts w:ascii="Times New Roman CYR" w:hAnsi="Times New Roman CYR"/>
      <w:sz w:val="20"/>
      <w:lang w:bidi="ar-SA" w:eastAsia="ar-SA" w:val="x-none"/>
    </w:rPr>
  </w:style>
  <w:style w:type="character" w:styleId="mw-headline" w:customStyle="1">
    <w:name w:val="mw-headline"/>
    <w:uiPriority w:val="99"/>
    <w:rsid w:val="00292409"/>
  </w:style>
  <w:style w:type="character" w:styleId="apple-converted-space" w:customStyle="1">
    <w:name w:val="apple-converted-space"/>
    <w:uiPriority w:val="99"/>
    <w:rsid w:val="00292409"/>
  </w:style>
  <w:style w:type="paragraph" w:styleId="ac">
    <w:name w:val="Normal (Web)"/>
    <w:basedOn w:val="a"/>
    <w:uiPriority w:val="99"/>
    <w:rsid w:val="001F606D"/>
    <w:pPr>
      <w:suppressAutoHyphens w:val="0"/>
      <w:spacing w:after="100" w:afterAutospacing="1" w:before="100" w:beforeAutospacing="1"/>
    </w:pPr>
    <w:rPr>
      <w:sz w:val="24"/>
      <w:szCs w:val="24"/>
      <w:lang w:eastAsia="ru-RU"/>
    </w:rPr>
  </w:style>
  <w:style w:type="paragraph" w:styleId="31" w:customStyle="1">
    <w:name w:val="Знак Знак3"/>
    <w:basedOn w:val="a"/>
    <w:uiPriority w:val="99"/>
    <w:rsid w:val="009164D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NoSpacing1" w:customStyle="1">
    <w:name w:val="No Spacing1"/>
    <w:uiPriority w:val="99"/>
    <w:rsid w:val="009164DB"/>
    <w:rPr>
      <w:sz w:val="22"/>
      <w:szCs w:val="22"/>
      <w:lang w:eastAsia="en-US"/>
    </w:rPr>
  </w:style>
  <w:style w:type="paragraph" w:styleId="32" w:customStyle="1">
    <w:name w:val="Знак Знак3 Знак Знак"/>
    <w:basedOn w:val="a"/>
    <w:uiPriority w:val="99"/>
    <w:rsid w:val="003F163F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ad">
    <w:name w:val="TOC Heading"/>
    <w:basedOn w:val="1"/>
    <w:next w:val="a"/>
    <w:uiPriority w:val="39"/>
    <w:qFormat w:val="1"/>
    <w:rsid w:val="003F163F"/>
    <w:pPr>
      <w:suppressAutoHyphens w:val="0"/>
      <w:spacing w:line="276" w:lineRule="auto"/>
      <w:outlineLvl w:val="9"/>
    </w:pPr>
    <w:rPr>
      <w:lang w:eastAsia="en-US"/>
    </w:rPr>
  </w:style>
  <w:style w:type="paragraph" w:styleId="12" w:customStyle="1">
    <w:name w:val="Знак Знак Знак Знак Знак Знак Знак1 Знак Знак Знак"/>
    <w:basedOn w:val="a"/>
    <w:uiPriority w:val="99"/>
    <w:rsid w:val="00B931FE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310" w:customStyle="1">
    <w:name w:val="Знак Знак31"/>
    <w:basedOn w:val="a"/>
    <w:uiPriority w:val="99"/>
    <w:rsid w:val="004A546B"/>
    <w:pPr>
      <w:tabs>
        <w:tab w:val="num" w:pos="643"/>
      </w:tabs>
      <w:suppressAutoHyphens w:val="0"/>
      <w:spacing w:after="160" w:line="240" w:lineRule="exact"/>
    </w:pPr>
    <w:rPr>
      <w:rFonts w:ascii="Verdana" w:cs="Verdana" w:hAnsi="Verdana"/>
      <w:lang w:eastAsia="en-US" w:val="en-US"/>
    </w:rPr>
  </w:style>
  <w:style w:type="paragraph" w:styleId="ae" w:customStyle="1">
    <w:name w:val="УИР_Заг_биг"/>
    <w:basedOn w:val="a"/>
    <w:link w:val="af"/>
    <w:uiPriority w:val="99"/>
    <w:rsid w:val="00365AE7"/>
    <w:pPr>
      <w:suppressAutoHyphens w:val="0"/>
      <w:spacing w:after="200" w:line="360" w:lineRule="auto"/>
      <w:jc w:val="center"/>
      <w:outlineLvl w:val="0"/>
    </w:pPr>
    <w:rPr>
      <w:b w:val="1"/>
      <w:bCs w:val="1"/>
      <w:sz w:val="24"/>
      <w:szCs w:val="24"/>
      <w:lang w:eastAsia="en-US"/>
    </w:rPr>
  </w:style>
  <w:style w:type="character" w:styleId="af" w:customStyle="1">
    <w:name w:val="УИР_Заг_биг Знак"/>
    <w:link w:val="ae"/>
    <w:uiPriority w:val="99"/>
    <w:locked w:val="1"/>
    <w:rsid w:val="00365AE7"/>
    <w:rPr>
      <w:rFonts w:eastAsia="Times New Roman"/>
      <w:b w:val="1"/>
      <w:sz w:val="24"/>
      <w:lang w:eastAsia="en-US" w:val="ru-RU"/>
    </w:rPr>
  </w:style>
  <w:style w:type="paragraph" w:styleId="af0">
    <w:name w:val="No Spacing"/>
    <w:link w:val="af1"/>
    <w:uiPriority w:val="99"/>
    <w:qFormat w:val="1"/>
    <w:rsid w:val="005611C3"/>
    <w:rPr>
      <w:sz w:val="22"/>
      <w:szCs w:val="22"/>
      <w:lang w:eastAsia="en-US"/>
    </w:rPr>
  </w:style>
  <w:style w:type="character" w:styleId="af1" w:customStyle="1">
    <w:name w:val="Без интервала Знак"/>
    <w:link w:val="af0"/>
    <w:uiPriority w:val="99"/>
    <w:locked w:val="1"/>
    <w:rsid w:val="005611C3"/>
    <w:rPr>
      <w:rFonts w:ascii="Calibri" w:hAnsi="Calibri"/>
      <w:sz w:val="22"/>
      <w:lang w:eastAsia="en-US" w:val="ru-RU"/>
    </w:rPr>
  </w:style>
  <w:style w:type="character" w:styleId="af2">
    <w:name w:val="page number"/>
    <w:basedOn w:val="a0"/>
    <w:uiPriority w:val="99"/>
    <w:rsid w:val="00A869DB"/>
  </w:style>
  <w:style w:type="paragraph" w:styleId="13">
    <w:name w:val="toc 1"/>
    <w:basedOn w:val="a"/>
    <w:next w:val="a"/>
    <w:autoRedefine w:val="1"/>
    <w:uiPriority w:val="39"/>
    <w:locked w:val="1"/>
    <w:rsid w:val="00193354"/>
  </w:style>
  <w:style w:type="table" w:styleId="af3">
    <w:name w:val="Table Grid"/>
    <w:basedOn w:val="a1"/>
    <w:uiPriority w:val="39"/>
    <w:locked w:val="1"/>
    <w:rsid w:val="0067474E"/>
    <w:rPr>
      <w:rFonts w:ascii="Times New Roman" w:cs="Times New Roman" w:hAnsi="Times New Roman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21">
    <w:name w:val="toc 2"/>
    <w:basedOn w:val="a"/>
    <w:next w:val="a"/>
    <w:autoRedefine w:val="1"/>
    <w:uiPriority w:val="39"/>
    <w:locked w:val="1"/>
    <w:rsid w:val="0067474E"/>
    <w:pPr>
      <w:ind w:left="200"/>
    </w:pPr>
  </w:style>
  <w:style w:type="paragraph" w:styleId="33">
    <w:name w:val="toc 3"/>
    <w:basedOn w:val="a"/>
    <w:next w:val="a"/>
    <w:autoRedefine w:val="1"/>
    <w:uiPriority w:val="39"/>
    <w:locked w:val="1"/>
    <w:rsid w:val="0067474E"/>
    <w:pPr>
      <w:ind w:left="400"/>
    </w:pPr>
  </w:style>
  <w:style w:type="paragraph" w:styleId="22" w:customStyle="1">
    <w:name w:val="Стиль2"/>
    <w:basedOn w:val="a"/>
    <w:link w:val="23"/>
    <w:qFormat w:val="1"/>
    <w:rsid w:val="006F1593"/>
    <w:pPr>
      <w:spacing w:after="3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styleId="23" w:customStyle="1">
    <w:name w:val="Стиль2 Знак"/>
    <w:link w:val="22"/>
    <w:locked w:val="1"/>
    <w:rsid w:val="006F1593"/>
    <w:rPr>
      <w:rFonts w:ascii="Times New Roman" w:hAnsi="Times New Roman"/>
      <w:sz w:val="24"/>
      <w:lang w:bidi="ar-SA" w:eastAsia="ar-SA" w:val="ru-RU"/>
    </w:rPr>
  </w:style>
  <w:style w:type="paragraph" w:styleId="af4" w:customStyle="1">
    <w:name w:val="Текст таблицы"/>
    <w:basedOn w:val="a"/>
    <w:qFormat w:val="1"/>
    <w:rsid w:val="00DD4018"/>
    <w:pPr>
      <w:suppressAutoHyphens w:val="0"/>
      <w:spacing w:line="360" w:lineRule="auto"/>
      <w:jc w:val="both"/>
    </w:pPr>
    <w:rPr>
      <w:rFonts w:ascii="Times New Roman" w:cs="Times New Roman" w:hAnsi="Times New Roman"/>
      <w:szCs w:val="22"/>
      <w:lang w:eastAsia="en-US"/>
    </w:rPr>
  </w:style>
  <w:style w:type="character" w:styleId="af5">
    <w:name w:val="annotation reference"/>
    <w:uiPriority w:val="99"/>
    <w:rsid w:val="00D946FA"/>
    <w:rPr>
      <w:sz w:val="16"/>
    </w:rPr>
  </w:style>
  <w:style w:type="paragraph" w:styleId="af6">
    <w:name w:val="annotation text"/>
    <w:basedOn w:val="a"/>
    <w:link w:val="af7"/>
    <w:uiPriority w:val="99"/>
    <w:rsid w:val="00D946FA"/>
  </w:style>
  <w:style w:type="character" w:styleId="af7" w:customStyle="1">
    <w:name w:val="Текст примечания Знак"/>
    <w:link w:val="af6"/>
    <w:uiPriority w:val="99"/>
    <w:locked w:val="1"/>
    <w:rsid w:val="00D946FA"/>
    <w:rPr>
      <w:rFonts w:ascii="Times New Roman CYR" w:hAnsi="Times New Roman CYR"/>
      <w:lang w:bidi="ar-SA" w:eastAsia="ar-SA" w:val="ru-RU"/>
    </w:rPr>
  </w:style>
  <w:style w:type="paragraph" w:styleId="af8">
    <w:name w:val="annotation subject"/>
    <w:basedOn w:val="af6"/>
    <w:next w:val="af6"/>
    <w:link w:val="af9"/>
    <w:uiPriority w:val="99"/>
    <w:semiHidden w:val="1"/>
    <w:unhideWhenUsed w:val="1"/>
    <w:rsid w:val="00D946FA"/>
    <w:rPr>
      <w:b w:val="1"/>
      <w:bCs w:val="1"/>
    </w:rPr>
  </w:style>
  <w:style w:type="character" w:styleId="af9" w:customStyle="1">
    <w:name w:val="Тема примечания Знак"/>
    <w:link w:val="af8"/>
    <w:uiPriority w:val="99"/>
    <w:semiHidden w:val="1"/>
    <w:locked w:val="1"/>
    <w:rsid w:val="00D946FA"/>
    <w:rPr>
      <w:rFonts w:ascii="Times New Roman CYR" w:hAnsi="Times New Roman CYR"/>
      <w:b w:val="1"/>
      <w:lang w:bidi="ar-SA" w:eastAsia="ar-SA" w:val="ru-RU"/>
    </w:rPr>
  </w:style>
  <w:style w:type="paragraph" w:styleId="afa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fb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a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a1"/>
    <w:tblPr>
      <w:tblStyleRowBandSize w:val="1"/>
      <w:tblStyleColBandSize w:val="1"/>
      <w:tblCellMar>
        <w:left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numbering" Target="numbering.xml"/><Relationship Id="rId21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styles" Target="styles.xml"/><Relationship Id="rId1" Type="http://schemas.openxmlformats.org/officeDocument/2006/relationships/image" Target="media/image3.png"/><Relationship Id="rId2" Type="http://schemas.openxmlformats.org/officeDocument/2006/relationships/image" Target="media/image5.png"/><Relationship Id="rId3" Type="http://schemas.openxmlformats.org/officeDocument/2006/relationships/image" Target="media/image4.png"/><Relationship Id="rId4" Type="http://schemas.openxmlformats.org/officeDocument/2006/relationships/image" Target="media/image7.png"/><Relationship Id="rId26" Type="http://schemas.openxmlformats.org/officeDocument/2006/relationships/image" Target="media/image24.png"/><Relationship Id="rId9" Type="http://schemas.openxmlformats.org/officeDocument/2006/relationships/image" Target="media/image10.png"/><Relationship Id="rId25" Type="http://schemas.openxmlformats.org/officeDocument/2006/relationships/image" Target="media/image25.png"/><Relationship Id="rId28" Type="http://schemas.openxmlformats.org/officeDocument/2006/relationships/image" Target="media/image26.png"/><Relationship Id="rId27" Type="http://schemas.openxmlformats.org/officeDocument/2006/relationships/image" Target="media/image22.png"/><Relationship Id="rId5" Type="http://schemas.openxmlformats.org/officeDocument/2006/relationships/image" Target="media/image6.png"/><Relationship Id="rId6" Type="http://schemas.openxmlformats.org/officeDocument/2006/relationships/image" Target="media/image9.png"/><Relationship Id="rId29" Type="http://schemas.openxmlformats.org/officeDocument/2006/relationships/image" Target="media/image23.png"/><Relationship Id="rId7" Type="http://schemas.openxmlformats.org/officeDocument/2006/relationships/image" Target="media/image8.png"/><Relationship Id="rId8" Type="http://schemas.openxmlformats.org/officeDocument/2006/relationships/image" Target="media/image11.png"/><Relationship Id="rId31" Type="http://schemas.openxmlformats.org/officeDocument/2006/relationships/image" Target="media/image20.png"/><Relationship Id="rId30" Type="http://schemas.openxmlformats.org/officeDocument/2006/relationships/image" Target="media/image21.png"/><Relationship Id="rId11" Type="http://schemas.openxmlformats.org/officeDocument/2006/relationships/theme" Target="theme/theme1.xml"/><Relationship Id="rId33" Type="http://schemas.openxmlformats.org/officeDocument/2006/relationships/footer" Target="footer1.xml"/><Relationship Id="rId10" Type="http://schemas.openxmlformats.org/officeDocument/2006/relationships/image" Target="media/image13.png"/><Relationship Id="rId32" Type="http://schemas.openxmlformats.org/officeDocument/2006/relationships/image" Target="media/image19.png"/><Relationship Id="rId13" Type="http://schemas.openxmlformats.org/officeDocument/2006/relationships/settings" Target="settings.xml"/><Relationship Id="rId12" Type="http://schemas.openxmlformats.org/officeDocument/2006/relationships/image" Target="media/image12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-regular.ttf"/><Relationship Id="rId22" Type="http://schemas.openxmlformats.org/officeDocument/2006/relationships/font" Target="fonts/Roboto-boldItalic.ttf"/><Relationship Id="rId21" Type="http://schemas.openxmlformats.org/officeDocument/2006/relationships/font" Target="fonts/Roboto-italic.ttf"/><Relationship Id="rId13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/4Uc03uOieQUpqDEdMhfcKVHOhQ==">AMUW2mXImZ2XMTAPRz2+EyaZn6gcNnTO3Q6Ozh9TibNbrk1F28EpBe75wAMp7BtR7qvte7qmEJkFez0yq4JUkKgMhYxiGBbot33JhqK3mccVYiVwEoKd9kW5tv8TNuc64lvYqXNIQIF+4BcUOmeV3hWTfGE5FwQ8G3v/t1uFFKjtBFu+wByUNci35ij76g8BrI65LbSBCtGBTax5VBSwvuezEufgcnBCdGHBKIULB4pIyQBDiHDTTOy8fCDe8AYuhKrd1sXGg2VNyHJbqf3MWkQMWpwLMocs6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2023-01-15T19:51:00Z</dcterms:created>
</cp:coreProperties>
</file>