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3429713838681c21adf4ed8919455bd7d65f3a"/>
    <w:p>
      <w:pPr>
        <w:pStyle w:val="Heading1"/>
      </w:pPr>
      <w:r>
        <w:t xml:space="preserve">Athena Software Architecture Specification (SAS)</w:t>
      </w:r>
    </w:p>
    <w:bookmarkStart w:id="20" w:name="version-1.0-draft"/>
    <w:p>
      <w:pPr>
        <w:pStyle w:val="Heading2"/>
      </w:pPr>
      <w:r>
        <w:t xml:space="preserve">Version 1.0 – Draft</w:t>
      </w:r>
    </w:p>
    <w:p>
      <w:pPr>
        <w:pStyle w:val="BlockText"/>
      </w:pPr>
      <w:r>
        <w:t xml:space="preserve">Governing document for the engineering architecture of Project Athena.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Vision and Scope</w:t>
      </w:r>
    </w:p>
    <w:p>
      <w:pPr>
        <w:pStyle w:val="Compact"/>
        <w:numPr>
          <w:ilvl w:val="0"/>
          <w:numId w:val="1001"/>
        </w:numPr>
      </w:pPr>
      <w:r>
        <w:t xml:space="preserve">Architectural Principles</w:t>
      </w:r>
    </w:p>
    <w:p>
      <w:pPr>
        <w:pStyle w:val="Compact"/>
        <w:numPr>
          <w:ilvl w:val="0"/>
          <w:numId w:val="1001"/>
        </w:numPr>
      </w:pPr>
      <w:r>
        <w:t xml:space="preserve">Quality Attributes</w:t>
      </w:r>
    </w:p>
    <w:p>
      <w:pPr>
        <w:pStyle w:val="Compact"/>
        <w:numPr>
          <w:ilvl w:val="0"/>
          <w:numId w:val="1001"/>
        </w:numPr>
      </w:pPr>
      <w:r>
        <w:t xml:space="preserve">System Context</w:t>
      </w:r>
    </w:p>
    <w:p>
      <w:pPr>
        <w:pStyle w:val="Compact"/>
        <w:numPr>
          <w:ilvl w:val="0"/>
          <w:numId w:val="1001"/>
        </w:numPr>
      </w:pPr>
      <w:r>
        <w:t xml:space="preserve">Layered Architecture</w:t>
      </w:r>
    </w:p>
    <w:p>
      <w:pPr>
        <w:pStyle w:val="Compact"/>
        <w:numPr>
          <w:ilvl w:val="0"/>
          <w:numId w:val="1001"/>
        </w:numPr>
      </w:pPr>
      <w:r>
        <w:t xml:space="preserve">Kernel</w:t>
      </w:r>
    </w:p>
    <w:p>
      <w:pPr>
        <w:pStyle w:val="Compact"/>
        <w:numPr>
          <w:ilvl w:val="0"/>
          <w:numId w:val="1001"/>
        </w:numPr>
      </w:pPr>
      <w:r>
        <w:t xml:space="preserve">Document Engine</w:t>
      </w:r>
    </w:p>
    <w:p>
      <w:pPr>
        <w:pStyle w:val="Compact"/>
        <w:numPr>
          <w:ilvl w:val="0"/>
          <w:numId w:val="1001"/>
        </w:numPr>
      </w:pPr>
      <w:r>
        <w:t xml:space="preserve">Retrieval Intelligence Engine</w:t>
      </w:r>
    </w:p>
    <w:p>
      <w:pPr>
        <w:pStyle w:val="Compact"/>
        <w:numPr>
          <w:ilvl w:val="0"/>
          <w:numId w:val="1001"/>
        </w:numPr>
      </w:pPr>
      <w:r>
        <w:t xml:space="preserve">Knowledge Engine</w:t>
      </w:r>
    </w:p>
    <w:p>
      <w:pPr>
        <w:pStyle w:val="Compact"/>
        <w:numPr>
          <w:ilvl w:val="0"/>
          <w:numId w:val="1001"/>
        </w:numPr>
      </w:pPr>
      <w:r>
        <w:t xml:space="preserve">Reasoning Engine</w:t>
      </w:r>
    </w:p>
    <w:p>
      <w:pPr>
        <w:pStyle w:val="Compact"/>
        <w:numPr>
          <w:ilvl w:val="0"/>
          <w:numId w:val="1001"/>
        </w:numPr>
      </w:pPr>
      <w:r>
        <w:t xml:space="preserve">Memory Engine</w:t>
      </w:r>
    </w:p>
    <w:p>
      <w:pPr>
        <w:pStyle w:val="Compact"/>
        <w:numPr>
          <w:ilvl w:val="0"/>
          <w:numId w:val="1001"/>
        </w:numPr>
      </w:pPr>
      <w:r>
        <w:t xml:space="preserve">Workspace Engine</w:t>
      </w:r>
    </w:p>
    <w:p>
      <w:pPr>
        <w:pStyle w:val="Compact"/>
        <w:numPr>
          <w:ilvl w:val="0"/>
          <w:numId w:val="1001"/>
        </w:numPr>
      </w:pPr>
      <w:r>
        <w:t xml:space="preserve">Plugin Framework</w:t>
      </w:r>
    </w:p>
    <w:p>
      <w:pPr>
        <w:pStyle w:val="Compact"/>
        <w:numPr>
          <w:ilvl w:val="0"/>
          <w:numId w:val="1001"/>
        </w:numPr>
      </w:pPr>
      <w:r>
        <w:t xml:space="preserve">Domain Model</w:t>
      </w:r>
    </w:p>
    <w:p>
      <w:pPr>
        <w:pStyle w:val="Compact"/>
        <w:numPr>
          <w:ilvl w:val="0"/>
          <w:numId w:val="1001"/>
        </w:numPr>
      </w:pPr>
      <w:r>
        <w:t xml:space="preserve">Data Flow</w:t>
      </w:r>
    </w:p>
    <w:p>
      <w:pPr>
        <w:pStyle w:val="Compact"/>
        <w:numPr>
          <w:ilvl w:val="0"/>
          <w:numId w:val="1001"/>
        </w:numPr>
      </w:pPr>
      <w:r>
        <w:t xml:space="preserve">Security &amp; Privacy</w:t>
      </w:r>
    </w:p>
    <w:p>
      <w:pPr>
        <w:pStyle w:val="Compact"/>
        <w:numPr>
          <w:ilvl w:val="0"/>
          <w:numId w:val="1001"/>
        </w:numPr>
      </w:pPr>
      <w:r>
        <w:t xml:space="preserve">Performance Objectives</w:t>
      </w:r>
    </w:p>
    <w:p>
      <w:pPr>
        <w:pStyle w:val="Compact"/>
        <w:numPr>
          <w:ilvl w:val="0"/>
          <w:numId w:val="1001"/>
        </w:numPr>
      </w:pPr>
      <w:r>
        <w:t xml:space="preserve">Engineering Standards</w:t>
      </w:r>
    </w:p>
    <w:p>
      <w:pPr>
        <w:pStyle w:val="Compact"/>
        <w:numPr>
          <w:ilvl w:val="0"/>
          <w:numId w:val="1001"/>
        </w:numPr>
      </w:pPr>
      <w:r>
        <w:t xml:space="preserve">Quality Gates</w:t>
      </w:r>
    </w:p>
    <w:p>
      <w:pPr>
        <w:pStyle w:val="Compact"/>
        <w:numPr>
          <w:ilvl w:val="0"/>
          <w:numId w:val="1001"/>
        </w:numPr>
      </w:pPr>
      <w:r>
        <w:t xml:space="preserve">Roadmap</w:t>
      </w:r>
    </w:p>
    <w:p>
      <w:pPr>
        <w:pStyle w:val="Compact"/>
        <w:numPr>
          <w:ilvl w:val="0"/>
          <w:numId w:val="1001"/>
        </w:numPr>
      </w:pPr>
      <w:r>
        <w:t xml:space="preserve">Appendix</w:t>
      </w:r>
    </w:p>
    <w:p>
      <w:r>
        <w:pict>
          <v:rect style="width:0;height:1.5pt" o:hralign="center" o:hrstd="t" o:hr="t"/>
        </w:pict>
      </w:r>
    </w:p>
    <w:bookmarkEnd w:id="22"/>
    <w:bookmarkStart w:id="2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Software Architecture Specification (SAS) translates the Athena Constitution</w:t>
      </w:r>
      <w:r>
        <w:t xml:space="preserve"> </w:t>
      </w:r>
      <w:r>
        <w:t xml:space="preserve">into an implementable engineering architecture.</w:t>
      </w:r>
    </w:p>
    <w:p>
      <w:pPr>
        <w:pStyle w:val="BodyText"/>
      </w:pPr>
      <w:r>
        <w:t xml:space="preserve">The Constitution defines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Athena exists.</w:t>
      </w:r>
      <w:r>
        <w:t xml:space="preserve"> </w:t>
      </w:r>
      <w:r>
        <w:t xml:space="preserve">The SAS defines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Athena is built.</w:t>
      </w:r>
    </w:p>
    <w:p>
      <w:r>
        <w:pict>
          <v:rect style="width:0;height:1.5pt" o:hralign="center" o:hrstd="t" o:hr="t"/>
        </w:pict>
      </w:r>
    </w:p>
    <w:bookmarkEnd w:id="23"/>
    <w:bookmarkStart w:id="24" w:name="vision-and-scope"/>
    <w:p>
      <w:pPr>
        <w:pStyle w:val="Heading1"/>
      </w:pPr>
      <w:r>
        <w:t xml:space="preserve">2. Vision and Scope</w:t>
      </w:r>
    </w:p>
    <w:p>
      <w:pPr>
        <w:pStyle w:val="FirstParagraph"/>
      </w:pPr>
      <w:r>
        <w:t xml:space="preserve">Athena is a</w:t>
      </w:r>
      <w:r>
        <w:t xml:space="preserve"> </w:t>
      </w:r>
      <w:r>
        <w:rPr>
          <w:b/>
          <w:bCs/>
        </w:rPr>
        <w:t xml:space="preserve">local-first Knowledge Operating System</w:t>
      </w:r>
      <w:r>
        <w:t xml:space="preserve">.</w:t>
      </w:r>
    </w:p>
    <w:p>
      <w:pPr>
        <w:pStyle w:val="BodyText"/>
      </w:pPr>
      <w:r>
        <w:t xml:space="preserve">Its purpose is to help a person collect, preserve, organize, connect,</w:t>
      </w:r>
      <w:r>
        <w:t xml:space="preserve"> </w:t>
      </w:r>
      <w:r>
        <w:t xml:space="preserve">understand, and reason over knowledge throughout their lifetime.</w:t>
      </w:r>
    </w:p>
    <w:p>
      <w:pPr>
        <w:pStyle w:val="BodyText"/>
      </w:pPr>
      <w:r>
        <w:t xml:space="preserve">Artificial intelligence is a subsystem—not the center of the application.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al-principles"/>
    <w:p>
      <w:pPr>
        <w:pStyle w:val="Heading1"/>
      </w:pPr>
      <w:r>
        <w:t xml:space="preserve">3. Architectural Principles</w:t>
      </w:r>
    </w:p>
    <w:p>
      <w:pPr>
        <w:pStyle w:val="Compact"/>
        <w:numPr>
          <w:ilvl w:val="0"/>
          <w:numId w:val="1002"/>
        </w:numPr>
      </w:pPr>
      <w:r>
        <w:t xml:space="preserve">Local first</w:t>
      </w:r>
    </w:p>
    <w:p>
      <w:pPr>
        <w:pStyle w:val="Compact"/>
        <w:numPr>
          <w:ilvl w:val="0"/>
          <w:numId w:val="1002"/>
        </w:numPr>
      </w:pPr>
      <w:r>
        <w:t xml:space="preserve">User ownership</w:t>
      </w:r>
    </w:p>
    <w:p>
      <w:pPr>
        <w:pStyle w:val="Compact"/>
        <w:numPr>
          <w:ilvl w:val="0"/>
          <w:numId w:val="1002"/>
        </w:numPr>
      </w:pPr>
      <w:r>
        <w:t xml:space="preserve">Privacy first</w:t>
      </w:r>
    </w:p>
    <w:p>
      <w:pPr>
        <w:pStyle w:val="Compact"/>
        <w:numPr>
          <w:ilvl w:val="0"/>
          <w:numId w:val="1002"/>
        </w:numPr>
      </w:pPr>
      <w:r>
        <w:t xml:space="preserve">Modular architecture</w:t>
      </w:r>
    </w:p>
    <w:p>
      <w:pPr>
        <w:pStyle w:val="Compact"/>
        <w:numPr>
          <w:ilvl w:val="0"/>
          <w:numId w:val="1002"/>
        </w:numPr>
      </w:pPr>
      <w:r>
        <w:t xml:space="preserve">Replaceable AI providers</w:t>
      </w:r>
    </w:p>
    <w:p>
      <w:pPr>
        <w:pStyle w:val="Compact"/>
        <w:numPr>
          <w:ilvl w:val="0"/>
          <w:numId w:val="1002"/>
        </w:numPr>
      </w:pPr>
      <w:r>
        <w:t xml:space="preserve">Backend before UI</w:t>
      </w:r>
    </w:p>
    <w:p>
      <w:pPr>
        <w:pStyle w:val="Compact"/>
        <w:numPr>
          <w:ilvl w:val="0"/>
          <w:numId w:val="1002"/>
        </w:numPr>
      </w:pPr>
      <w:r>
        <w:t xml:space="preserve">Interfaces before implementations</w:t>
      </w:r>
    </w:p>
    <w:p>
      <w:pPr>
        <w:pStyle w:val="Compact"/>
        <w:numPr>
          <w:ilvl w:val="0"/>
          <w:numId w:val="1002"/>
        </w:numPr>
      </w:pPr>
      <w:r>
        <w:t xml:space="preserve">Benchmark-driven engineering</w:t>
      </w:r>
    </w:p>
    <w:p>
      <w:r>
        <w:pict>
          <v:rect style="width:0;height:1.5pt" o:hralign="center" o:hrstd="t" o:hr="t"/>
        </w:pict>
      </w:r>
    </w:p>
    <w:bookmarkEnd w:id="25"/>
    <w:bookmarkStart w:id="26" w:name="quality-attributes"/>
    <w:p>
      <w:pPr>
        <w:pStyle w:val="Heading1"/>
      </w:pPr>
      <w:r>
        <w:t xml:space="preserve">4. Quality Attributes</w:t>
      </w:r>
    </w:p>
    <w:p>
      <w:pPr>
        <w:pStyle w:val="FirstParagraph"/>
      </w:pPr>
      <w:r>
        <w:t xml:space="preserve">Primary architectural goals:</w:t>
      </w:r>
    </w:p>
    <w:p>
      <w:pPr>
        <w:pStyle w:val="Compact"/>
        <w:numPr>
          <w:ilvl w:val="0"/>
          <w:numId w:val="1003"/>
        </w:numPr>
      </w:pPr>
      <w:r>
        <w:t xml:space="preserve">Maintainability</w:t>
      </w:r>
    </w:p>
    <w:p>
      <w:pPr>
        <w:pStyle w:val="Compact"/>
        <w:numPr>
          <w:ilvl w:val="0"/>
          <w:numId w:val="1003"/>
        </w:numPr>
      </w:pPr>
      <w:r>
        <w:t xml:space="preserve">Extensibility</w:t>
      </w:r>
    </w:p>
    <w:p>
      <w:pPr>
        <w:pStyle w:val="Compact"/>
        <w:numPr>
          <w:ilvl w:val="0"/>
          <w:numId w:val="1003"/>
        </w:numPr>
      </w:pPr>
      <w:r>
        <w:t xml:space="preserve">Testability</w:t>
      </w:r>
    </w:p>
    <w:p>
      <w:pPr>
        <w:pStyle w:val="Compact"/>
        <w:numPr>
          <w:ilvl w:val="0"/>
          <w:numId w:val="1003"/>
        </w:numPr>
      </w:pPr>
      <w:r>
        <w:t xml:space="preserve">Reliability</w:t>
      </w:r>
    </w:p>
    <w:p>
      <w:pPr>
        <w:pStyle w:val="Compact"/>
        <w:numPr>
          <w:ilvl w:val="0"/>
          <w:numId w:val="1003"/>
        </w:numPr>
      </w:pPr>
      <w:r>
        <w:t xml:space="preserve">Performance</w:t>
      </w:r>
    </w:p>
    <w:p>
      <w:pPr>
        <w:pStyle w:val="Compact"/>
        <w:numPr>
          <w:ilvl w:val="0"/>
          <w:numId w:val="1003"/>
        </w:numPr>
      </w:pPr>
      <w:r>
        <w:t xml:space="preserve">Explainability</w:t>
      </w:r>
    </w:p>
    <w:p>
      <w:pPr>
        <w:pStyle w:val="Compact"/>
        <w:numPr>
          <w:ilvl w:val="0"/>
          <w:numId w:val="1003"/>
        </w:numPr>
      </w:pPr>
      <w:r>
        <w:t xml:space="preserve">Offline capability</w:t>
      </w:r>
    </w:p>
    <w:p>
      <w:r>
        <w:pict>
          <v:rect style="width:0;height:1.5pt" o:hralign="center" o:hrstd="t" o:hr="t"/>
        </w:pict>
      </w:r>
    </w:p>
    <w:bookmarkEnd w:id="26"/>
    <w:bookmarkStart w:id="27" w:name="system-context"/>
    <w:p>
      <w:pPr>
        <w:pStyle w:val="Heading1"/>
      </w:pPr>
      <w:r>
        <w:t xml:space="preserve">5. System Context</w:t>
      </w:r>
    </w:p>
    <w:p>
      <w:pPr>
        <w:pStyle w:val="FirstParagraph"/>
      </w:pPr>
      <w:r>
        <w:t xml:space="preserve">Presentation</w:t>
      </w:r>
      <w:r>
        <w:t xml:space="preserve"> </w:t>
      </w:r>
      <w:r>
        <w:t xml:space="preserve">→ Application Services</w:t>
      </w:r>
      <w:r>
        <w:t xml:space="preserve"> </w:t>
      </w:r>
      <w:r>
        <w:t xml:space="preserve">→ Workspace Engine</w:t>
      </w:r>
      <w:r>
        <w:t xml:space="preserve"> </w:t>
      </w:r>
      <w:r>
        <w:t xml:space="preserve">→ Reasoning Engine</w:t>
      </w:r>
      <w:r>
        <w:t xml:space="preserve"> </w:t>
      </w:r>
      <w:r>
        <w:t xml:space="preserve">→ Knowledge Engine</w:t>
      </w:r>
      <w:r>
        <w:t xml:space="preserve"> </w:t>
      </w:r>
      <w:r>
        <w:t xml:space="preserve">→ Retrieval Intelligence Engine</w:t>
      </w:r>
      <w:r>
        <w:t xml:space="preserve"> </w:t>
      </w:r>
      <w:r>
        <w:t xml:space="preserve">→ Document Engine</w:t>
      </w:r>
      <w:r>
        <w:t xml:space="preserve"> </w:t>
      </w:r>
      <w:r>
        <w:t xml:space="preserve">→ Kernel</w:t>
      </w:r>
      <w:r>
        <w:t xml:space="preserve"> </w:t>
      </w:r>
      <w:r>
        <w:t xml:space="preserve">→ Infrastructure</w:t>
      </w:r>
    </w:p>
    <w:p>
      <w:r>
        <w:pict>
          <v:rect style="width:0;height:1.5pt" o:hralign="center" o:hrstd="t" o:hr="t"/>
        </w:pict>
      </w:r>
    </w:p>
    <w:bookmarkEnd w:id="27"/>
    <w:bookmarkStart w:id="28" w:name="engine-specifications"/>
    <w:p>
      <w:pPr>
        <w:pStyle w:val="Heading1"/>
      </w:pPr>
      <w:r>
        <w:t xml:space="preserve">6–14. Engine Specifications</w:t>
      </w:r>
    </w:p>
    <w:p>
      <w:pPr>
        <w:pStyle w:val="FirstParagraph"/>
      </w:pPr>
      <w:r>
        <w:t xml:space="preserve">Each engine shall have:</w:t>
      </w:r>
    </w:p>
    <w:p>
      <w:pPr>
        <w:pStyle w:val="Compact"/>
        <w:numPr>
          <w:ilvl w:val="0"/>
          <w:numId w:val="1004"/>
        </w:numPr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Public interfaces</w:t>
      </w:r>
    </w:p>
    <w:p>
      <w:pPr>
        <w:pStyle w:val="Compact"/>
        <w:numPr>
          <w:ilvl w:val="0"/>
          <w:numId w:val="1004"/>
        </w:numPr>
      </w:pPr>
      <w:r>
        <w:t xml:space="preserve">Inputs</w:t>
      </w:r>
    </w:p>
    <w:p>
      <w:pPr>
        <w:pStyle w:val="Compact"/>
        <w:numPr>
          <w:ilvl w:val="0"/>
          <w:numId w:val="1004"/>
        </w:numPr>
      </w:pPr>
      <w:r>
        <w:t xml:space="preserve">Outputs</w:t>
      </w:r>
    </w:p>
    <w:p>
      <w:pPr>
        <w:pStyle w:val="Compact"/>
        <w:numPr>
          <w:ilvl w:val="0"/>
          <w:numId w:val="1004"/>
        </w:numPr>
      </w:pPr>
      <w:r>
        <w:t xml:space="preserve">Dependencies</w:t>
      </w:r>
    </w:p>
    <w:p>
      <w:pPr>
        <w:pStyle w:val="Compact"/>
        <w:numPr>
          <w:ilvl w:val="0"/>
          <w:numId w:val="1004"/>
        </w:numPr>
      </w:pPr>
      <w:r>
        <w:t xml:space="preserve">Extension points</w:t>
      </w:r>
    </w:p>
    <w:p>
      <w:pPr>
        <w:pStyle w:val="Compact"/>
        <w:numPr>
          <w:ilvl w:val="0"/>
          <w:numId w:val="1004"/>
        </w:numPr>
      </w:pPr>
      <w:r>
        <w:t xml:space="preserve">Testing strategy</w:t>
      </w:r>
    </w:p>
    <w:p>
      <w:pPr>
        <w:pStyle w:val="Compact"/>
        <w:numPr>
          <w:ilvl w:val="0"/>
          <w:numId w:val="1004"/>
        </w:numPr>
      </w:pPr>
      <w:r>
        <w:t xml:space="preserve">Performance targets</w:t>
      </w:r>
    </w:p>
    <w:p>
      <w:r>
        <w:pict>
          <v:rect style="width:0;height:1.5pt" o:hralign="center" o:hrstd="t" o:hr="t"/>
        </w:pict>
      </w:r>
    </w:p>
    <w:bookmarkEnd w:id="28"/>
    <w:bookmarkStart w:id="29" w:name="domain-model"/>
    <w:p>
      <w:pPr>
        <w:pStyle w:val="Heading1"/>
      </w:pPr>
      <w:r>
        <w:t xml:space="preserve">15. Domain Model</w:t>
      </w:r>
    </w:p>
    <w:p>
      <w:pPr>
        <w:pStyle w:val="FirstParagraph"/>
      </w:pPr>
      <w:r>
        <w:t xml:space="preserve">Core objects:</w:t>
      </w:r>
    </w:p>
    <w:p>
      <w:pPr>
        <w:pStyle w:val="Compact"/>
        <w:numPr>
          <w:ilvl w:val="0"/>
          <w:numId w:val="1005"/>
        </w:numPr>
      </w:pPr>
      <w:r>
        <w:t xml:space="preserve">Workspace</w:t>
      </w:r>
    </w:p>
    <w:p>
      <w:pPr>
        <w:pStyle w:val="Compact"/>
        <w:numPr>
          <w:ilvl w:val="0"/>
          <w:numId w:val="1005"/>
        </w:numPr>
      </w:pPr>
      <w:r>
        <w:t xml:space="preserve">Document</w:t>
      </w:r>
    </w:p>
    <w:p>
      <w:pPr>
        <w:pStyle w:val="Compact"/>
        <w:numPr>
          <w:ilvl w:val="0"/>
          <w:numId w:val="1005"/>
        </w:numPr>
      </w:pPr>
      <w:r>
        <w:t xml:space="preserve">ParsedDocument</w:t>
      </w:r>
    </w:p>
    <w:p>
      <w:pPr>
        <w:pStyle w:val="Compact"/>
        <w:numPr>
          <w:ilvl w:val="0"/>
          <w:numId w:val="1005"/>
        </w:numPr>
      </w:pPr>
      <w:r>
        <w:t xml:space="preserve">DocumentNode</w:t>
      </w:r>
    </w:p>
    <w:p>
      <w:pPr>
        <w:pStyle w:val="Compact"/>
        <w:numPr>
          <w:ilvl w:val="0"/>
          <w:numId w:val="1005"/>
        </w:numPr>
      </w:pPr>
      <w:r>
        <w:t xml:space="preserve">Chunk</w:t>
      </w:r>
    </w:p>
    <w:p>
      <w:pPr>
        <w:pStyle w:val="Compact"/>
        <w:numPr>
          <w:ilvl w:val="0"/>
          <w:numId w:val="1005"/>
        </w:numPr>
      </w:pPr>
      <w:r>
        <w:t xml:space="preserve">Evidence</w:t>
      </w:r>
    </w:p>
    <w:p>
      <w:pPr>
        <w:pStyle w:val="Compact"/>
        <w:numPr>
          <w:ilvl w:val="0"/>
          <w:numId w:val="1005"/>
        </w:numPr>
      </w:pPr>
      <w:r>
        <w:t xml:space="preserve">Citation</w:t>
      </w:r>
    </w:p>
    <w:p>
      <w:pPr>
        <w:pStyle w:val="Compact"/>
        <w:numPr>
          <w:ilvl w:val="0"/>
          <w:numId w:val="1005"/>
        </w:numPr>
      </w:pPr>
      <w:r>
        <w:t xml:space="preserve">KnowledgeEntity</w:t>
      </w:r>
    </w:p>
    <w:p>
      <w:pPr>
        <w:pStyle w:val="Compact"/>
        <w:numPr>
          <w:ilvl w:val="0"/>
          <w:numId w:val="1005"/>
        </w:numPr>
      </w:pPr>
      <w:r>
        <w:t xml:space="preserve">MemoryItem</w:t>
      </w:r>
    </w:p>
    <w:p>
      <w:pPr>
        <w:pStyle w:val="FirstParagraph"/>
      </w:pPr>
      <w:r>
        <w:t xml:space="preserve">These objects form Athena’s canonical language.</w:t>
      </w:r>
    </w:p>
    <w:p>
      <w:r>
        <w:pict>
          <v:rect style="width:0;height:1.5pt" o:hralign="center" o:hrstd="t" o:hr="t"/>
        </w:pict>
      </w:r>
    </w:p>
    <w:bookmarkEnd w:id="29"/>
    <w:bookmarkStart w:id="30" w:name="data-flow"/>
    <w:p>
      <w:pPr>
        <w:pStyle w:val="Heading1"/>
      </w:pPr>
      <w:r>
        <w:t xml:space="preserve">16. Data Flow</w:t>
      </w:r>
    </w:p>
    <w:p>
      <w:pPr>
        <w:pStyle w:val="FirstParagraph"/>
      </w:pPr>
      <w:r>
        <w:t xml:space="preserve">Import</w:t>
      </w:r>
      <w:r>
        <w:t xml:space="preserve"> </w:t>
      </w:r>
      <w:r>
        <w:t xml:space="preserve">→ Parse</w:t>
      </w:r>
      <w:r>
        <w:t xml:space="preserve"> </w:t>
      </w:r>
      <w:r>
        <w:t xml:space="preserve">→ Normalize</w:t>
      </w:r>
      <w:r>
        <w:t xml:space="preserve"> </w:t>
      </w:r>
      <w:r>
        <w:t xml:space="preserve">→ Chunk</w:t>
      </w:r>
      <w:r>
        <w:t xml:space="preserve"> </w:t>
      </w:r>
      <w:r>
        <w:t xml:space="preserve">→ Index</w:t>
      </w:r>
      <w:r>
        <w:t xml:space="preserve"> </w:t>
      </w:r>
      <w:r>
        <w:t xml:space="preserve">→ Retrieve</w:t>
      </w:r>
      <w:r>
        <w:t xml:space="preserve"> </w:t>
      </w:r>
      <w:r>
        <w:t xml:space="preserve">→ Rerank</w:t>
      </w:r>
      <w:r>
        <w:t xml:space="preserve"> </w:t>
      </w:r>
      <w:r>
        <w:t xml:space="preserve">→ Select Evidence</w:t>
      </w:r>
      <w:r>
        <w:t xml:space="preserve"> </w:t>
      </w:r>
      <w:r>
        <w:t xml:space="preserve">→ Reason</w:t>
      </w:r>
      <w:r>
        <w:t xml:space="preserve"> </w:t>
      </w:r>
      <w:r>
        <w:t xml:space="preserve">→ Verify</w:t>
      </w:r>
      <w:r>
        <w:t xml:space="preserve"> </w:t>
      </w:r>
      <w:r>
        <w:t xml:space="preserve">→ Respond</w:t>
      </w:r>
    </w:p>
    <w:p>
      <w:r>
        <w:pict>
          <v:rect style="width:0;height:1.5pt" o:hralign="center" o:hrstd="t" o:hr="t"/>
        </w:pict>
      </w:r>
    </w:p>
    <w:bookmarkEnd w:id="30"/>
    <w:bookmarkStart w:id="31" w:name="security-privacy"/>
    <w:p>
      <w:pPr>
        <w:pStyle w:val="Heading1"/>
      </w:pPr>
      <w:r>
        <w:t xml:space="preserve">17. Security &amp; Privacy</w:t>
      </w:r>
    </w:p>
    <w:p>
      <w:pPr>
        <w:pStyle w:val="Compact"/>
        <w:numPr>
          <w:ilvl w:val="0"/>
          <w:numId w:val="1006"/>
        </w:numPr>
      </w:pPr>
      <w:r>
        <w:t xml:space="preserve">Offline by default</w:t>
      </w:r>
    </w:p>
    <w:p>
      <w:pPr>
        <w:pStyle w:val="Compact"/>
        <w:numPr>
          <w:ilvl w:val="0"/>
          <w:numId w:val="1006"/>
        </w:numPr>
      </w:pPr>
      <w:r>
        <w:t xml:space="preserve">No mandatory cloud services</w:t>
      </w:r>
    </w:p>
    <w:p>
      <w:pPr>
        <w:pStyle w:val="Compact"/>
        <w:numPr>
          <w:ilvl w:val="0"/>
          <w:numId w:val="1006"/>
        </w:numPr>
      </w:pPr>
      <w:r>
        <w:t xml:space="preserve">User-controlled exports</w:t>
      </w:r>
    </w:p>
    <w:p>
      <w:pPr>
        <w:pStyle w:val="Compact"/>
        <w:numPr>
          <w:ilvl w:val="0"/>
          <w:numId w:val="1006"/>
        </w:numPr>
      </w:pPr>
      <w:r>
        <w:t xml:space="preserve">Plugin isolation</w:t>
      </w:r>
    </w:p>
    <w:p>
      <w:pPr>
        <w:pStyle w:val="Compact"/>
        <w:numPr>
          <w:ilvl w:val="0"/>
          <w:numId w:val="1006"/>
        </w:numPr>
      </w:pPr>
      <w:r>
        <w:t xml:space="preserve">Open storage formats</w:t>
      </w:r>
    </w:p>
    <w:p>
      <w:r>
        <w:pict>
          <v:rect style="width:0;height:1.5pt" o:hralign="center" o:hrstd="t" o:hr="t"/>
        </w:pict>
      </w:r>
    </w:p>
    <w:bookmarkEnd w:id="31"/>
    <w:bookmarkStart w:id="32" w:name="performance-objectives"/>
    <w:p>
      <w:pPr>
        <w:pStyle w:val="Heading1"/>
      </w:pPr>
      <w:r>
        <w:t xml:space="preserve">18. Performance Objectives</w:t>
      </w:r>
    </w:p>
    <w:p>
      <w:pPr>
        <w:pStyle w:val="Compact"/>
        <w:numPr>
          <w:ilvl w:val="0"/>
          <w:numId w:val="1007"/>
        </w:numPr>
      </w:pPr>
      <w:r>
        <w:t xml:space="preserve">Search latency target: &lt;500 ms for typical workspaces</w:t>
      </w:r>
    </w:p>
    <w:p>
      <w:pPr>
        <w:pStyle w:val="Compact"/>
        <w:numPr>
          <w:ilvl w:val="0"/>
          <w:numId w:val="1007"/>
        </w:numPr>
      </w:pPr>
      <w:r>
        <w:t xml:space="preserve">Incremental indexing</w:t>
      </w:r>
    </w:p>
    <w:p>
      <w:pPr>
        <w:pStyle w:val="Compact"/>
        <w:numPr>
          <w:ilvl w:val="0"/>
          <w:numId w:val="1007"/>
        </w:numPr>
      </w:pPr>
      <w:r>
        <w:t xml:space="preserve">Scalable retrieval architecture</w:t>
      </w:r>
    </w:p>
    <w:p>
      <w:pPr>
        <w:pStyle w:val="Compact"/>
        <w:numPr>
          <w:ilvl w:val="0"/>
          <w:numId w:val="1007"/>
        </w:numPr>
      </w:pPr>
      <w:r>
        <w:t xml:space="preserve">Efficient memory usage</w:t>
      </w:r>
    </w:p>
    <w:p>
      <w:r>
        <w:pict>
          <v:rect style="width:0;height:1.5pt" o:hralign="center" o:hrstd="t" o:hr="t"/>
        </w:pict>
      </w:r>
    </w:p>
    <w:bookmarkEnd w:id="32"/>
    <w:bookmarkStart w:id="33" w:name="engineering-standards"/>
    <w:p>
      <w:pPr>
        <w:pStyle w:val="Heading1"/>
      </w:pPr>
      <w:r>
        <w:t xml:space="preserve">19. Engineering Standards</w:t>
      </w:r>
    </w:p>
    <w:p>
      <w:pPr>
        <w:pStyle w:val="Compact"/>
        <w:numPr>
          <w:ilvl w:val="0"/>
          <w:numId w:val="1008"/>
        </w:numPr>
      </w:pPr>
      <w:r>
        <w:t xml:space="preserve">Dependency Injection</w:t>
      </w:r>
    </w:p>
    <w:p>
      <w:pPr>
        <w:pStyle w:val="Compact"/>
        <w:numPr>
          <w:ilvl w:val="0"/>
          <w:numId w:val="1008"/>
        </w:numPr>
      </w:pPr>
      <w:r>
        <w:t xml:space="preserve">Strong typing</w:t>
      </w:r>
    </w:p>
    <w:p>
      <w:pPr>
        <w:pStyle w:val="Compact"/>
        <w:numPr>
          <w:ilvl w:val="0"/>
          <w:numId w:val="1008"/>
        </w:numPr>
      </w:pPr>
      <w:r>
        <w:t xml:space="preserve">Unit tests</w:t>
      </w:r>
    </w:p>
    <w:p>
      <w:pPr>
        <w:pStyle w:val="Compact"/>
        <w:numPr>
          <w:ilvl w:val="0"/>
          <w:numId w:val="1008"/>
        </w:numPr>
      </w:pPr>
      <w:r>
        <w:t xml:space="preserve">API documentation</w:t>
      </w:r>
    </w:p>
    <w:p>
      <w:pPr>
        <w:pStyle w:val="Compact"/>
        <w:numPr>
          <w:ilvl w:val="0"/>
          <w:numId w:val="1008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08"/>
        </w:numPr>
      </w:pPr>
      <w:r>
        <w:t xml:space="preserve">No business logic in UI</w:t>
      </w:r>
    </w:p>
    <w:p>
      <w:r>
        <w:pict>
          <v:rect style="width:0;height:1.5pt" o:hralign="center" o:hrstd="t" o:hr="t"/>
        </w:pict>
      </w:r>
    </w:p>
    <w:bookmarkEnd w:id="33"/>
    <w:bookmarkStart w:id="34" w:name="quality-gates"/>
    <w:p>
      <w:pPr>
        <w:pStyle w:val="Heading1"/>
      </w:pPr>
      <w:r>
        <w:t xml:space="preserve">20. Quality Gates</w:t>
      </w:r>
    </w:p>
    <w:p>
      <w:pPr>
        <w:pStyle w:val="FirstParagraph"/>
      </w:pPr>
      <w:r>
        <w:t xml:space="preserve">No milestone is complete until:</w:t>
      </w:r>
    </w:p>
    <w:p>
      <w:pPr>
        <w:pStyle w:val="Compact"/>
        <w:numPr>
          <w:ilvl w:val="0"/>
          <w:numId w:val="1009"/>
        </w:numPr>
      </w:pPr>
      <w:r>
        <w:t xml:space="preserve">Tests pass</w:t>
      </w:r>
    </w:p>
    <w:p>
      <w:pPr>
        <w:pStyle w:val="Compact"/>
        <w:numPr>
          <w:ilvl w:val="0"/>
          <w:numId w:val="1009"/>
        </w:numPr>
      </w:pPr>
      <w:r>
        <w:t xml:space="preserve">Lint passes</w:t>
      </w:r>
    </w:p>
    <w:p>
      <w:pPr>
        <w:pStyle w:val="Compact"/>
        <w:numPr>
          <w:ilvl w:val="0"/>
          <w:numId w:val="1009"/>
        </w:numPr>
      </w:pPr>
      <w:r>
        <w:t xml:space="preserve">Type checking passes</w:t>
      </w:r>
    </w:p>
    <w:p>
      <w:pPr>
        <w:pStyle w:val="Compact"/>
        <w:numPr>
          <w:ilvl w:val="0"/>
          <w:numId w:val="1009"/>
        </w:numPr>
      </w:pPr>
      <w:r>
        <w:t xml:space="preserve">Documentation updated</w:t>
      </w:r>
    </w:p>
    <w:p>
      <w:pPr>
        <w:pStyle w:val="Compact"/>
        <w:numPr>
          <w:ilvl w:val="0"/>
          <w:numId w:val="1009"/>
        </w:numPr>
      </w:pPr>
      <w:r>
        <w:t xml:space="preserve">Benchmarks reviewed</w:t>
      </w:r>
    </w:p>
    <w:p>
      <w:r>
        <w:pict>
          <v:rect style="width:0;height:1.5pt" o:hralign="center" o:hrstd="t" o:hr="t"/>
        </w:pict>
      </w:r>
    </w:p>
    <w:bookmarkEnd w:id="34"/>
    <w:bookmarkStart w:id="35" w:name="roadmap"/>
    <w:p>
      <w:pPr>
        <w:pStyle w:val="Heading1"/>
      </w:pPr>
      <w:r>
        <w:t xml:space="preserve">21. Roadmap</w:t>
      </w:r>
    </w:p>
    <w:p>
      <w:pPr>
        <w:pStyle w:val="FirstParagraph"/>
      </w:pPr>
      <w:r>
        <w:t xml:space="preserve">M1 Architecture Foundation</w:t>
      </w:r>
    </w:p>
    <w:p>
      <w:pPr>
        <w:pStyle w:val="BodyText"/>
      </w:pPr>
      <w:r>
        <w:t xml:space="preserve">M2 Retrieval Foundation</w:t>
      </w:r>
    </w:p>
    <w:p>
      <w:pPr>
        <w:pStyle w:val="BodyText"/>
      </w:pPr>
      <w:r>
        <w:t xml:space="preserve">M3 Hybrid Retrieval</w:t>
      </w:r>
    </w:p>
    <w:p>
      <w:pPr>
        <w:pStyle w:val="BodyText"/>
      </w:pPr>
      <w:r>
        <w:t xml:space="preserve">M4 Retrieval Intelligence</w:t>
      </w:r>
    </w:p>
    <w:p>
      <w:pPr>
        <w:pStyle w:val="BodyText"/>
      </w:pPr>
      <w:r>
        <w:t xml:space="preserve">M5 Knowledge Intelligence</w:t>
      </w:r>
    </w:p>
    <w:p>
      <w:pPr>
        <w:pStyle w:val="BodyText"/>
      </w:pPr>
      <w:r>
        <w:t xml:space="preserve">M6 Personal Memory</w:t>
      </w:r>
    </w:p>
    <w:p>
      <w:r>
        <w:pict>
          <v:rect style="width:0;height:1.5pt" o:hralign="center" o:hrstd="t" o:hr="t"/>
        </w:pict>
      </w:r>
    </w:p>
    <w:bookmarkEnd w:id="35"/>
    <w:bookmarkStart w:id="36" w:name="appendix"/>
    <w:p>
      <w:pPr>
        <w:pStyle w:val="Heading1"/>
      </w:pPr>
      <w:r>
        <w:t xml:space="preserve">22. Appendix</w:t>
      </w:r>
    </w:p>
    <w:p>
      <w:pPr>
        <w:pStyle w:val="FirstParagraph"/>
      </w:pPr>
      <w:r>
        <w:t xml:space="preserve">Reserved for diagrams, glossary, references, and architectural decision mappings.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2026-07-22T02:09:09Z</dcterms:created>
  <dcterms:modified xsi:type="dcterms:W3CDTF">2026-07-22T02:09:09Z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