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hena-documentation-suite"/>
    <w:p>
      <w:pPr>
        <w:pStyle w:val="Heading1"/>
      </w:pPr>
      <w:r>
        <w:t xml:space="preserve">Athena Documentation Suite</w:t>
      </w:r>
    </w:p>
    <w:bookmarkEnd w:id="20"/>
    <w:bookmarkStart w:id="21" w:name="volume-3"/>
    <w:p>
      <w:pPr>
        <w:pStyle w:val="Heading1"/>
      </w:pPr>
      <w:r>
        <w:t xml:space="preserve">Volume 3</w:t>
      </w:r>
    </w:p>
    <w:bookmarkEnd w:id="21"/>
    <w:bookmarkStart w:id="23" w:name="document-object-model-dom-specification"/>
    <w:p>
      <w:pPr>
        <w:pStyle w:val="Heading1"/>
      </w:pPr>
      <w:r>
        <w:t xml:space="preserve">Document Object Model (DOM) Specification</w:t>
      </w:r>
    </w:p>
    <w:bookmarkStart w:id="22" w:name="version-1.0-draft"/>
    <w:p>
      <w:pPr>
        <w:pStyle w:val="Heading2"/>
      </w:pPr>
      <w:r>
        <w:t xml:space="preserve">Version 1.0 – Draft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Athena Document Object Model (DOM) defines the canonical internal</w:t>
      </w:r>
      <w:r>
        <w:t xml:space="preserve"> </w:t>
      </w:r>
      <w:r>
        <w:t xml:space="preserve">representation of every document imported into Athena.</w:t>
      </w:r>
    </w:p>
    <w:p>
      <w:pPr>
        <w:pStyle w:val="BodyText"/>
      </w:pPr>
      <w:r>
        <w:t xml:space="preserve">Regardless of whether the source is PDF, Markdown, DOCX, HTML, plain text,</w:t>
      </w:r>
      <w:r>
        <w:t xml:space="preserve"> </w:t>
      </w:r>
      <w:r>
        <w:t xml:space="preserve">or future formats, every importer SHALL produce the same logical document tree.</w:t>
      </w:r>
    </w:p>
    <w:p>
      <w:r>
        <w:pict>
          <v:rect style="width:0;height:1.5pt" o:hralign="center" o:hrstd="t" o:hr="t"/>
        </w:pict>
      </w:r>
    </w:p>
    <w:bookmarkEnd w:id="24"/>
    <w:bookmarkStart w:id="25" w:name="goals"/>
    <w:p>
      <w:pPr>
        <w:pStyle w:val="Heading1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One canonical representation</w:t>
      </w:r>
    </w:p>
    <w:p>
      <w:pPr>
        <w:pStyle w:val="Compact"/>
        <w:numPr>
          <w:ilvl w:val="0"/>
          <w:numId w:val="1001"/>
        </w:numPr>
      </w:pPr>
      <w:r>
        <w:t xml:space="preserve">Format-independent processing</w:t>
      </w:r>
    </w:p>
    <w:p>
      <w:pPr>
        <w:pStyle w:val="Compact"/>
        <w:numPr>
          <w:ilvl w:val="0"/>
          <w:numId w:val="1001"/>
        </w:numPr>
      </w:pPr>
      <w:r>
        <w:t xml:space="preserve">Semantic preservation</w:t>
      </w:r>
    </w:p>
    <w:p>
      <w:pPr>
        <w:pStyle w:val="Compact"/>
        <w:numPr>
          <w:ilvl w:val="0"/>
          <w:numId w:val="1001"/>
        </w:numPr>
      </w:pPr>
      <w:r>
        <w:t xml:space="preserve">Stable APIs</w:t>
      </w:r>
    </w:p>
    <w:p>
      <w:pPr>
        <w:pStyle w:val="Compact"/>
        <w:numPr>
          <w:ilvl w:val="0"/>
          <w:numId w:val="1001"/>
        </w:numPr>
      </w:pPr>
      <w:r>
        <w:t xml:space="preserve">Extensible node hierarchy</w:t>
      </w:r>
    </w:p>
    <w:p>
      <w:r>
        <w:pict>
          <v:rect style="width:0;height:1.5pt" o:hralign="center" o:hrstd="t" o:hr="t"/>
        </w:pict>
      </w:r>
    </w:p>
    <w:bookmarkEnd w:id="25"/>
    <w:bookmarkStart w:id="26" w:name="architecture"/>
    <w:p>
      <w:pPr>
        <w:pStyle w:val="Heading1"/>
      </w:pPr>
      <w:r>
        <w:t xml:space="preserve">Architecture</w:t>
      </w:r>
    </w:p>
    <w:p>
      <w:pPr>
        <w:pStyle w:val="FirstParagraph"/>
      </w:pPr>
      <w:r>
        <w:t xml:space="preserve">Importer</w:t>
      </w:r>
      <w:r>
        <w:t xml:space="preserve"> </w:t>
      </w:r>
      <w:r>
        <w:t xml:space="preserve">→ Parser</w:t>
      </w:r>
      <w:r>
        <w:t xml:space="preserve"> </w:t>
      </w:r>
      <w:r>
        <w:t xml:space="preserve">→ Normalizer</w:t>
      </w:r>
      <w:r>
        <w:t xml:space="preserve"> </w:t>
      </w:r>
      <w:r>
        <w:t xml:space="preserve">→ Athena DOM</w:t>
      </w:r>
      <w:r>
        <w:t xml:space="preserve"> </w:t>
      </w:r>
      <w:r>
        <w:t xml:space="preserve">→ Chunking</w:t>
      </w:r>
      <w:r>
        <w:t xml:space="preserve"> </w:t>
      </w:r>
      <w:r>
        <w:t xml:space="preserve">→ Indexing</w:t>
      </w:r>
      <w:r>
        <w:t xml:space="preserve"> </w:t>
      </w:r>
      <w:r>
        <w:t xml:space="preserve">→ Retrieval</w:t>
      </w:r>
    </w:p>
    <w:p>
      <w:r>
        <w:pict>
          <v:rect style="width:0;height:1.5pt" o:hralign="center" o:hrstd="t" o:hr="t"/>
        </w:pict>
      </w:r>
    </w:p>
    <w:bookmarkEnd w:id="26"/>
    <w:bookmarkStart w:id="29" w:name="core-objects"/>
    <w:p>
      <w:pPr>
        <w:pStyle w:val="Heading1"/>
      </w:pPr>
      <w:r>
        <w:t xml:space="preserve">Core Objects</w:t>
      </w:r>
    </w:p>
    <w:bookmarkStart w:id="27" w:name="document"/>
    <w:p>
      <w:pPr>
        <w:pStyle w:val="Heading2"/>
      </w:pPr>
      <w:r>
        <w:t xml:space="preserve">Document</w:t>
      </w:r>
    </w:p>
    <w:p>
      <w:pPr>
        <w:pStyle w:val="FirstParagraph"/>
      </w:pPr>
      <w:r>
        <w:t xml:space="preserve">Represents the imported artifact.</w:t>
      </w:r>
    </w:p>
    <w:p>
      <w:pPr>
        <w:pStyle w:val="BodyText"/>
      </w:pPr>
      <w:r>
        <w:t xml:space="preserve">Suggested fields:</w:t>
      </w:r>
    </w:p>
    <w:p>
      <w:pPr>
        <w:pStyle w:val="Compact"/>
        <w:numPr>
          <w:ilvl w:val="0"/>
          <w:numId w:val="1002"/>
        </w:numPr>
      </w:pPr>
      <w:r>
        <w:t xml:space="preserve">id</w:t>
      </w:r>
    </w:p>
    <w:p>
      <w:pPr>
        <w:pStyle w:val="Compact"/>
        <w:numPr>
          <w:ilvl w:val="0"/>
          <w:numId w:val="1002"/>
        </w:numPr>
      </w:pPr>
      <w:r>
        <w:t xml:space="preserve">workspace_id</w:t>
      </w:r>
    </w:p>
    <w:p>
      <w:pPr>
        <w:pStyle w:val="Compact"/>
        <w:numPr>
          <w:ilvl w:val="0"/>
          <w:numId w:val="1002"/>
        </w:numPr>
      </w:pPr>
      <w:r>
        <w:t xml:space="preserve">filename</w:t>
      </w:r>
    </w:p>
    <w:p>
      <w:pPr>
        <w:pStyle w:val="Compact"/>
        <w:numPr>
          <w:ilvl w:val="0"/>
          <w:numId w:val="1002"/>
        </w:numPr>
      </w:pPr>
      <w:r>
        <w:t xml:space="preserve">source_uri</w:t>
      </w:r>
    </w:p>
    <w:p>
      <w:pPr>
        <w:pStyle w:val="Compact"/>
        <w:numPr>
          <w:ilvl w:val="0"/>
          <w:numId w:val="1002"/>
        </w:numPr>
      </w:pPr>
      <w:r>
        <w:t xml:space="preserve">mime_type</w:t>
      </w:r>
    </w:p>
    <w:p>
      <w:pPr>
        <w:pStyle w:val="Compact"/>
        <w:numPr>
          <w:ilvl w:val="0"/>
          <w:numId w:val="1002"/>
        </w:numPr>
      </w:pPr>
      <w:r>
        <w:t xml:space="preserve">checksum</w:t>
      </w:r>
    </w:p>
    <w:p>
      <w:pPr>
        <w:pStyle w:val="Compact"/>
        <w:numPr>
          <w:ilvl w:val="0"/>
          <w:numId w:val="1002"/>
        </w:numPr>
      </w:pPr>
      <w:r>
        <w:t xml:space="preserve">created_at</w:t>
      </w:r>
    </w:p>
    <w:p>
      <w:pPr>
        <w:pStyle w:val="Compact"/>
        <w:numPr>
          <w:ilvl w:val="0"/>
          <w:numId w:val="1002"/>
        </w:numPr>
      </w:pPr>
      <w:r>
        <w:t xml:space="preserve">modified_at</w:t>
      </w:r>
    </w:p>
    <w:p>
      <w:pPr>
        <w:pStyle w:val="Compact"/>
        <w:numPr>
          <w:ilvl w:val="0"/>
          <w:numId w:val="1002"/>
        </w:numPr>
      </w:pPr>
      <w:r>
        <w:t xml:space="preserve">imported_at</w:t>
      </w:r>
    </w:p>
    <w:p>
      <w:r>
        <w:pict>
          <v:rect style="width:0;height:1.5pt" o:hralign="center" o:hrstd="t" o:hr="t"/>
        </w:pict>
      </w:r>
    </w:p>
    <w:bookmarkEnd w:id="27"/>
    <w:bookmarkStart w:id="28" w:name="parseddocument"/>
    <w:p>
      <w:pPr>
        <w:pStyle w:val="Heading2"/>
      </w:pPr>
      <w:r>
        <w:t xml:space="preserve">ParsedDocument</w:t>
      </w:r>
    </w:p>
    <w:p>
      <w:pPr>
        <w:pStyle w:val="FirstParagraph"/>
      </w:pPr>
      <w:r>
        <w:t xml:space="preserve">Represents the normalized document.</w:t>
      </w:r>
    </w:p>
    <w:p>
      <w:pPr>
        <w:pStyle w:val="BodyText"/>
      </w:pP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metadata</w:t>
      </w:r>
    </w:p>
    <w:p>
      <w:pPr>
        <w:pStyle w:val="Compact"/>
        <w:numPr>
          <w:ilvl w:val="0"/>
          <w:numId w:val="1003"/>
        </w:numPr>
      </w:pPr>
      <w:r>
        <w:t xml:space="preserve">root_node</w:t>
      </w:r>
    </w:p>
    <w:p>
      <w:pPr>
        <w:pStyle w:val="Compact"/>
        <w:numPr>
          <w:ilvl w:val="0"/>
          <w:numId w:val="1003"/>
        </w:numPr>
      </w:pPr>
      <w:r>
        <w:t xml:space="preserve">page_count</w:t>
      </w:r>
    </w:p>
    <w:p>
      <w:pPr>
        <w:pStyle w:val="Compact"/>
        <w:numPr>
          <w:ilvl w:val="0"/>
          <w:numId w:val="1003"/>
        </w:numPr>
      </w:pPr>
      <w:r>
        <w:t xml:space="preserve">language</w:t>
      </w:r>
    </w:p>
    <w:p>
      <w:pPr>
        <w:pStyle w:val="Compact"/>
        <w:numPr>
          <w:ilvl w:val="0"/>
          <w:numId w:val="1003"/>
        </w:numPr>
      </w:pPr>
      <w:r>
        <w:t xml:space="preserve">statistics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ocumentnode-abstract"/>
    <w:p>
      <w:pPr>
        <w:pStyle w:val="Heading1"/>
      </w:pPr>
      <w:r>
        <w:t xml:space="preserve">DocumentNode (Abstract)</w:t>
      </w:r>
    </w:p>
    <w:p>
      <w:pPr>
        <w:pStyle w:val="FirstParagraph"/>
      </w:pPr>
      <w:r>
        <w:t xml:space="preserve">All structural elements inherit from DocumentNode.</w:t>
      </w:r>
    </w:p>
    <w:p>
      <w:pPr>
        <w:pStyle w:val="BodyText"/>
      </w:pPr>
      <w:r>
        <w:t xml:space="preserve">Common properties: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parent</w:t>
      </w:r>
    </w:p>
    <w:p>
      <w:pPr>
        <w:pStyle w:val="Compact"/>
        <w:numPr>
          <w:ilvl w:val="0"/>
          <w:numId w:val="1004"/>
        </w:numPr>
      </w:pPr>
      <w:r>
        <w:t xml:space="preserve">children</w:t>
      </w:r>
    </w:p>
    <w:p>
      <w:pPr>
        <w:pStyle w:val="Compact"/>
        <w:numPr>
          <w:ilvl w:val="0"/>
          <w:numId w:val="1004"/>
        </w:numPr>
      </w:pPr>
      <w:r>
        <w:t xml:space="preserve">page_range</w:t>
      </w:r>
    </w:p>
    <w:p>
      <w:pPr>
        <w:pStyle w:val="Compact"/>
        <w:numPr>
          <w:ilvl w:val="0"/>
          <w:numId w:val="1004"/>
        </w:numPr>
      </w:pPr>
      <w:r>
        <w:t xml:space="preserve">position</w:t>
      </w:r>
    </w:p>
    <w:p>
      <w:pPr>
        <w:pStyle w:val="Compact"/>
        <w:numPr>
          <w:ilvl w:val="0"/>
          <w:numId w:val="1004"/>
        </w:numPr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30"/>
    <w:bookmarkStart w:id="31" w:name="standard-node-types"/>
    <w:p>
      <w:pPr>
        <w:pStyle w:val="Heading1"/>
      </w:pPr>
      <w:r>
        <w:t xml:space="preserve">Standard Node Types</w:t>
      </w:r>
    </w:p>
    <w:p>
      <w:pPr>
        <w:pStyle w:val="Compact"/>
        <w:numPr>
          <w:ilvl w:val="0"/>
          <w:numId w:val="1005"/>
        </w:numPr>
      </w:pPr>
      <w:r>
        <w:t xml:space="preserve">HeadingNode</w:t>
      </w:r>
    </w:p>
    <w:p>
      <w:pPr>
        <w:pStyle w:val="Compact"/>
        <w:numPr>
          <w:ilvl w:val="0"/>
          <w:numId w:val="1005"/>
        </w:numPr>
      </w:pPr>
      <w:r>
        <w:t xml:space="preserve">ParagraphNode</w:t>
      </w:r>
    </w:p>
    <w:p>
      <w:pPr>
        <w:pStyle w:val="Compact"/>
        <w:numPr>
          <w:ilvl w:val="0"/>
          <w:numId w:val="1005"/>
        </w:numPr>
      </w:pPr>
      <w:r>
        <w:t xml:space="preserve">ListNode</w:t>
      </w:r>
    </w:p>
    <w:p>
      <w:pPr>
        <w:pStyle w:val="Compact"/>
        <w:numPr>
          <w:ilvl w:val="0"/>
          <w:numId w:val="1005"/>
        </w:numPr>
      </w:pPr>
      <w:r>
        <w:t xml:space="preserve">TableNode</w:t>
      </w:r>
    </w:p>
    <w:p>
      <w:pPr>
        <w:pStyle w:val="Compact"/>
        <w:numPr>
          <w:ilvl w:val="0"/>
          <w:numId w:val="1005"/>
        </w:numPr>
      </w:pPr>
      <w:r>
        <w:t xml:space="preserve">TableRowNode</w:t>
      </w:r>
    </w:p>
    <w:p>
      <w:pPr>
        <w:pStyle w:val="Compact"/>
        <w:numPr>
          <w:ilvl w:val="0"/>
          <w:numId w:val="1005"/>
        </w:numPr>
      </w:pPr>
      <w:r>
        <w:t xml:space="preserve">TableCellNode</w:t>
      </w:r>
    </w:p>
    <w:p>
      <w:pPr>
        <w:pStyle w:val="Compact"/>
        <w:numPr>
          <w:ilvl w:val="0"/>
          <w:numId w:val="1005"/>
        </w:numPr>
      </w:pPr>
      <w:r>
        <w:t xml:space="preserve">QuoteNode</w:t>
      </w:r>
    </w:p>
    <w:p>
      <w:pPr>
        <w:pStyle w:val="Compact"/>
        <w:numPr>
          <w:ilvl w:val="0"/>
          <w:numId w:val="1005"/>
        </w:numPr>
      </w:pPr>
      <w:r>
        <w:t xml:space="preserve">CodeBlockNode</w:t>
      </w:r>
    </w:p>
    <w:p>
      <w:pPr>
        <w:pStyle w:val="Compact"/>
        <w:numPr>
          <w:ilvl w:val="0"/>
          <w:numId w:val="1005"/>
        </w:numPr>
      </w:pPr>
      <w:r>
        <w:t xml:space="preserve">ImageNode</w:t>
      </w:r>
    </w:p>
    <w:p>
      <w:pPr>
        <w:pStyle w:val="Compact"/>
        <w:numPr>
          <w:ilvl w:val="0"/>
          <w:numId w:val="1005"/>
        </w:numPr>
      </w:pPr>
      <w:r>
        <w:t xml:space="preserve">FigureNode</w:t>
      </w:r>
    </w:p>
    <w:p>
      <w:pPr>
        <w:pStyle w:val="Compact"/>
        <w:numPr>
          <w:ilvl w:val="0"/>
          <w:numId w:val="1005"/>
        </w:numPr>
      </w:pPr>
      <w:r>
        <w:t xml:space="preserve">CaptionNode</w:t>
      </w:r>
    </w:p>
    <w:p>
      <w:pPr>
        <w:pStyle w:val="Compact"/>
        <w:numPr>
          <w:ilvl w:val="0"/>
          <w:numId w:val="1005"/>
        </w:numPr>
      </w:pPr>
      <w:r>
        <w:t xml:space="preserve">FootnoteNode</w:t>
      </w:r>
    </w:p>
    <w:p>
      <w:pPr>
        <w:pStyle w:val="Compact"/>
        <w:numPr>
          <w:ilvl w:val="0"/>
          <w:numId w:val="1005"/>
        </w:numPr>
      </w:pPr>
      <w:r>
        <w:t xml:space="preserve">EquationNode</w:t>
      </w:r>
    </w:p>
    <w:p>
      <w:pPr>
        <w:pStyle w:val="Compact"/>
        <w:numPr>
          <w:ilvl w:val="0"/>
          <w:numId w:val="1005"/>
        </w:numPr>
      </w:pPr>
      <w:r>
        <w:t xml:space="preserve">ReferenceNode</w:t>
      </w:r>
    </w:p>
    <w:p>
      <w:pPr>
        <w:pStyle w:val="Compact"/>
        <w:numPr>
          <w:ilvl w:val="0"/>
          <w:numId w:val="1005"/>
        </w:numPr>
      </w:pPr>
      <w:r>
        <w:t xml:space="preserve">HorizontalRuleNode</w:t>
      </w:r>
    </w:p>
    <w:p>
      <w:pPr>
        <w:pStyle w:val="FirstParagraph"/>
      </w:pPr>
      <w:r>
        <w:t xml:space="preserve">Future plugins may define additional node types.</w:t>
      </w:r>
    </w:p>
    <w:p>
      <w:r>
        <w:pict>
          <v:rect style="width:0;height:1.5pt" o:hralign="center" o:hrstd="t" o:hr="t"/>
        </w:pict>
      </w:r>
    </w:p>
    <w:bookmarkEnd w:id="31"/>
    <w:bookmarkStart w:id="32" w:name="traversal"/>
    <w:p>
      <w:pPr>
        <w:pStyle w:val="Heading1"/>
      </w:pPr>
      <w:r>
        <w:t xml:space="preserve">Traversal</w:t>
      </w:r>
    </w:p>
    <w:p>
      <w:pPr>
        <w:pStyle w:val="FirstParagraph"/>
      </w:pPr>
      <w:r>
        <w:t xml:space="preserve">The DOM supports:</w:t>
      </w:r>
    </w:p>
    <w:p>
      <w:pPr>
        <w:pStyle w:val="Compact"/>
        <w:numPr>
          <w:ilvl w:val="0"/>
          <w:numId w:val="1006"/>
        </w:numPr>
      </w:pPr>
      <w:r>
        <w:t xml:space="preserve">Depth-first traversal</w:t>
      </w:r>
    </w:p>
    <w:p>
      <w:pPr>
        <w:pStyle w:val="Compact"/>
        <w:numPr>
          <w:ilvl w:val="0"/>
          <w:numId w:val="1006"/>
        </w:numPr>
      </w:pPr>
      <w:r>
        <w:t xml:space="preserve">Breadth-first traversal</w:t>
      </w:r>
    </w:p>
    <w:p>
      <w:pPr>
        <w:pStyle w:val="Compact"/>
        <w:numPr>
          <w:ilvl w:val="0"/>
          <w:numId w:val="1006"/>
        </w:numPr>
      </w:pPr>
      <w:r>
        <w:t xml:space="preserve">Parent lookup</w:t>
      </w:r>
    </w:p>
    <w:p>
      <w:pPr>
        <w:pStyle w:val="Compact"/>
        <w:numPr>
          <w:ilvl w:val="0"/>
          <w:numId w:val="1006"/>
        </w:numPr>
      </w:pPr>
      <w:r>
        <w:t xml:space="preserve">Child lookup</w:t>
      </w:r>
    </w:p>
    <w:p>
      <w:pPr>
        <w:pStyle w:val="Compact"/>
        <w:numPr>
          <w:ilvl w:val="0"/>
          <w:numId w:val="1006"/>
        </w:numPr>
      </w:pPr>
      <w:r>
        <w:t xml:space="preserve">Ancestor lookup</w:t>
      </w:r>
    </w:p>
    <w:p>
      <w:pPr>
        <w:pStyle w:val="Compact"/>
        <w:numPr>
          <w:ilvl w:val="0"/>
          <w:numId w:val="1006"/>
        </w:numPr>
      </w:pPr>
      <w:r>
        <w:t xml:space="preserve">Descendant lookup</w:t>
      </w:r>
    </w:p>
    <w:p>
      <w:r>
        <w:pict>
          <v:rect style="width:0;height:1.5pt" o:hralign="center" o:hrstd="t" o:hr="t"/>
        </w:pict>
      </w:r>
    </w:p>
    <w:bookmarkEnd w:id="32"/>
    <w:bookmarkStart w:id="33" w:name="chunking-rules"/>
    <w:p>
      <w:pPr>
        <w:pStyle w:val="Heading1"/>
      </w:pPr>
      <w:r>
        <w:t xml:space="preserve">Chunking Rules</w:t>
      </w:r>
    </w:p>
    <w:p>
      <w:pPr>
        <w:pStyle w:val="FirstParagraph"/>
      </w:pPr>
      <w:r>
        <w:t xml:space="preserve">Chunkers SHALL operate on DocumentNode objects rather than raw text.</w:t>
      </w:r>
    </w:p>
    <w:p>
      <w:pPr>
        <w:pStyle w:val="BodyText"/>
      </w:pPr>
      <w:r>
        <w:t xml:space="preserve">Semantic boundaries should take precedence over fixed sizes.</w:t>
      </w:r>
    </w:p>
    <w:p>
      <w:r>
        <w:pict>
          <v:rect style="width:0;height:1.5pt" o:hralign="center" o:hrstd="t" o:hr="t"/>
        </w:pict>
      </w:r>
    </w:p>
    <w:bookmarkEnd w:id="33"/>
    <w:bookmarkStart w:id="34" w:name="metadata"/>
    <w:p>
      <w:pPr>
        <w:pStyle w:val="Heading1"/>
      </w:pPr>
      <w:r>
        <w:t xml:space="preserve">Metadata</w:t>
      </w:r>
    </w:p>
    <w:p>
      <w:pPr>
        <w:pStyle w:val="FirstParagraph"/>
      </w:pPr>
      <w:r>
        <w:t xml:space="preserve">Each node may include:</w:t>
      </w:r>
    </w:p>
    <w:p>
      <w:pPr>
        <w:pStyle w:val="Compact"/>
        <w:numPr>
          <w:ilvl w:val="0"/>
          <w:numId w:val="1007"/>
        </w:numPr>
      </w:pPr>
      <w:r>
        <w:t xml:space="preserve">page</w:t>
      </w:r>
    </w:p>
    <w:p>
      <w:pPr>
        <w:pStyle w:val="Compact"/>
        <w:numPr>
          <w:ilvl w:val="0"/>
          <w:numId w:val="1007"/>
        </w:numPr>
      </w:pPr>
      <w:r>
        <w:t xml:space="preserve">heading path</w:t>
      </w:r>
    </w:p>
    <w:p>
      <w:pPr>
        <w:pStyle w:val="Compact"/>
        <w:numPr>
          <w:ilvl w:val="0"/>
          <w:numId w:val="1007"/>
        </w:numPr>
      </w:pPr>
      <w:r>
        <w:t xml:space="preserve">language</w:t>
      </w:r>
    </w:p>
    <w:p>
      <w:pPr>
        <w:pStyle w:val="Compact"/>
        <w:numPr>
          <w:ilvl w:val="0"/>
          <w:numId w:val="1007"/>
        </w:numPr>
      </w:pPr>
      <w:r>
        <w:t xml:space="preserve">style</w:t>
      </w:r>
    </w:p>
    <w:p>
      <w:pPr>
        <w:pStyle w:val="Compact"/>
        <w:numPr>
          <w:ilvl w:val="0"/>
          <w:numId w:val="1007"/>
        </w:numPr>
      </w:pPr>
      <w:r>
        <w:t xml:space="preserve">source offsets</w:t>
      </w:r>
    </w:p>
    <w:p>
      <w:pPr>
        <w:pStyle w:val="Compact"/>
        <w:numPr>
          <w:ilvl w:val="0"/>
          <w:numId w:val="1007"/>
        </w:numPr>
      </w:pPr>
      <w:r>
        <w:t xml:space="preserve">parser annotations</w:t>
      </w:r>
    </w:p>
    <w:p>
      <w:r>
        <w:pict>
          <v:rect style="width:0;height:1.5pt" o:hralign="center" o:hrstd="t" o:hr="t"/>
        </w:pict>
      </w:r>
    </w:p>
    <w:bookmarkEnd w:id="34"/>
    <w:bookmarkStart w:id="35" w:name="extension-rules"/>
    <w:p>
      <w:pPr>
        <w:pStyle w:val="Heading1"/>
      </w:pPr>
      <w:r>
        <w:t xml:space="preserve">Extension Rules</w:t>
      </w:r>
    </w:p>
    <w:p>
      <w:pPr>
        <w:pStyle w:val="FirstParagraph"/>
      </w:pPr>
      <w:r>
        <w:t xml:space="preserve">New document formats SHALL extend importers and parsers without changing</w:t>
      </w:r>
      <w:r>
        <w:t xml:space="preserve"> </w:t>
      </w:r>
      <w:r>
        <w:t xml:space="preserve">the DOM contract.</w:t>
      </w:r>
    </w:p>
    <w:p>
      <w:r>
        <w:pict>
          <v:rect style="width:0;height:1.5pt" o:hralign="center" o:hrstd="t" o:hr="t"/>
        </w:pict>
      </w:r>
    </w:p>
    <w:bookmarkEnd w:id="35"/>
    <w:bookmarkStart w:id="36" w:name="versioning"/>
    <w:p>
      <w:pPr>
        <w:pStyle w:val="Heading1"/>
      </w:pPr>
      <w:r>
        <w:t xml:space="preserve">Versioning</w:t>
      </w:r>
    </w:p>
    <w:p>
      <w:pPr>
        <w:pStyle w:val="FirstParagraph"/>
      </w:pPr>
      <w:r>
        <w:t xml:space="preserve">Breaking changes require:</w:t>
      </w:r>
    </w:p>
    <w:p>
      <w:pPr>
        <w:pStyle w:val="Compact"/>
        <w:numPr>
          <w:ilvl w:val="0"/>
          <w:numId w:val="1008"/>
        </w:numPr>
      </w:pPr>
      <w:r>
        <w:t xml:space="preserve">ADR</w:t>
      </w:r>
    </w:p>
    <w:p>
      <w:pPr>
        <w:pStyle w:val="Compact"/>
        <w:numPr>
          <w:ilvl w:val="0"/>
          <w:numId w:val="1008"/>
        </w:numPr>
      </w:pPr>
      <w:r>
        <w:t xml:space="preserve">Major version increment</w:t>
      </w:r>
    </w:p>
    <w:p>
      <w:pPr>
        <w:pStyle w:val="Compact"/>
        <w:numPr>
          <w:ilvl w:val="0"/>
          <w:numId w:val="1008"/>
        </w:numPr>
      </w:pPr>
      <w:r>
        <w:t xml:space="preserve">Migration guidance</w:t>
      </w:r>
    </w:p>
    <w:p>
      <w:r>
        <w:pict>
          <v:rect style="width:0;height:1.5pt" o:hralign="center" o:hrstd="t" o:hr="t"/>
        </w:pict>
      </w:r>
    </w:p>
    <w:bookmarkEnd w:id="36"/>
    <w:bookmarkStart w:id="37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DOM is considered stable when every supported importer produces</w:t>
      </w:r>
      <w:r>
        <w:t xml:space="preserve"> </w:t>
      </w:r>
      <w:r>
        <w:t xml:space="preserve">a consistent tree that downstream engines can consume without</w:t>
      </w:r>
      <w:r>
        <w:t xml:space="preserve"> </w:t>
      </w:r>
      <w:r>
        <w:t xml:space="preserve">format-specific logic.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2026-07-22T02:09:47Z</dcterms:created>
  <dcterms:modified xsi:type="dcterms:W3CDTF">2026-07-22T02:09:47Z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