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P="246B11B2" w14:paraId="502CEA7B" wp14:textId="77777777" wp14:noSpellErr="1">
      <w:pPr>
        <w:pStyle w:val="Heading1"/>
        <w:jc w:val="both"/>
        <w:rPr>
          <w:rFonts w:ascii="Calibri" w:hAnsi="Calibri" w:eastAsia="Calibri" w:cs="Calibri" w:asciiTheme="majorAscii" w:hAnsiTheme="majorAscii" w:eastAsiaTheme="majorAscii" w:cstheme="majorAscii"/>
          <w:sz w:val="52"/>
          <w:szCs w:val="52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  <w:sz w:val="52"/>
          <w:szCs w:val="52"/>
        </w:rPr>
        <w:t xml:space="preserve">Test Summary Report – 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  <w:sz w:val="52"/>
          <w:szCs w:val="52"/>
        </w:rPr>
        <w:t>ParaBank</w:t>
      </w:r>
    </w:p>
    <w:p xmlns:wp14="http://schemas.microsoft.com/office/word/2010/wordml" w:rsidP="246B11B2" w14:paraId="119C1B91" wp14:textId="77777777" wp14:noSpellErr="1">
      <w:pPr>
        <w:pStyle w:val="Heading2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 xml:space="preserve">1. 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Objective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 xml:space="preserve"> of Testing</w:t>
      </w:r>
    </w:p>
    <w:p xmlns:wp14="http://schemas.microsoft.com/office/word/2010/wordml" w:rsidP="246B11B2" w14:paraId="629E74FF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 xml:space="preserve">The 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objective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 xml:space="preserve"> of this testing cycle was to 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validate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 xml:space="preserve"> core functionalities of the 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ParaBank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 xml:space="preserve"> application. The focus was on ensuring that registration, login, and transaction modules work as expected with proper validation, error handling, and security checks.</w:t>
      </w:r>
    </w:p>
    <w:p xmlns:wp14="http://schemas.microsoft.com/office/word/2010/wordml" w:rsidP="246B11B2" w14:paraId="5E8C4F1E" wp14:textId="58676948">
      <w:pPr>
        <w:pStyle w:val="Heading2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6A0FFCE4">
        <w:rPr>
          <w:rFonts w:ascii="Calibri" w:hAnsi="Calibri" w:eastAsia="Calibri" w:cs="Calibri" w:asciiTheme="majorAscii" w:hAnsiTheme="majorAscii" w:eastAsiaTheme="majorAscii" w:cstheme="majorAscii"/>
        </w:rPr>
        <w:t>2. Test Statistics</w:t>
      </w:r>
    </w:p>
    <w:p xmlns:wp14="http://schemas.microsoft.com/office/word/2010/wordml" w:rsidP="246B11B2" w14:paraId="4FA0D513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Total Test Cases Designed: 36</w:t>
      </w:r>
    </w:p>
    <w:p xmlns:wp14="http://schemas.microsoft.com/office/word/2010/wordml" w:rsidP="246B11B2" w14:paraId="15D0A750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Total Test Cases Executed: 36</w:t>
      </w:r>
    </w:p>
    <w:p xmlns:wp14="http://schemas.microsoft.com/office/word/2010/wordml" w:rsidP="246B11B2" w14:paraId="2AC57758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Passed: 27</w:t>
      </w:r>
    </w:p>
    <w:p xmlns:wp14="http://schemas.microsoft.com/office/word/2010/wordml" w:rsidP="246B11B2" w14:paraId="46A55AD0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Failed: 9</w:t>
      </w:r>
    </w:p>
    <w:p xmlns:wp14="http://schemas.microsoft.com/office/word/2010/wordml" w:rsidP="246B11B2" w14:paraId="736F8649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Blocked: 0</w:t>
      </w:r>
    </w:p>
    <w:p xmlns:wp14="http://schemas.microsoft.com/office/word/2010/wordml" w:rsidP="246B11B2" w14:paraId="604607C4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Execution Coverage: 100%</w:t>
      </w:r>
    </w:p>
    <w:p xmlns:wp14="http://schemas.microsoft.com/office/word/2010/wordml" w:rsidP="246B11B2" w14:paraId="672A6659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="246B11B2">
        <w:drawing>
          <wp:inline xmlns:wp14="http://schemas.microsoft.com/office/word/2010/wordprocessingDrawing" wp14:editId="53A32C19" wp14:anchorId="539C5FE9">
            <wp:extent cx="4114800" cy="41148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test_execution_chart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246B11B2" w14:paraId="1C1329A0" wp14:textId="5C1432C2">
      <w:pPr>
        <w:pStyle w:val="Heading2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62074FF4">
        <w:rPr>
          <w:rFonts w:ascii="Calibri" w:hAnsi="Calibri" w:eastAsia="Calibri" w:cs="Calibri" w:asciiTheme="majorAscii" w:hAnsiTheme="majorAscii" w:eastAsiaTheme="majorAscii" w:cstheme="majorAscii"/>
        </w:rPr>
        <w:t>3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. Defect Summary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xmlns:wp14="http://schemas.microsoft.com/office/word/2010/wordml" w:rsidTr="246B11B2" w14:paraId="698EF49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205F75A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Defect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0897DE1F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Test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77CF76ED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Issue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E75B446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66CAD18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B9FBFDD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Status</w:t>
            </w:r>
          </w:p>
        </w:tc>
      </w:tr>
      <w:tr xmlns:wp14="http://schemas.microsoft.com/office/word/2010/wordml" w:rsidTr="246B11B2" w14:paraId="3926D27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96A24B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24D467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0A00B019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Verify successful registration redirects to account overview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7E177962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05FAD91F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CCCE1B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  <w:tr xmlns:wp14="http://schemas.microsoft.com/office/word/2010/wordml" w:rsidTr="246B11B2" w14:paraId="72236CC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E359206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A066902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01DE2BE3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Verify account lock after multiple failed login attempts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D4E7786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057E6F4C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43E772C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  <w:tr xmlns:wp14="http://schemas.microsoft.com/office/word/2010/wordml" w:rsidTr="246B11B2" w14:paraId="4336282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7FA8D4CF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DD5653A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0F0D4BB3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Verify registration with invalid data format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C78426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022EC909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5F61A48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  <w:tr xmlns:wp14="http://schemas.microsoft.com/office/word/2010/wordml" w:rsidTr="246B11B2" w14:paraId="08DDCAD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72E62EEE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594C43FF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C3EAB95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Verify session timeout after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278F99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618EAD0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36AE1BA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  <w:tr xmlns:wp14="http://schemas.microsoft.com/office/word/2010/wordml" w:rsidTr="246B11B2" w14:paraId="5C4E6F6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462DA42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7B05E3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D5925E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Verify transfer fails with insufficient funds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8A448F6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3818611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C127A4D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  <w:tr xmlns:wp14="http://schemas.microsoft.com/office/word/2010/wordml" w:rsidTr="246B11B2" w14:paraId="7473810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D366A56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B8E91B6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5BABB49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Verify system rejects transfer amount ≤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5D5D316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A7CC505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912D437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  <w:tr xmlns:wp14="http://schemas.microsoft.com/office/word/2010/wordml" w:rsidTr="246B11B2" w14:paraId="246A2C1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D07F047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8044C18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49C0FB95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Verify system prevents transfer when source and destination accounts are the same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A04B479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6B33AA8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58C797C9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  <w:tr xmlns:wp14="http://schemas.microsoft.com/office/word/2010/wordml" w:rsidTr="246B11B2" w14:paraId="7EEDFA1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26B3FBD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67D730BF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734A8DB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Verify that transfer fails when amount field is left blank.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E64FA58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C09895C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6B76DFF2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  <w:tr xmlns:wp14="http://schemas.microsoft.com/office/word/2010/wordml" w:rsidTr="246B11B2" w14:paraId="1E23E74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6D43480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BUG-009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60EEBFE0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TC-028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2F593433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Verify destination account name is displayed before transfer confirmation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165B324F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3B72331B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P="246B11B2" w14:paraId="7C307A23" wp14:textId="77777777" wp14:noSpellErr="1">
            <w:pPr>
              <w:jc w:val="both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46B11B2" w:rsidR="246B11B2">
              <w:rPr>
                <w:rFonts w:ascii="Calibri" w:hAnsi="Calibri" w:eastAsia="Calibri" w:cs="Calibri" w:asciiTheme="majorAscii" w:hAnsiTheme="majorAscii" w:eastAsiaTheme="majorAscii" w:cstheme="majorAscii"/>
              </w:rPr>
              <w:t>Failed</w:t>
            </w:r>
          </w:p>
        </w:tc>
      </w:tr>
    </w:tbl>
    <w:p w:rsidR="246B11B2" w:rsidP="246B11B2" w:rsidRDefault="246B11B2" w14:paraId="01DA433E" w14:textId="2A139C1B">
      <w:pPr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</w:p>
    <w:p xmlns:wp14="http://schemas.microsoft.com/office/word/2010/wordml" w:rsidP="246B11B2" w14:paraId="2486FD3B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Summary by Severity:</w:t>
      </w:r>
    </w:p>
    <w:p xmlns:wp14="http://schemas.microsoft.com/office/word/2010/wordml" w:rsidP="246B11B2" w14:paraId="2A1FADC3" wp14:textId="77777777" wp14:noSpellErr="1">
      <w:pPr>
        <w:pStyle w:val="ListBullet"/>
        <w:numPr>
          <w:ilvl w:val="0"/>
          <w:numId w:val="0"/>
        </w:numPr>
        <w:ind w:left="720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High: 9</w:t>
      </w:r>
    </w:p>
    <w:p xmlns:wp14="http://schemas.microsoft.com/office/word/2010/wordml" w:rsidP="246B11B2" w14:paraId="0A37501D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="246B11B2">
        <w:drawing>
          <wp:inline xmlns:wp14="http://schemas.microsoft.com/office/word/2010/wordprocessingDrawing" wp14:editId="56000670" wp14:anchorId="51A73281">
            <wp:extent cx="4114800" cy="3291840"/>
            <wp:effectExtent l="0" t="0" r="0" b="0"/>
            <wp:docPr id="2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severity_chart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246B11B2" w14:paraId="5881A7E7" wp14:textId="49D2AEFF">
      <w:pPr>
        <w:pStyle w:val="Heading2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998816">
        <w:rPr>
          <w:rFonts w:ascii="Calibri" w:hAnsi="Calibri" w:eastAsia="Calibri" w:cs="Calibri" w:asciiTheme="majorAscii" w:hAnsiTheme="majorAscii" w:eastAsiaTheme="majorAscii" w:cstheme="majorAscii"/>
        </w:rPr>
        <w:t>4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. Risks &amp; Recommendations</w:t>
      </w:r>
    </w:p>
    <w:p xmlns:wp14="http://schemas.microsoft.com/office/word/2010/wordml" w:rsidP="246B11B2" w14:paraId="3DBEDFAE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Risks:</w:t>
      </w:r>
    </w:p>
    <w:p xmlns:wp14="http://schemas.microsoft.com/office/word/2010/wordml" w:rsidP="246B11B2" w14:paraId="0F5BC56B" wp14:textId="4955A0D8">
      <w:pPr>
        <w:pStyle w:val="ListBullet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Security vulnerabilities if login/session management defects persist.</w:t>
      </w:r>
    </w:p>
    <w:p xmlns:wp14="http://schemas.microsoft.com/office/word/2010/wordml" w:rsidP="246B11B2" w14:paraId="0F72F246" wp14:textId="3C31162A">
      <w:pPr>
        <w:pStyle w:val="ListBullet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Usability issues due to missing or inconsistent error messages.</w:t>
      </w:r>
    </w:p>
    <w:p xmlns:wp14="http://schemas.microsoft.com/office/word/2010/wordml" w:rsidP="246B11B2" w14:paraId="6605FD10" wp14:textId="7521B887">
      <w:pPr>
        <w:pStyle w:val="ListBullet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Functional gaps in transaction handling with invalid inputs.</w:t>
      </w:r>
    </w:p>
    <w:p xmlns:wp14="http://schemas.microsoft.com/office/word/2010/wordml" w:rsidP="246B11B2" w14:paraId="1B5DEEA1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Recommendations:</w:t>
      </w:r>
    </w:p>
    <w:p xmlns:wp14="http://schemas.microsoft.com/office/word/2010/wordml" w:rsidP="246B11B2" w14:paraId="5D85DC91" wp14:textId="0246DFAA">
      <w:pPr>
        <w:pStyle w:val="ListBullet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 xml:space="preserve">Fix high severity defects 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immediately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 xml:space="preserve"> and retest.</w:t>
      </w:r>
    </w:p>
    <w:p xmlns:wp14="http://schemas.microsoft.com/office/word/2010/wordml" w:rsidP="246B11B2" w14:paraId="6CD18F1E" wp14:textId="48E187B9">
      <w:pPr>
        <w:pStyle w:val="ListBullet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Standardize error messages for consistency.</w:t>
      </w:r>
    </w:p>
    <w:p xmlns:wp14="http://schemas.microsoft.com/office/word/2010/wordml" w:rsidP="246B11B2" w14:paraId="603D48BF" wp14:textId="2A1D8C0A">
      <w:pPr>
        <w:pStyle w:val="ListBullet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Strengthen session and transaction validation.</w:t>
      </w:r>
    </w:p>
    <w:p xmlns:wp14="http://schemas.microsoft.com/office/word/2010/wordml" w:rsidP="246B11B2" w14:paraId="4BD9BDA2" wp14:textId="5BDE1709">
      <w:pPr>
        <w:pStyle w:val="Heading2"/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045326B">
        <w:rPr>
          <w:rFonts w:ascii="Calibri" w:hAnsi="Calibri" w:eastAsia="Calibri" w:cs="Calibri" w:asciiTheme="majorAscii" w:hAnsiTheme="majorAscii" w:eastAsiaTheme="majorAscii" w:cstheme="majorAscii"/>
        </w:rPr>
        <w:t>5</w:t>
      </w: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. Final Sign-Off Decision</w:t>
      </w:r>
    </w:p>
    <w:p xmlns:wp14="http://schemas.microsoft.com/office/word/2010/wordml" w:rsidP="246B11B2" w14:paraId="053D64C5" wp14:textId="77777777" wp14:noSpellErr="1">
      <w:pPr>
        <w:jc w:val="both"/>
        <w:rPr>
          <w:rFonts w:ascii="Calibri" w:hAnsi="Calibri" w:eastAsia="Calibri" w:cs="Calibri" w:asciiTheme="majorAscii" w:hAnsiTheme="majorAscii" w:eastAsiaTheme="majorAscii" w:cstheme="majorAscii"/>
        </w:rPr>
      </w:pPr>
      <w:r w:rsidRPr="246B11B2" w:rsidR="246B11B2">
        <w:rPr>
          <w:rFonts w:ascii="Calibri" w:hAnsi="Calibri" w:eastAsia="Calibri" w:cs="Calibri" w:asciiTheme="majorAscii" w:hAnsiTheme="majorAscii" w:eastAsiaTheme="majorAscii" w:cstheme="majorAscii"/>
        </w:rPr>
        <w:t>Due to open high-severity defects, sign-off is deferred. The application requires fixes and re-testing before release.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4bf1d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bf4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45326B"/>
    <w:rsid w:val="246B11B2"/>
    <w:rsid w:val="24998816"/>
    <w:rsid w:val="2CAF1070"/>
    <w:rsid w:val="322BD54E"/>
    <w:rsid w:val="433EDFB1"/>
    <w:rsid w:val="5E6D8D9A"/>
    <w:rsid w:val="62074FF4"/>
    <w:rsid w:val="6A0FFCE4"/>
    <w:rsid w:val="6D3B3AA6"/>
    <w:rsid w:val="6D3B3AA6"/>
    <w:rsid w:val="7228A876"/>
    <w:rsid w:val="778666E6"/>
    <w:rsid w:val="7DEC5ABD"/>
    <w:rsid w:val="7DE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BC928BA-6339-4A90-BB68-3AE0190F6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png" Id="rId9" /><Relationship Type="http://schemas.openxmlformats.org/officeDocument/2006/relationships/image" Target="media/image2.png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Fanen Iorver</lastModifiedBy>
  <revision>2</revision>
  <dcterms:created xsi:type="dcterms:W3CDTF">2013-12-23T23:15:00.0000000Z</dcterms:created>
  <dcterms:modified xsi:type="dcterms:W3CDTF">2025-10-02T01:13:11.1554339Z</dcterms:modified>
  <category/>
</coreProperties>
</file>