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1E3A5F"/>
          <w:sz w:val="44"/>
          <w:szCs w:val="44"/>
        </w:rPr>
        <w:t xml:space="preserve">PROGRESS REPORT</w:t>
      </w:r>
    </w:p>
    <w:p>
      <w:pPr>
        <w:spacing w:after="80" w:before="0"/>
      </w:pPr>
      <w:r>
        <w:rPr>
          <w:rFonts w:ascii="Arial" w:cs="Arial" w:eastAsia="Arial" w:hAnsi="Arial"/>
          <w:color w:val="4A5568"/>
          <w:sz w:val="24"/>
          <w:szCs w:val="24"/>
        </w:rPr>
        <w:t xml:space="preserve">NUS-ISS Architecting AI Systems · Practice Module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0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Project Title</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WriteAgent — Multi-Agent AI Novel Writing System</w:t>
            </w:r>
          </w:p>
        </w:tc>
      </w:tr>
      <w:tr>
        <w:tc>
          <w:tcPr>
            <w:tcW w:type="dxa" w:w="2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Date of Report</w:t>
            </w:r>
          </w:p>
        </w:tc>
        <w:tc>
          <w:tcPr>
            <w:tcW w:type="dxa" w:w="70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27 March 2026  (End of Week 1, Day 1–7)</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Report Name</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Team X_27Mar2026</w:t>
            </w:r>
          </w:p>
        </w:tc>
      </w:tr>
      <w:tr>
        <w:tc>
          <w:tcPr>
            <w:tcW w:type="dxa" w:w="2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Team Members</w:t>
            </w:r>
          </w:p>
        </w:tc>
        <w:tc>
          <w:tcPr>
            <w:tcW w:type="dxa" w:w="70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zt  /  [Member 2]  /  [Member 3]  /  [Member 4]</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Submission Period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1–7  |  Next Report Due: 9 April 2026</w:t>
            </w:r>
          </w:p>
        </w:tc>
      </w:tr>
    </w:tbl>
    <w:p>
      <w:pPr>
        <w:pBdr>
          <w:bottom w:val="single" w:color="D0D9EE" w:sz="4" w:space="1"/>
        </w:pBdr>
        <w:spacing w:after="120" w:before="120"/>
      </w:pPr>
    </w:p>
    <w:p>
      <w:pPr>
        <w:pStyle w:val="Heading1"/>
        <w:spacing w:after="120" w:before="280"/>
      </w:pPr>
      <w:r>
        <w:rPr>
          <w:rFonts w:ascii="Arial" w:cs="Arial" w:eastAsia="Arial" w:hAnsi="Arial"/>
          <w:b/>
          <w:bCs/>
          <w:color w:val="1E3A5F"/>
          <w:sz w:val="28"/>
          <w:szCs w:val="28"/>
        </w:rPr>
        <w:t xml:space="preserve">1. Summary of Work Done</w:t>
      </w:r>
    </w:p>
    <w:p>
      <w:pPr>
        <w:spacing w:after="60" w:before="60"/>
      </w:pPr>
      <w:r>
        <w:rPr>
          <w:rFonts w:ascii="Arial" w:cs="Arial" w:eastAsia="Arial" w:hAnsi="Arial"/>
          <w:color w:val="1A1A2E"/>
          <w:sz w:val="22"/>
          <w:szCs w:val="22"/>
        </w:rPr>
        <w:t xml:space="preserve">The following tasks were completed during Week 1 (Days 1–7).</w:t>
      </w:r>
    </w:p>
    <w:p>
      <w:pPr>
        <w:pStyle w:val="Heading2"/>
        <w:spacing w:after="80" w:before="200"/>
      </w:pPr>
      <w:r>
        <w:rPr>
          <w:rFonts w:ascii="Arial" w:cs="Arial" w:eastAsia="Arial" w:hAnsi="Arial"/>
          <w:b/>
          <w:bCs/>
          <w:color w:val="4B2E6F"/>
          <w:sz w:val="24"/>
          <w:szCs w:val="24"/>
        </w:rPr>
        <w:t xml:space="preserve">1.1  Codebase Review &amp; Familiarisation</w:t>
      </w:r>
    </w:p>
    <w:p>
      <w:pPr>
        <w:pStyle w:val="ListParagraph"/>
        <w:numPr>
          <w:ilvl w:val="0"/>
          <w:numId w:val="2"/>
        </w:numPr>
        <w:spacing w:after="40" w:before="40"/>
      </w:pPr>
      <w:r>
        <w:rPr>
          <w:rFonts w:ascii="Arial" w:cs="Arial" w:eastAsia="Arial" w:hAnsi="Arial"/>
          <w:color w:val="1A1A2E"/>
          <w:sz w:val="22"/>
          <w:szCs w:val="22"/>
        </w:rPr>
        <w:t xml:space="preserve">Performed a full read-through of the existing WriteAgent repository (approx. 4,800 lines of Python across 26 source files and 3 front-end files).</w:t>
      </w:r>
    </w:p>
    <w:p>
      <w:pPr>
        <w:pStyle w:val="ListParagraph"/>
        <w:numPr>
          <w:ilvl w:val="0"/>
          <w:numId w:val="2"/>
        </w:numPr>
        <w:spacing w:after="40" w:before="40"/>
      </w:pPr>
      <w:r>
        <w:rPr>
          <w:rFonts w:ascii="Arial" w:cs="Arial" w:eastAsia="Arial" w:hAnsi="Arial"/>
          <w:color w:val="1A1A2E"/>
          <w:sz w:val="22"/>
          <w:szCs w:val="22"/>
        </w:rPr>
        <w:t xml:space="preserve">Traced the complete data flow: FastAPI → LangGraph StateGraph → 5 Agents → ChromaDB, understanding how GraphState acts as the shared data contract between nodes.</w:t>
      </w:r>
    </w:p>
    <w:p>
      <w:pPr>
        <w:pStyle w:val="ListParagraph"/>
        <w:numPr>
          <w:ilvl w:val="0"/>
          <w:numId w:val="2"/>
        </w:numPr>
        <w:spacing w:after="40" w:before="40"/>
      </w:pPr>
      <w:r>
        <w:rPr>
          <w:rFonts w:ascii="Arial" w:cs="Arial" w:eastAsia="Arial" w:hAnsi="Arial"/>
          <w:color w:val="1A1A2E"/>
          <w:sz w:val="22"/>
          <w:szCs w:val="22"/>
        </w:rPr>
        <w:t xml:space="preserve">Read and understood the three-tier memory architecture (hot / warm / cold layers with token-budget enforcement) in memory/retrieval.py.</w:t>
      </w:r>
    </w:p>
    <w:p>
      <w:pPr>
        <w:pStyle w:val="ListParagraph"/>
        <w:numPr>
          <w:ilvl w:val="0"/>
          <w:numId w:val="2"/>
        </w:numPr>
        <w:spacing w:after="40" w:before="40"/>
      </w:pPr>
      <w:r>
        <w:rPr>
          <w:rFonts w:ascii="Arial" w:cs="Arial" w:eastAsia="Arial" w:hAnsi="Arial"/>
          <w:color w:val="1A1A2E"/>
          <w:sz w:val="22"/>
          <w:szCs w:val="22"/>
        </w:rPr>
        <w:t xml:space="preserve">Analysed the dual-phase consistency detection pipeline (regex pre-scan + LLM semantic check with code fallback) in agents/consistency_checker.py and memory/attribute_extractor.py.</w:t>
      </w:r>
    </w:p>
    <w:p>
      <w:pPr>
        <w:pStyle w:val="Heading2"/>
        <w:spacing w:after="80" w:before="200"/>
      </w:pPr>
      <w:r>
        <w:rPr>
          <w:rFonts w:ascii="Arial" w:cs="Arial" w:eastAsia="Arial" w:hAnsi="Arial"/>
          <w:b/>
          <w:bCs/>
          <w:color w:val="4B2E6F"/>
          <w:sz w:val="24"/>
          <w:szCs w:val="24"/>
        </w:rPr>
        <w:t xml:space="preserve">1.2  Requirements Gap Analysis</w:t>
      </w:r>
    </w:p>
    <w:p>
      <w:pPr>
        <w:pStyle w:val="ListParagraph"/>
        <w:numPr>
          <w:ilvl w:val="0"/>
          <w:numId w:val="2"/>
        </w:numPr>
        <w:spacing w:after="40" w:before="40"/>
      </w:pPr>
      <w:r>
        <w:rPr>
          <w:rFonts w:ascii="Arial" w:cs="Arial" w:eastAsia="Arial" w:hAnsi="Arial"/>
          <w:color w:val="1A1A2E"/>
          <w:sz w:val="22"/>
          <w:szCs w:val="22"/>
        </w:rPr>
        <w:t xml:space="preserve">Mapped all existing features against the NUS-ISS success criteria (Slide 12) and Group Report Template (Slide 14).</w:t>
      </w:r>
    </w:p>
    <w:p>
      <w:pPr>
        <w:pStyle w:val="ListParagraph"/>
        <w:numPr>
          <w:ilvl w:val="0"/>
          <w:numId w:val="2"/>
        </w:numPr>
        <w:spacing w:after="40" w:before="40"/>
      </w:pPr>
      <w:r>
        <w:rPr>
          <w:rFonts w:ascii="Arial" w:cs="Arial" w:eastAsia="Arial" w:hAnsi="Arial"/>
          <w:color w:val="1A1A2E"/>
          <w:sz w:val="22"/>
          <w:szCs w:val="22"/>
        </w:rPr>
        <w:t xml:space="preserve">Identified the following missing or insufficient areas requiring work:</w:t>
      </w:r>
    </w:p>
    <w:p>
      <w:pPr>
        <w:pStyle w:val="ListParagraph"/>
        <w:numPr>
          <w:ilvl w:val="0"/>
          <w:numId w:val="2"/>
        </w:numPr>
        <w:spacing w:after="40" w:before="40"/>
      </w:pPr>
      <w:r>
        <w:rPr>
          <w:rFonts w:ascii="Arial" w:cs="Arial" w:eastAsia="Arial" w:hAnsi="Arial"/>
          <w:b/>
          <w:bCs/>
          <w:color w:val="1A1A2E"/>
          <w:sz w:val="22"/>
          <w:szCs w:val="22"/>
        </w:rPr>
        <w:t xml:space="preserve"> ① </w:t>
      </w:r>
      <w:r>
        <w:rPr>
          <w:rFonts w:ascii="Arial" w:cs="Arial" w:eastAsia="Arial" w:hAnsi="Arial"/>
          <w:color w:val="1A1A2E"/>
          <w:sz w:val="22"/>
          <w:szCs w:val="22"/>
        </w:rPr>
        <w:t xml:space="preserve">Explainable &amp; Responsible AI — no user-facing reasoning visibility, no bias detection, no governance framework alignment.</w:t>
      </w:r>
    </w:p>
    <w:p>
      <w:pPr>
        <w:pStyle w:val="ListParagraph"/>
        <w:numPr>
          <w:ilvl w:val="0"/>
          <w:numId w:val="2"/>
        </w:numPr>
        <w:spacing w:after="40" w:before="40"/>
      </w:pPr>
      <w:r>
        <w:rPr>
          <w:rFonts w:ascii="Arial" w:cs="Arial" w:eastAsia="Arial" w:hAnsi="Arial"/>
          <w:b/>
          <w:bCs/>
          <w:color w:val="1A1A2E"/>
          <w:sz w:val="22"/>
          <w:szCs w:val="22"/>
        </w:rPr>
        <w:t xml:space="preserve"> ② </w:t>
      </w:r>
      <w:r>
        <w:rPr>
          <w:rFonts w:ascii="Arial" w:cs="Arial" w:eastAsia="Arial" w:hAnsi="Arial"/>
          <w:color w:val="1A1A2E"/>
          <w:sz w:val="22"/>
          <w:szCs w:val="22"/>
        </w:rPr>
        <w:t xml:space="preserve">AI Security Risk Register — guardrails code exists but no formal risk register document.</w:t>
      </w:r>
    </w:p>
    <w:p>
      <w:pPr>
        <w:pStyle w:val="ListParagraph"/>
        <w:numPr>
          <w:ilvl w:val="0"/>
          <w:numId w:val="2"/>
        </w:numPr>
        <w:spacing w:after="40" w:before="40"/>
      </w:pPr>
      <w:r>
        <w:rPr>
          <w:rFonts w:ascii="Arial" w:cs="Arial" w:eastAsia="Arial" w:hAnsi="Arial"/>
          <w:b/>
          <w:bCs/>
          <w:color w:val="1A1A2E"/>
          <w:sz w:val="22"/>
          <w:szCs w:val="22"/>
        </w:rPr>
        <w:t xml:space="preserve"> ③ </w:t>
      </w:r>
      <w:r>
        <w:rPr>
          <w:rFonts w:ascii="Arial" w:cs="Arial" w:eastAsia="Arial" w:hAnsi="Arial"/>
          <w:color w:val="1A1A2E"/>
          <w:sz w:val="22"/>
          <w:szCs w:val="22"/>
        </w:rPr>
        <w:t xml:space="preserve">MLSecOps / LLMSecOps Pipeline — no CI/CD, no Dockerfile, no monitoring or model versioning.</w:t>
      </w:r>
    </w:p>
    <w:p>
      <w:pPr>
        <w:pStyle w:val="ListParagraph"/>
        <w:numPr>
          <w:ilvl w:val="0"/>
          <w:numId w:val="2"/>
        </w:numPr>
        <w:spacing w:after="40" w:before="40"/>
      </w:pPr>
      <w:r>
        <w:rPr>
          <w:rFonts w:ascii="Arial" w:cs="Arial" w:eastAsia="Arial" w:hAnsi="Arial"/>
          <w:b/>
          <w:bCs/>
          <w:color w:val="1A1A2E"/>
          <w:sz w:val="22"/>
          <w:szCs w:val="22"/>
        </w:rPr>
        <w:t xml:space="preserve"> ④ </w:t>
      </w:r>
      <w:r>
        <w:rPr>
          <w:rFonts w:ascii="Arial" w:cs="Arial" w:eastAsia="Arial" w:hAnsi="Arial"/>
          <w:color w:val="1A1A2E"/>
          <w:sz w:val="22"/>
          <w:szCs w:val="22"/>
        </w:rPr>
        <w:t xml:space="preserve">Physical Architecture — no deployment diagram, no containerisation design.</w:t>
      </w:r>
    </w:p>
    <w:p>
      <w:pPr>
        <w:pStyle w:val="ListParagraph"/>
        <w:numPr>
          <w:ilvl w:val="0"/>
          <w:numId w:val="2"/>
        </w:numPr>
        <w:spacing w:after="40" w:before="40"/>
      </w:pPr>
      <w:r>
        <w:rPr>
          <w:rFonts w:ascii="Arial" w:cs="Arial" w:eastAsia="Arial" w:hAnsi="Arial"/>
          <w:b/>
          <w:bCs/>
          <w:color w:val="1A1A2E"/>
          <w:sz w:val="22"/>
          <w:szCs w:val="22"/>
        </w:rPr>
        <w:t xml:space="preserve"> ⑤ </w:t>
      </w:r>
      <w:r>
        <w:rPr>
          <w:rFonts w:ascii="Arial" w:cs="Arial" w:eastAsia="Arial" w:hAnsi="Arial"/>
          <w:color w:val="1A1A2E"/>
          <w:sz w:val="22"/>
          <w:szCs w:val="22"/>
        </w:rPr>
        <w:t xml:space="preserve">AI Security Tests — test_guardrails.py is superficial; no adversarial input or prompt injection test scenarios.</w:t>
      </w:r>
    </w:p>
    <w:p>
      <w:pPr>
        <w:pStyle w:val="ListParagraph"/>
        <w:numPr>
          <w:ilvl w:val="0"/>
          <w:numId w:val="2"/>
        </w:numPr>
        <w:spacing w:after="40" w:before="40"/>
      </w:pPr>
      <w:r>
        <w:rPr>
          <w:rFonts w:ascii="Arial" w:cs="Arial" w:eastAsia="Arial" w:hAnsi="Arial"/>
          <w:b/>
          <w:bCs/>
          <w:color w:val="1A1A2E"/>
          <w:sz w:val="22"/>
          <w:szCs w:val="22"/>
        </w:rPr>
        <w:t xml:space="preserve"> ⑥ </w:t>
      </w:r>
      <w:r>
        <w:rPr>
          <w:rFonts w:ascii="Arial" w:cs="Arial" w:eastAsia="Arial" w:hAnsi="Arial"/>
          <w:color w:val="1A1A2E"/>
          <w:sz w:val="22"/>
          <w:szCs w:val="22"/>
        </w:rPr>
        <w:t xml:space="preserve">Agent Tool Use — agents do not use external tools (function calling), weakening the "agentic" demonstration.</w:t>
      </w:r>
    </w:p>
    <w:p>
      <w:pPr>
        <w:pStyle w:val="Heading2"/>
        <w:spacing w:after="80" w:before="200"/>
      </w:pPr>
      <w:r>
        <w:rPr>
          <w:rFonts w:ascii="Arial" w:cs="Arial" w:eastAsia="Arial" w:hAnsi="Arial"/>
          <w:b/>
          <w:bCs/>
          <w:color w:val="4B2E6F"/>
          <w:sz w:val="24"/>
          <w:szCs w:val="24"/>
        </w:rPr>
        <w:t xml:space="preserve">1.3  Architecture &amp; Explainability Design</w:t>
      </w:r>
    </w:p>
    <w:p>
      <w:pPr>
        <w:pStyle w:val="ListParagraph"/>
        <w:numPr>
          <w:ilvl w:val="0"/>
          <w:numId w:val="2"/>
        </w:numPr>
        <w:spacing w:after="40" w:before="40"/>
      </w:pPr>
      <w:r>
        <w:rPr>
          <w:rFonts w:ascii="Arial" w:cs="Arial" w:eastAsia="Arial" w:hAnsi="Arial"/>
          <w:color w:val="1A1A2E"/>
          <w:sz w:val="22"/>
          <w:szCs w:val="22"/>
        </w:rPr>
        <w:t xml:space="preserve">Produced a complete annotated project structure diagram (HTML) documenting all 66 source files with descriptions.</w:t>
      </w:r>
    </w:p>
    <w:p>
      <w:pPr>
        <w:pStyle w:val="ListParagraph"/>
        <w:numPr>
          <w:ilvl w:val="0"/>
          <w:numId w:val="2"/>
        </w:numPr>
        <w:spacing w:after="40" w:before="40"/>
      </w:pPr>
      <w:r>
        <w:rPr>
          <w:rFonts w:ascii="Arial" w:cs="Arial" w:eastAsia="Arial" w:hAnsi="Arial"/>
          <w:color w:val="1A1A2E"/>
          <w:sz w:val="22"/>
          <w:szCs w:val="22"/>
        </w:rPr>
        <w:t xml:space="preserve">Designed a 40-day project roadmap with three two-week milestones aligned to fortnightly progress reports.</w:t>
      </w:r>
    </w:p>
    <w:p>
      <w:pPr>
        <w:pStyle w:val="ListParagraph"/>
        <w:numPr>
          <w:ilvl w:val="0"/>
          <w:numId w:val="2"/>
        </w:numPr>
        <w:spacing w:after="40" w:before="40"/>
      </w:pPr>
      <w:r>
        <w:rPr>
          <w:rFonts w:ascii="Arial" w:cs="Arial" w:eastAsia="Arial" w:hAnsi="Arial"/>
          <w:color w:val="1A1A2E"/>
          <w:sz w:val="22"/>
          <w:szCs w:val="22"/>
        </w:rPr>
        <w:t xml:space="preserve">Drafted the Explainable AI design plan: proposed upgrading the Conflicts tab into a full Process tab showing per-scene Agent Reasoning Timeline, BiasReviewAgent, and human-in-the-loop pause mechanism.</w:t>
      </w:r>
    </w:p>
    <w:p>
      <w:pPr>
        <w:pStyle w:val="ListParagraph"/>
        <w:numPr>
          <w:ilvl w:val="0"/>
          <w:numId w:val="2"/>
        </w:numPr>
        <w:spacing w:after="40" w:before="40"/>
      </w:pPr>
      <w:r>
        <w:rPr>
          <w:rFonts w:ascii="Arial" w:cs="Arial" w:eastAsia="Arial" w:hAnsi="Arial"/>
          <w:color w:val="1A1A2E"/>
          <w:sz w:val="22"/>
          <w:szCs w:val="22"/>
        </w:rPr>
        <w:t xml:space="preserve">Evaluated integration of Agent reasoning visibility with the existing Agent Pipeline progress bar in the Writer tab.</w:t>
      </w:r>
    </w:p>
    <w:p>
      <w:pPr>
        <w:spacing w:after="0" w:before="0"/>
      </w:pPr>
    </w:p>
    <w:p>
      <w:pPr>
        <w:pBdr>
          <w:bottom w:val="single" w:color="D0D9EE" w:sz="4" w:space="1"/>
        </w:pBdr>
        <w:spacing w:after="120" w:before="120"/>
      </w:pPr>
    </w:p>
    <w:p>
      <w:pPr>
        <w:pStyle w:val="Heading1"/>
        <w:spacing w:after="120" w:before="280"/>
      </w:pPr>
      <w:r>
        <w:rPr>
          <w:rFonts w:ascii="Arial" w:cs="Arial" w:eastAsia="Arial" w:hAnsi="Arial"/>
          <w:b/>
          <w:bCs/>
          <w:color w:val="1E3A5F"/>
          <w:sz w:val="28"/>
          <w:szCs w:val="28"/>
        </w:rPr>
        <w:t xml:space="preserve">2. Effort Expended</w:t>
      </w:r>
    </w:p>
    <w:p>
      <w:pPr>
        <w:spacing w:after="60" w:before="60"/>
      </w:pPr>
      <w:r>
        <w:rPr>
          <w:rFonts w:ascii="Arial" w:cs="Arial" w:eastAsia="Arial" w:hAnsi="Arial"/>
          <w:color w:val="1A1A2E"/>
          <w:sz w:val="22"/>
          <w:szCs w:val="22"/>
        </w:rPr>
        <w:t xml:space="preserve">Hours recorded by each team member for the period Day 1–7 (27 Mar – 2 Apr 2026).</w:t>
      </w:r>
    </w:p>
    <w:p>
      <w:pPr>
        <w:spacing w:after="80" w:before="8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gridCol w:w="1426"/>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Member</w:t>
            </w:r>
          </w:p>
        </w:tc>
        <w:tc>
          <w:tcPr>
            <w:tcW w:type="dxa" w:w="6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Tasks Performed</w:t>
            </w:r>
          </w:p>
        </w:tc>
        <w:tc>
          <w:tcPr>
            <w:tcW w:type="dxa" w:w="14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Hours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zt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Codebase review, gap analysis, architecture design, explainability planning</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18</w:t>
            </w:r>
          </w:p>
        </w:tc>
      </w:tr>
      <w:tr>
        <w:tc>
          <w:tcPr>
            <w:tcW w:type="dxa" w:w="2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[Member 2]</w:t>
            </w:r>
          </w:p>
        </w:tc>
        <w:tc>
          <w:tcPr>
            <w:tcW w:type="dxa" w:w="6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[Tasks]</w:t>
            </w:r>
          </w:p>
        </w:tc>
        <w:tc>
          <w:tcPr>
            <w:tcW w:type="dxa" w:w="14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[Member 3]</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[Tasks]</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w:t>
            </w:r>
          </w:p>
        </w:tc>
      </w:tr>
      <w:tr>
        <w:tc>
          <w:tcPr>
            <w:tcW w:type="dxa" w:w="2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[Member 4]</w:t>
            </w:r>
          </w:p>
        </w:tc>
        <w:tc>
          <w:tcPr>
            <w:tcW w:type="dxa" w:w="6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[Tasks]</w:t>
            </w:r>
          </w:p>
        </w:tc>
        <w:tc>
          <w:tcPr>
            <w:tcW w:type="dxa" w:w="14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Total</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18+</w:t>
            </w:r>
          </w:p>
        </w:tc>
      </w:tr>
    </w:tbl>
    <w:p>
      <w:pPr>
        <w:spacing w:after="0" w:before="0"/>
      </w:pPr>
    </w:p>
    <w:p>
      <w:pPr>
        <w:pBdr>
          <w:bottom w:val="single" w:color="D0D9EE" w:sz="4" w:space="1"/>
        </w:pBdr>
        <w:spacing w:after="120" w:before="120"/>
      </w:pPr>
    </w:p>
    <w:p>
      <w:pPr>
        <w:pStyle w:val="Heading1"/>
        <w:spacing w:after="120" w:before="280"/>
      </w:pPr>
      <w:r>
        <w:rPr>
          <w:rFonts w:ascii="Arial" w:cs="Arial" w:eastAsia="Arial" w:hAnsi="Arial"/>
          <w:b/>
          <w:bCs/>
          <w:color w:val="1E3A5F"/>
          <w:sz w:val="28"/>
          <w:szCs w:val="28"/>
        </w:rPr>
        <w:t xml:space="preserve">3. Problems Encountered</w:t>
      </w:r>
    </w:p>
    <w:p>
      <w:pPr>
        <w:pStyle w:val="Heading2"/>
        <w:spacing w:after="80" w:before="200"/>
      </w:pPr>
      <w:r>
        <w:rPr>
          <w:rFonts w:ascii="Arial" w:cs="Arial" w:eastAsia="Arial" w:hAnsi="Arial"/>
          <w:b/>
          <w:bCs/>
          <w:color w:val="4B2E6F"/>
          <w:sz w:val="24"/>
          <w:szCs w:val="24"/>
        </w:rPr>
        <w:t xml:space="preserve">3.1  Scope Clarification Needed</w:t>
      </w:r>
    </w:p>
    <w:p>
      <w:pPr>
        <w:pStyle w:val="ListParagraph"/>
        <w:numPr>
          <w:ilvl w:val="0"/>
          <w:numId w:val="2"/>
        </w:numPr>
        <w:spacing w:after="40" w:before="40"/>
      </w:pPr>
      <w:r>
        <w:rPr>
          <w:rFonts w:ascii="Arial" w:cs="Arial" w:eastAsia="Arial" w:hAnsi="Arial"/>
          <w:color w:val="1A1A2E"/>
          <w:sz w:val="22"/>
          <w:szCs w:val="22"/>
        </w:rPr>
        <w:t xml:space="preserve">The project already contains a working multi-agent system. It is unclear whether the assessors expect a greenfield project or whether enhancing/documenting the existing codebase is acceptable. Clarification from NUS-ISS lecturers would be helpful.</w:t>
      </w:r>
    </w:p>
    <w:p>
      <w:pPr>
        <w:pStyle w:val="Heading2"/>
        <w:spacing w:after="80" w:before="200"/>
      </w:pPr>
      <w:r>
        <w:rPr>
          <w:rFonts w:ascii="Arial" w:cs="Arial" w:eastAsia="Arial" w:hAnsi="Arial"/>
          <w:b/>
          <w:bCs/>
          <w:color w:val="4B2E6F"/>
          <w:sz w:val="24"/>
          <w:szCs w:val="24"/>
        </w:rPr>
        <w:t xml:space="preserve">3.2  Agent Tool Use Requirement</w:t>
      </w:r>
    </w:p>
    <w:p>
      <w:pPr>
        <w:pStyle w:val="ListParagraph"/>
        <w:numPr>
          <w:ilvl w:val="0"/>
          <w:numId w:val="2"/>
        </w:numPr>
        <w:spacing w:after="40" w:before="40"/>
      </w:pPr>
      <w:r>
        <w:rPr>
          <w:rFonts w:ascii="Arial" w:cs="Arial" w:eastAsia="Arial" w:hAnsi="Arial"/>
          <w:color w:val="1A1A2E"/>
          <w:sz w:val="22"/>
          <w:szCs w:val="22"/>
        </w:rPr>
        <w:t xml:space="preserve">The briefing (Slide 11) requires each agent to demonstrate autonomy through "tool use". The current agents only call an LLM — no external tools (APIs, databases via function calling) are integrated. It is unclear whether the LangGraph graph routing and ChromaDB queries count as "tool use" in the assessors' interpretation, or whether formal function-calling tools are required.</w:t>
      </w:r>
    </w:p>
    <w:p>
      <w:pPr>
        <w:pStyle w:val="Heading2"/>
        <w:spacing w:after="80" w:before="200"/>
      </w:pPr>
      <w:r>
        <w:rPr>
          <w:rFonts w:ascii="Arial" w:cs="Arial" w:eastAsia="Arial" w:hAnsi="Arial"/>
          <w:b/>
          <w:bCs/>
          <w:color w:val="4B2E6F"/>
          <w:sz w:val="24"/>
          <w:szCs w:val="24"/>
        </w:rPr>
        <w:t xml:space="preserve">3.3  Physical Architecture Deployment</w:t>
      </w:r>
    </w:p>
    <w:p>
      <w:pPr>
        <w:pStyle w:val="ListParagraph"/>
        <w:numPr>
          <w:ilvl w:val="0"/>
          <w:numId w:val="2"/>
        </w:numPr>
        <w:spacing w:after="40" w:before="40"/>
      </w:pPr>
      <w:r>
        <w:rPr>
          <w:rFonts w:ascii="Arial" w:cs="Arial" w:eastAsia="Arial" w:hAnsi="Arial"/>
          <w:color w:val="1A1A2E"/>
          <w:sz w:val="22"/>
          <w:szCs w:val="22"/>
        </w:rPr>
        <w:t xml:space="preserve">The project currently runs only as a local Python process. Designing a production-grade physical architecture (cloud deployment, containerisation, load balancing) is non-trivial within the 40-day timeline. Would a local Docker Compose setup suffice for the physical architecture requirement?</w:t>
      </w:r>
    </w:p>
    <w:p>
      <w:pPr>
        <w:pBdr>
          <w:bottom w:val="single" w:color="D0D9EE" w:sz="4" w:space="1"/>
        </w:pBdr>
        <w:spacing w:after="120" w:before="120"/>
      </w:pPr>
    </w:p>
    <w:p>
      <w:pPr>
        <w:pStyle w:val="Heading1"/>
        <w:spacing w:after="120" w:before="280"/>
      </w:pPr>
      <w:r>
        <w:rPr>
          <w:rFonts w:ascii="Arial" w:cs="Arial" w:eastAsia="Arial" w:hAnsi="Arial"/>
          <w:b/>
          <w:bCs/>
          <w:color w:val="1E3A5F"/>
          <w:sz w:val="28"/>
          <w:szCs w:val="28"/>
        </w:rPr>
        <w:t xml:space="preserve">4. Plan for the Next 2 Weeks  (Day 8–14, Apr 3–9)</w:t>
      </w:r>
    </w:p>
    <w:p>
      <w:pPr>
        <w:spacing w:after="60" w:before="60"/>
      </w:pPr>
      <w:r>
        <w:rPr>
          <w:rFonts w:ascii="Arial" w:cs="Arial" w:eastAsia="Arial" w:hAnsi="Arial"/>
          <w:color w:val="1A1A2E"/>
          <w:sz w:val="22"/>
          <w:szCs w:val="22"/>
        </w:rPr>
        <w:t xml:space="preserve">The following tasks are planned to complete Phase 1 and submit Progress Report 1 by Day 14.</w:t>
      </w:r>
    </w:p>
    <w:p>
      <w:pPr>
        <w:spacing w:after="0" w:before="8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300"/>
        <w:gridCol w:w="2726"/>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7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8–9</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System architecture document: logical diagram + narrative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zt</w:t>
            </w:r>
          </w:p>
        </w:tc>
        <w:tc>
          <w:tcPr>
            <w:tcW w:type="dxa" w:w="2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Arch doc draft</w:t>
            </w:r>
          </w:p>
        </w:tc>
      </w:tr>
      <w:tr>
        <w:tc>
          <w:tcPr>
            <w:tcW w:type="dxa" w:w="9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10</w:t>
            </w:r>
          </w:p>
        </w:tc>
        <w:tc>
          <w:tcPr>
            <w:tcW w:type="dxa" w:w="4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Physical architecture: Docker + Compose design</w:t>
            </w:r>
          </w:p>
        </w:tc>
        <w:tc>
          <w:tcPr>
            <w:tcW w:type="dxa" w:w="13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[M2]</w:t>
            </w:r>
          </w:p>
        </w:tc>
        <w:tc>
          <w:tcPr>
            <w:tcW w:type="dxa" w:w="27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Dockerfile draft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11–12</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Agent design documentation (all 5 agents, all fields per template §4)</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[M3]</w:t>
            </w:r>
          </w:p>
        </w:tc>
        <w:tc>
          <w:tcPr>
            <w:tcW w:type="dxa" w:w="2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Agent design doc</w:t>
            </w:r>
          </w:p>
        </w:tc>
      </w:tr>
      <w:tr>
        <w:tc>
          <w:tcPr>
            <w:tcW w:type="dxa" w:w="9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13</w:t>
            </w:r>
          </w:p>
        </w:tc>
        <w:tc>
          <w:tcPr>
            <w:tcW w:type="dxa" w:w="4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MLSecOps/LLMSecOps pipeline design document</w:t>
            </w:r>
          </w:p>
        </w:tc>
        <w:tc>
          <w:tcPr>
            <w:tcW w:type="dxa" w:w="13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[M4]</w:t>
            </w:r>
          </w:p>
        </w:tc>
        <w:tc>
          <w:tcPr>
            <w:tcW w:type="dxa" w:w="27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Pipeline doc draft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14</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Progress Report 1 consolidation &amp; submission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All</w:t>
            </w:r>
          </w:p>
        </w:tc>
        <w:tc>
          <w:tcPr>
            <w:tcW w:type="dxa" w:w="2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Progress Report 1</w:t>
            </w:r>
          </w:p>
        </w:tc>
      </w:tr>
    </w:tbl>
    <w:p>
      <w:pPr>
        <w:spacing w:after="60" w:before="160"/>
      </w:pPr>
    </w:p>
    <w:p>
      <w:pPr>
        <w:pBdr>
          <w:bottom w:val="single" w:color="D0D9EE" w:sz="4" w:space="1"/>
        </w:pBdr>
        <w:spacing w:after="120" w:before="120"/>
      </w:pPr>
    </w:p>
    <w:p>
      <w:r>
        <w:br w:type="page"/>
      </w:r>
    </w:p>
    <w:p>
      <w:pPr>
        <w:pStyle w:val="Heading1"/>
        <w:spacing w:after="120" w:before="280"/>
      </w:pPr>
      <w:r>
        <w:rPr>
          <w:rFonts w:ascii="Arial" w:cs="Arial" w:eastAsia="Arial" w:hAnsi="Arial"/>
          <w:b/>
          <w:bCs/>
          <w:color w:val="1E3A5F"/>
          <w:sz w:val="28"/>
          <w:szCs w:val="28"/>
        </w:rPr>
        <w:t xml:space="preserve">Appendix A — 40-Day Project Roadmap</w:t>
      </w:r>
    </w:p>
    <w:p>
      <w:pPr>
        <w:spacing w:after="60" w:before="60"/>
      </w:pPr>
      <w:r>
        <w:rPr>
          <w:rFonts w:ascii="Arial" w:cs="Arial" w:eastAsia="Arial" w:hAnsi="Arial"/>
          <w:color w:val="1A1A2E"/>
          <w:sz w:val="22"/>
          <w:szCs w:val="22"/>
        </w:rPr>
        <w:t xml:space="preserve">Three phases aligned to fortnightly progress report submissions.</w:t>
      </w:r>
    </w:p>
    <w:p>
      <w:pPr>
        <w:spacing w:after="0" w:before="8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000"/>
        <w:gridCol w:w="1826"/>
      </w:tblGrid>
      <w:tr>
        <w:trPr>
          <w:tblHeader/>
        </w:trPr>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18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Dates (2026)</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Phase 1</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Foundation &amp; Documentation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1–14</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Mar 27 – Apr 9</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Codebase review &amp; gap analysis</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1–2</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Mar 27–28</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System architecture document (logical + physical)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3–4</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Mar 29–30</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Agent design documentation (all 5 agents)</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5–6</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Mar 31 – Apr 1</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Physical architecture: Dockerfile + docker-compose design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7–8</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2–3</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CI/CD pipeline design (GitHub Actions)</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9–10</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Apr 4–5</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MLSecOps/LLMSecOps pipeline document draft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11–13</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6–8</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Report 1</w:t>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Progress Report 1 submission</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14</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Apr 9</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Phase 2</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Explainable AI + Security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15–28</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10 – Apr 23</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Process Tab: upgrade Conflicts UI → full reasoning timeline</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15–17</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Apr 10–12</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Backend API: /scene/{n}/process explanation endpoint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18–19</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13–14</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BiasReviewAgent implementation + GraphState bias_report field</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20–22</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Apr 15–17</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Explainable &amp; Responsible AI report (IMDA framework)</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23–24</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18–19</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AI Security Risk Register document</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25–26</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Apr 20–21</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Guardrails enhancement + AI adversarial security tests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27</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22</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Report 2</w:t>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Progress Report 2 submission</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28</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Apr 23</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Phase 3</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Testing + Final Deliverables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29–40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24 – May 6</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Human-in-the-loop review pause mechanism</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29–30</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Apr 24–25</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Comprehensive testing: unit + integration + AI security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31–33</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26–28</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MLSecOps: monitoring, alerting, model versioning</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34–35</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Apr 29–30</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Group project report (all 9 sections) finalisation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36–37</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May 1–2</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Individual reports writing</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38</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May 3</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Presentation slides preparation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Day 39</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May 4–5</w:t>
            </w:r>
          </w:p>
        </w:tc>
      </w:tr>
      <w:tr>
        <w:tc>
          <w:tcPr>
            <w:tcW w:type="dxa" w:w="11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 Final</w:t>
            </w:r>
          </w:p>
        </w:tc>
        <w:tc>
          <w:tcPr>
            <w:tcW w:type="dxa" w:w="5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Final submission + Progress Report 3</w:t>
            </w:r>
          </w:p>
        </w:tc>
        <w:tc>
          <w:tcPr>
            <w:tcW w:type="dxa" w:w="1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Day 40</w:t>
            </w:r>
          </w:p>
        </w:tc>
        <w:tc>
          <w:tcPr>
            <w:tcW w:type="dxa" w:w="182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tcPr>
          <w:p>
            <w:r>
              <w:rPr>
                <w:rFonts w:ascii="Arial" w:cs="Arial" w:eastAsia="Arial" w:hAnsi="Arial"/>
                <w:color w:val="1A1A2E"/>
                <w:sz w:val="20"/>
                <w:szCs w:val="20"/>
              </w:rPr>
              <w:t xml:space="preserve">May 6</w:t>
            </w:r>
          </w:p>
        </w:tc>
      </w:tr>
    </w:tbl>
    <w:p>
      <w:pPr>
        <w:spacing w:after="60" w:before="160"/>
      </w:pPr>
    </w:p>
    <w:p>
      <w:pPr>
        <w:pBdr>
          <w:bottom w:val="single" w:color="D0D9EE" w:sz="4" w:space="1"/>
        </w:pBdr>
        <w:spacing w:after="120" w:before="120"/>
      </w:pPr>
    </w:p>
    <w:p>
      <w:pPr>
        <w:pStyle w:val="Heading2"/>
        <w:spacing w:after="80" w:before="200"/>
      </w:pPr>
      <w:r>
        <w:rPr>
          <w:rFonts w:ascii="Arial" w:cs="Arial" w:eastAsia="Arial" w:hAnsi="Arial"/>
          <w:b/>
          <w:bCs/>
          <w:color w:val="4B2E6F"/>
          <w:sz w:val="24"/>
          <w:szCs w:val="24"/>
        </w:rPr>
        <w:t xml:space="preserve">Sign-off</w:t>
      </w:r>
    </w:p>
    <w:p>
      <w:pPr>
        <w:spacing w:after="60" w:before="60"/>
      </w:pPr>
      <w:r>
        <w:rPr>
          <w:rFonts w:ascii="Arial" w:cs="Arial" w:eastAsia="Arial" w:hAnsi="Arial"/>
          <w:color w:val="1A1A2E"/>
          <w:sz w:val="22"/>
          <w:szCs w:val="22"/>
        </w:rPr>
        <w:t xml:space="preserve">Submitted by Team X on behalf of all members.</w:t>
      </w:r>
    </w:p>
    <w:p>
      <w:pPr>
        <w:spacing w:after="60" w:before="160"/>
      </w:pPr>
      <w:r>
        <w:rPr>
          <w:rFonts w:ascii="Arial" w:cs="Arial" w:eastAsia="Arial" w:hAnsi="Arial"/>
          <w:color w:val="4A5568"/>
          <w:sz w:val="22"/>
          <w:szCs w:val="22"/>
        </w:rPr>
        <w:t xml:space="preserve">Team Lead Signature: ___________________________</w:t>
      </w:r>
      <w:r>
        <w:rPr>
          <w:rFonts w:ascii="Arial" w:cs="Arial" w:eastAsia="Arial" w:hAnsi="Arial"/>
          <w:color w:val="4A5568"/>
          <w:sz w:val="22"/>
          <w:szCs w:val="22"/>
        </w:rPr>
        <w:t xml:space="preserve">          Date: ________________</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E" w:sz="4" w:space="1"/>
      </w:pBdr>
      <w:tabs>
        <w:tab w:val="right" w:pos="9026"/>
      </w:tabs>
      <w:spacing w:before="80"/>
    </w:pPr>
    <w:r>
      <w:rPr>
        <w:rFonts w:ascii="Arial" w:cs="Arial" w:eastAsia="Arial" w:hAnsi="Arial"/>
        <w:color w:val="4A5568"/>
        <w:sz w:val="17"/>
        <w:szCs w:val="17"/>
      </w:rPr>
      <w:t xml:space="preserve">Team X  ·  Confidential</w:t>
    </w:r>
    <w:r>
      <w:rPr>
        <w:rFonts w:ascii="Arial" w:cs="Arial" w:eastAsia="Arial" w:hAnsi="Arial"/>
        <w:color w:val="4A5568"/>
        <w:sz w:val="17"/>
        <w:szCs w:val="17"/>
      </w:rPr>
      <w:t xml:space="preserve">	Page </w:t>
    </w:r>
    <w:r>
      <w:rPr>
        <w:rFonts w:ascii="Arial" w:cs="Arial" w:eastAsia="Arial" w:hAnsi="Arial"/>
        <w:color w:val="4A55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spacing w:after="80"/>
    </w:pPr>
    <w:r>
      <w:rPr>
        <w:rFonts w:ascii="Arial" w:cs="Arial" w:eastAsia="Arial" w:hAnsi="Arial"/>
        <w:b/>
        <w:bCs/>
        <w:color w:val="1E3A5F"/>
        <w:sz w:val="18"/>
        <w:szCs w:val="18"/>
      </w:rPr>
      <w:t xml:space="preserve">WriteAgent · NUS-ISS AAS Practice Module</w:t>
    </w:r>
    <w:r>
      <w:rPr>
        <w:rFonts w:ascii="Arial" w:cs="Arial" w:eastAsia="Arial" w:hAnsi="Arial"/>
        <w:color w:val="4A5568"/>
        <w:sz w:val="18"/>
        <w:szCs w:val="18"/>
      </w:rPr>
      <w:t xml:space="preserve">	Progress Report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4B2E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2026-03-27T07:07:22.664Z</dcterms:created>
  <dcterms:modified xsi:type="dcterms:W3CDTF">2026-03-27T07:07:22.665Z</dcterms:modified>
</cp:coreProperties>
</file>

<file path=docProps/custom.xml><?xml version="1.0" encoding="utf-8"?>
<Properties xmlns="http://schemas.openxmlformats.org/officeDocument/2006/custom-properties" xmlns:vt="http://schemas.openxmlformats.org/officeDocument/2006/docPropsVTypes"/>
</file>