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0C0E1" w14:textId="77777777" w:rsidR="00E306D3" w:rsidRDefault="00E306D3" w:rsidP="00E306D3">
      <w:pPr>
        <w:pStyle w:val="CommitteeNameNMUN"/>
        <w:rPr>
          <w:rFonts w:ascii="Times New Roman" w:hAnsi="Times New Roman" w:cs="Times New Roman"/>
          <w:lang w:val="de-DE"/>
        </w:rPr>
      </w:pPr>
      <w:r w:rsidRPr="00E96271">
        <w:rPr>
          <w:rFonts w:ascii="Times New Roman" w:hAnsi="Times New Roman" w:cs="Times New Roman"/>
          <w:lang w:val="de-DE"/>
        </w:rPr>
        <w:t>Der Sicherheitsrat,</w:t>
      </w:r>
    </w:p>
    <w:p w14:paraId="45BCCAE1" w14:textId="77777777" w:rsidR="008509BC" w:rsidRDefault="008509BC" w:rsidP="008509BC">
      <w:pPr>
        <w:rPr>
          <w:lang w:val="de-DE"/>
        </w:rPr>
      </w:pPr>
    </w:p>
    <w:p w14:paraId="419971F7" w14:textId="14D6293A" w:rsidR="008509BC" w:rsidRPr="008509BC" w:rsidRDefault="008509BC" w:rsidP="008509BC">
      <w:pPr>
        <w:rPr>
          <w:lang w:val="de-DE"/>
        </w:rPr>
      </w:pPr>
      <w:r>
        <w:rPr>
          <w:i/>
          <w:iCs/>
          <w:lang w:val="de-DE"/>
        </w:rPr>
        <w:t>Verweist auf</w:t>
      </w:r>
      <w:r>
        <w:rPr>
          <w:lang w:val="de-DE"/>
        </w:rPr>
        <w:t xml:space="preserve"> die Resolutionen 2417 und 2573, welche auf die Notwendigkeit humanitärer Hilfe und auf die Hungersnot im Sudan und Südsudan hinweisen,</w:t>
      </w:r>
    </w:p>
    <w:p w14:paraId="0AA43F60" w14:textId="77777777" w:rsidR="00E306D3" w:rsidRPr="00E96271" w:rsidRDefault="00E306D3" w:rsidP="00E306D3">
      <w:pPr>
        <w:rPr>
          <w:sz w:val="22"/>
          <w:szCs w:val="22"/>
          <w:lang w:val="de-DE"/>
        </w:rPr>
      </w:pPr>
    </w:p>
    <w:p w14:paraId="2AA7FBA3" w14:textId="47AD2E3B" w:rsidR="0A92A65A" w:rsidRDefault="0A92A65A" w:rsidP="0A92A65A">
      <w:pPr>
        <w:rPr>
          <w:color w:val="000000" w:themeColor="text1"/>
          <w:sz w:val="22"/>
          <w:szCs w:val="22"/>
          <w:lang w:val="de-DE"/>
        </w:rPr>
      </w:pPr>
      <w:r w:rsidRPr="0A92A65A">
        <w:rPr>
          <w:i/>
          <w:iCs/>
          <w:color w:val="000000" w:themeColor="text1"/>
          <w:sz w:val="22"/>
          <w:szCs w:val="22"/>
          <w:lang w:val="de-DE"/>
        </w:rPr>
        <w:t>Erkennt an, dass,</w:t>
      </w:r>
      <w:r w:rsidRPr="0A92A65A">
        <w:rPr>
          <w:color w:val="000000" w:themeColor="text1"/>
          <w:sz w:val="22"/>
          <w:szCs w:val="22"/>
          <w:lang w:val="de-DE"/>
        </w:rPr>
        <w:t xml:space="preserve"> auf Grund der humanitären Krise im Sudan, die durch anhaltende Konflikte, Vertreibung und wirtschaftlicher Instabilität verschärft wird und </w:t>
      </w:r>
      <w:r w:rsidRPr="0A92A65A">
        <w:rPr>
          <w:i/>
          <w:iCs/>
          <w:color w:val="000000" w:themeColor="text1"/>
          <w:sz w:val="22"/>
          <w:szCs w:val="22"/>
          <w:lang w:val="de-DE"/>
        </w:rPr>
        <w:t>in Anerkennung</w:t>
      </w:r>
      <w:r w:rsidRPr="0A92A65A">
        <w:rPr>
          <w:color w:val="000000" w:themeColor="text1"/>
          <w:sz w:val="22"/>
          <w:szCs w:val="22"/>
          <w:lang w:val="de-DE"/>
        </w:rPr>
        <w:t xml:space="preserve"> des Leids, da</w:t>
      </w:r>
      <w:r w:rsidR="00D80885">
        <w:rPr>
          <w:color w:val="000000" w:themeColor="text1"/>
          <w:sz w:val="22"/>
          <w:szCs w:val="22"/>
          <w:lang w:val="de-DE"/>
        </w:rPr>
        <w:t>s</w:t>
      </w:r>
      <w:r w:rsidRPr="0A92A65A">
        <w:rPr>
          <w:color w:val="000000" w:themeColor="text1"/>
          <w:sz w:val="22"/>
          <w:szCs w:val="22"/>
          <w:lang w:val="de-DE"/>
        </w:rPr>
        <w:t>s Millionen von Zivilisten erleiden, und der dringenden Notwendigkeit, ihre Grundbedürfnisse zu decken,</w:t>
      </w:r>
    </w:p>
    <w:p w14:paraId="1AAB9E4F" w14:textId="4CA0DE5D" w:rsidR="0A92A65A" w:rsidRDefault="0A92A65A" w:rsidP="0A92A65A">
      <w:pPr>
        <w:rPr>
          <w:color w:val="000000" w:themeColor="text1"/>
          <w:sz w:val="22"/>
          <w:szCs w:val="22"/>
          <w:lang w:val="de-DE"/>
        </w:rPr>
      </w:pPr>
    </w:p>
    <w:p w14:paraId="2813241E" w14:textId="52FAAB15" w:rsidR="0A92A65A" w:rsidRDefault="0A92A65A" w:rsidP="0A92A65A">
      <w:pPr>
        <w:rPr>
          <w:color w:val="000000" w:themeColor="text1"/>
          <w:sz w:val="22"/>
          <w:szCs w:val="22"/>
          <w:lang w:val="de-DE"/>
        </w:rPr>
      </w:pPr>
      <w:r w:rsidRPr="0A92A65A">
        <w:rPr>
          <w:i/>
          <w:iCs/>
          <w:color w:val="000000" w:themeColor="text1"/>
          <w:sz w:val="22"/>
          <w:szCs w:val="22"/>
          <w:lang w:val="de-DE"/>
        </w:rPr>
        <w:t xml:space="preserve">Fordert auf, </w:t>
      </w:r>
      <w:r w:rsidRPr="0A92A65A">
        <w:rPr>
          <w:color w:val="000000" w:themeColor="text1"/>
          <w:sz w:val="22"/>
          <w:szCs w:val="22"/>
          <w:lang w:val="de-DE"/>
        </w:rPr>
        <w:t>unter Berücksichtigung der Einhaltung des internationalen humanitären Rechts, alle Konfliktparteien zu verpflichten, die Grundsätze des Internationalen humanitären Rechts (IHL) zu respektieren, insbesondere den Schutz von Zivilisten, humanitären Helfern und Infrastrukturen</w:t>
      </w:r>
      <w:r w:rsidR="00D80885">
        <w:rPr>
          <w:color w:val="000000" w:themeColor="text1"/>
          <w:sz w:val="22"/>
          <w:szCs w:val="22"/>
          <w:lang w:val="de-DE"/>
        </w:rPr>
        <w:t>,</w:t>
      </w:r>
    </w:p>
    <w:p w14:paraId="37B6A69D" w14:textId="73F0EBC3" w:rsidR="0A92A65A" w:rsidRDefault="0A92A65A" w:rsidP="0A92A65A">
      <w:pPr>
        <w:rPr>
          <w:color w:val="000000" w:themeColor="text1"/>
          <w:sz w:val="22"/>
          <w:szCs w:val="22"/>
          <w:lang w:val="de-DE"/>
        </w:rPr>
      </w:pPr>
    </w:p>
    <w:p w14:paraId="3DC94FAC" w14:textId="792577C3" w:rsidR="0A92A65A" w:rsidRDefault="0A92A65A" w:rsidP="0A92A65A">
      <w:pPr>
        <w:rPr>
          <w:color w:val="000000" w:themeColor="text1"/>
          <w:sz w:val="22"/>
          <w:szCs w:val="22"/>
          <w:lang w:val="de-DE"/>
        </w:rPr>
      </w:pPr>
      <w:r w:rsidRPr="0A92A65A">
        <w:rPr>
          <w:i/>
          <w:iCs/>
          <w:color w:val="000000" w:themeColor="text1"/>
          <w:sz w:val="22"/>
          <w:szCs w:val="22"/>
          <w:lang w:val="de-DE"/>
        </w:rPr>
        <w:t xml:space="preserve">Bekräftigen wir, </w:t>
      </w:r>
      <w:r w:rsidRPr="0A92A65A">
        <w:rPr>
          <w:color w:val="000000" w:themeColor="text1"/>
          <w:sz w:val="22"/>
          <w:szCs w:val="22"/>
          <w:lang w:val="de-DE"/>
        </w:rPr>
        <w:t>die Dringlichkeit eines ungehinderten Zugangs zu humanitärer Hilfe für alle betroffenen Bevölkerungsgruppen im Sudan,</w:t>
      </w:r>
    </w:p>
    <w:p w14:paraId="4D63B6F5" w14:textId="69724683" w:rsidR="0A92A65A" w:rsidRDefault="0A92A65A" w:rsidP="0A92A65A">
      <w:pPr>
        <w:rPr>
          <w:color w:val="000000" w:themeColor="text1"/>
          <w:sz w:val="22"/>
          <w:szCs w:val="22"/>
          <w:lang w:val="de-DE"/>
        </w:rPr>
      </w:pPr>
    </w:p>
    <w:p w14:paraId="7F2105DB" w14:textId="00E6111C" w:rsidR="00E306D3" w:rsidRPr="00625028" w:rsidRDefault="0A92A65A" w:rsidP="0A92A65A">
      <w:pPr>
        <w:rPr>
          <w:color w:val="000000"/>
          <w:sz w:val="22"/>
          <w:szCs w:val="22"/>
          <w:lang w:val="de-DE"/>
        </w:rPr>
      </w:pPr>
      <w:r w:rsidRPr="0A92A65A">
        <w:rPr>
          <w:i/>
          <w:iCs/>
          <w:color w:val="000000" w:themeColor="text1"/>
          <w:sz w:val="22"/>
          <w:szCs w:val="22"/>
          <w:lang w:val="de-DE"/>
        </w:rPr>
        <w:t xml:space="preserve">In voller Kenntnis, </w:t>
      </w:r>
      <w:r w:rsidRPr="0A92A65A">
        <w:rPr>
          <w:color w:val="000000" w:themeColor="text1"/>
          <w:sz w:val="22"/>
          <w:szCs w:val="22"/>
          <w:lang w:val="de-DE"/>
        </w:rPr>
        <w:t>der bedeutenden Rolle, die humanitäre Organisationen (z.B. Rotes Kreuz), bei der Bereitstellung von Hilfe und Unterstützung spielen</w:t>
      </w:r>
      <w:r w:rsidR="00605C03">
        <w:rPr>
          <w:color w:val="000000" w:themeColor="text1"/>
          <w:sz w:val="22"/>
          <w:szCs w:val="22"/>
          <w:lang w:val="de-DE"/>
        </w:rPr>
        <w:t>,</w:t>
      </w:r>
    </w:p>
    <w:p w14:paraId="3558DA3E" w14:textId="7896A350" w:rsidR="00E306D3" w:rsidRDefault="00E306D3" w:rsidP="0A92A65A">
      <w:pPr>
        <w:rPr>
          <w:i/>
          <w:iCs/>
          <w:color w:val="000000"/>
          <w:sz w:val="22"/>
          <w:szCs w:val="22"/>
          <w:lang w:val="de-DE"/>
        </w:rPr>
      </w:pPr>
    </w:p>
    <w:p w14:paraId="02CD582C" w14:textId="5D5C39F3" w:rsidR="008962E0" w:rsidRPr="00A74222" w:rsidRDefault="008962E0" w:rsidP="00413835">
      <w:pPr>
        <w:pStyle w:val="Listenabsatz"/>
        <w:numPr>
          <w:ilvl w:val="0"/>
          <w:numId w:val="7"/>
        </w:numPr>
        <w:rPr>
          <w:color w:val="000000"/>
          <w:sz w:val="22"/>
          <w:szCs w:val="22"/>
          <w:lang w:val="de-DE"/>
        </w:rPr>
      </w:pPr>
      <w:proofErr w:type="spellStart"/>
      <w:r w:rsidRPr="008962E0">
        <w:rPr>
          <w:i/>
          <w:iCs/>
        </w:rPr>
        <w:t>Beschließt</w:t>
      </w:r>
      <w:proofErr w:type="spellEnd"/>
      <w:r>
        <w:rPr>
          <w:i/>
          <w:iCs/>
        </w:rPr>
        <w:t xml:space="preserve"> </w:t>
      </w:r>
      <w:r>
        <w:t xml:space="preserve">die </w:t>
      </w:r>
      <w:proofErr w:type="spellStart"/>
      <w:r>
        <w:t>finanzielle</w:t>
      </w:r>
      <w:proofErr w:type="spellEnd"/>
      <w:r>
        <w:t xml:space="preserve"> </w:t>
      </w:r>
      <w:proofErr w:type="spellStart"/>
      <w:r>
        <w:t>Unterstützung</w:t>
      </w:r>
      <w:proofErr w:type="spellEnd"/>
      <w:r>
        <w:t xml:space="preserve"> von </w:t>
      </w:r>
      <w:r w:rsidRPr="008962E0">
        <w:rPr>
          <w:color w:val="000000" w:themeColor="text1"/>
          <w:sz w:val="22"/>
          <w:szCs w:val="22"/>
          <w:lang w:val="de-DE"/>
        </w:rPr>
        <w:t>lokalen Hilfsorganisationen</w:t>
      </w:r>
      <w:r>
        <w:rPr>
          <w:color w:val="000000" w:themeColor="text1"/>
          <w:sz w:val="22"/>
          <w:szCs w:val="22"/>
          <w:lang w:val="de-DE"/>
        </w:rPr>
        <w:t>, die die Versorgung der Menschen vor Ort übernehmen und die Werte der VN teilen;</w:t>
      </w:r>
    </w:p>
    <w:p w14:paraId="5BF2C263" w14:textId="77777777" w:rsidR="00A74222" w:rsidRPr="008962E0" w:rsidRDefault="00A74222" w:rsidP="00A74222">
      <w:pPr>
        <w:pStyle w:val="Listenabsatz"/>
        <w:ind w:left="1416"/>
        <w:rPr>
          <w:color w:val="000000"/>
          <w:sz w:val="22"/>
          <w:szCs w:val="22"/>
          <w:lang w:val="de-DE"/>
        </w:rPr>
      </w:pPr>
    </w:p>
    <w:p w14:paraId="4C5249DA" w14:textId="5AEE01E3" w:rsidR="008962E0" w:rsidRPr="00591565" w:rsidRDefault="008962E0" w:rsidP="008962E0">
      <w:pPr>
        <w:pStyle w:val="Listenabsatz"/>
        <w:numPr>
          <w:ilvl w:val="1"/>
          <w:numId w:val="7"/>
        </w:numPr>
        <w:rPr>
          <w:color w:val="000000"/>
          <w:sz w:val="24"/>
          <w:szCs w:val="24"/>
          <w:lang w:val="de-DE"/>
        </w:rPr>
      </w:pPr>
      <w:r w:rsidRPr="00591565">
        <w:rPr>
          <w:sz w:val="22"/>
          <w:szCs w:val="22"/>
        </w:rPr>
        <w:t xml:space="preserve">Die </w:t>
      </w:r>
      <w:proofErr w:type="spellStart"/>
      <w:r w:rsidRPr="00591565">
        <w:rPr>
          <w:sz w:val="22"/>
          <w:szCs w:val="22"/>
        </w:rPr>
        <w:t>finanziellen</w:t>
      </w:r>
      <w:proofErr w:type="spellEnd"/>
      <w:r w:rsidRPr="00591565">
        <w:rPr>
          <w:sz w:val="22"/>
          <w:szCs w:val="22"/>
        </w:rPr>
        <w:t xml:space="preserve"> Kosten </w:t>
      </w:r>
      <w:proofErr w:type="spellStart"/>
      <w:r w:rsidRPr="00591565">
        <w:rPr>
          <w:sz w:val="22"/>
          <w:szCs w:val="22"/>
        </w:rPr>
        <w:t>werden</w:t>
      </w:r>
      <w:proofErr w:type="spellEnd"/>
      <w:r w:rsidRPr="00591565">
        <w:rPr>
          <w:sz w:val="22"/>
          <w:szCs w:val="22"/>
        </w:rPr>
        <w:t xml:space="preserve"> von der </w:t>
      </w:r>
      <w:proofErr w:type="spellStart"/>
      <w:r w:rsidRPr="00591565">
        <w:rPr>
          <w:sz w:val="22"/>
          <w:szCs w:val="22"/>
        </w:rPr>
        <w:t>Republik</w:t>
      </w:r>
      <w:proofErr w:type="spellEnd"/>
      <w:r w:rsidRPr="00591565">
        <w:rPr>
          <w:sz w:val="22"/>
          <w:szCs w:val="22"/>
        </w:rPr>
        <w:t xml:space="preserve"> Malta, der </w:t>
      </w:r>
      <w:proofErr w:type="spellStart"/>
      <w:r w:rsidRPr="00591565">
        <w:rPr>
          <w:sz w:val="22"/>
          <w:szCs w:val="22"/>
        </w:rPr>
        <w:t>Französischen</w:t>
      </w:r>
      <w:proofErr w:type="spellEnd"/>
      <w:r w:rsidRPr="00591565">
        <w:rPr>
          <w:sz w:val="22"/>
          <w:szCs w:val="22"/>
        </w:rPr>
        <w:t xml:space="preserve"> </w:t>
      </w:r>
      <w:proofErr w:type="spellStart"/>
      <w:r w:rsidRPr="00591565">
        <w:rPr>
          <w:sz w:val="22"/>
          <w:szCs w:val="22"/>
        </w:rPr>
        <w:t>Republik</w:t>
      </w:r>
      <w:proofErr w:type="spellEnd"/>
      <w:r w:rsidRPr="00591565">
        <w:rPr>
          <w:sz w:val="22"/>
          <w:szCs w:val="22"/>
        </w:rPr>
        <w:t xml:space="preserve"> und der </w:t>
      </w:r>
      <w:proofErr w:type="spellStart"/>
      <w:r w:rsidRPr="00591565">
        <w:rPr>
          <w:sz w:val="22"/>
          <w:szCs w:val="22"/>
        </w:rPr>
        <w:t>Russischen</w:t>
      </w:r>
      <w:proofErr w:type="spellEnd"/>
      <w:r w:rsidRPr="00591565">
        <w:rPr>
          <w:sz w:val="22"/>
          <w:szCs w:val="22"/>
        </w:rPr>
        <w:t xml:space="preserve"> </w:t>
      </w:r>
      <w:proofErr w:type="spellStart"/>
      <w:r w:rsidRPr="00591565">
        <w:rPr>
          <w:sz w:val="22"/>
          <w:szCs w:val="22"/>
        </w:rPr>
        <w:t>Föderation</w:t>
      </w:r>
      <w:proofErr w:type="spellEnd"/>
      <w:r w:rsidRPr="00591565">
        <w:rPr>
          <w:sz w:val="22"/>
          <w:szCs w:val="22"/>
        </w:rPr>
        <w:t xml:space="preserve"> </w:t>
      </w:r>
      <w:proofErr w:type="spellStart"/>
      <w:r w:rsidRPr="00591565">
        <w:rPr>
          <w:sz w:val="22"/>
          <w:szCs w:val="22"/>
        </w:rPr>
        <w:t>getragen</w:t>
      </w:r>
      <w:proofErr w:type="spellEnd"/>
      <w:r w:rsidRPr="00591565">
        <w:rPr>
          <w:sz w:val="22"/>
          <w:szCs w:val="22"/>
        </w:rPr>
        <w:t>;</w:t>
      </w:r>
    </w:p>
    <w:p w14:paraId="042559DA" w14:textId="77777777" w:rsidR="008962E0" w:rsidRPr="008962E0" w:rsidRDefault="008962E0" w:rsidP="008962E0">
      <w:pPr>
        <w:pStyle w:val="Listenabsatz"/>
        <w:ind w:left="1416"/>
        <w:rPr>
          <w:color w:val="000000"/>
          <w:sz w:val="22"/>
          <w:szCs w:val="22"/>
          <w:lang w:val="de-DE"/>
        </w:rPr>
      </w:pPr>
    </w:p>
    <w:p w14:paraId="2CB9461B" w14:textId="24428575" w:rsidR="00E306D3" w:rsidRDefault="008962E0" w:rsidP="008962E0">
      <w:pPr>
        <w:pStyle w:val="Listenabsatz"/>
        <w:numPr>
          <w:ilvl w:val="0"/>
          <w:numId w:val="7"/>
        </w:num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 xml:space="preserve">Fordert </w:t>
      </w:r>
      <w:r>
        <w:rPr>
          <w:color w:val="000000"/>
          <w:sz w:val="22"/>
          <w:szCs w:val="22"/>
          <w:lang w:val="de-DE"/>
        </w:rPr>
        <w:t xml:space="preserve">die Konfliktparteien </w:t>
      </w:r>
      <w:r>
        <w:rPr>
          <w:i/>
          <w:iCs/>
          <w:color w:val="000000"/>
          <w:sz w:val="22"/>
          <w:szCs w:val="22"/>
          <w:lang w:val="de-DE"/>
        </w:rPr>
        <w:t>auf</w:t>
      </w:r>
      <w:r>
        <w:rPr>
          <w:color w:val="000000"/>
          <w:sz w:val="22"/>
          <w:szCs w:val="22"/>
          <w:lang w:val="de-DE"/>
        </w:rPr>
        <w:t>, Hilfsorganisationen zu schützen;</w:t>
      </w:r>
    </w:p>
    <w:p w14:paraId="66A673F0" w14:textId="3176B37C" w:rsidR="008962E0" w:rsidRPr="008962E0" w:rsidRDefault="008962E0" w:rsidP="008962E0">
      <w:pPr>
        <w:pStyle w:val="Listenabsatz"/>
        <w:ind w:left="1416"/>
        <w:rPr>
          <w:color w:val="000000"/>
          <w:sz w:val="22"/>
          <w:szCs w:val="22"/>
          <w:lang w:val="de-DE"/>
        </w:rPr>
      </w:pPr>
    </w:p>
    <w:p w14:paraId="076FF669" w14:textId="31D5844B" w:rsidR="008962E0" w:rsidRDefault="00A74222" w:rsidP="008962E0">
      <w:pPr>
        <w:pStyle w:val="Listenabsatz"/>
        <w:numPr>
          <w:ilvl w:val="0"/>
          <w:numId w:val="7"/>
        </w:num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Beschließt</w:t>
      </w:r>
      <w:r>
        <w:rPr>
          <w:color w:val="000000"/>
          <w:sz w:val="22"/>
          <w:szCs w:val="22"/>
          <w:lang w:val="de-DE"/>
        </w:rPr>
        <w:t xml:space="preserve">, die Gründung einer </w:t>
      </w:r>
      <w:proofErr w:type="gramStart"/>
      <w:r w:rsidR="00591565">
        <w:rPr>
          <w:color w:val="000000"/>
          <w:sz w:val="22"/>
          <w:szCs w:val="22"/>
          <w:lang w:val="de-DE"/>
        </w:rPr>
        <w:t>VN</w:t>
      </w:r>
      <w:r>
        <w:rPr>
          <w:color w:val="000000"/>
          <w:sz w:val="22"/>
          <w:szCs w:val="22"/>
          <w:lang w:val="de-DE"/>
        </w:rPr>
        <w:t xml:space="preserve"> Mission</w:t>
      </w:r>
      <w:proofErr w:type="gramEnd"/>
      <w:r>
        <w:rPr>
          <w:color w:val="000000"/>
          <w:sz w:val="22"/>
          <w:szCs w:val="22"/>
          <w:lang w:val="de-DE"/>
        </w:rPr>
        <w:t xml:space="preserve"> (United </w:t>
      </w:r>
      <w:proofErr w:type="spellStart"/>
      <w:r>
        <w:rPr>
          <w:color w:val="000000"/>
          <w:sz w:val="22"/>
          <w:szCs w:val="22"/>
          <w:lang w:val="de-DE"/>
        </w:rPr>
        <w:t>Nations</w:t>
      </w:r>
      <w:proofErr w:type="spellEnd"/>
      <w:r>
        <w:rPr>
          <w:color w:val="000000"/>
          <w:sz w:val="22"/>
          <w:szCs w:val="22"/>
          <w:lang w:val="de-DE"/>
        </w:rPr>
        <w:t xml:space="preserve"> Distribution Mission in Sudan and South Sudan, kurz UNDMMISS)</w:t>
      </w:r>
      <w:r w:rsidR="007F3B89">
        <w:rPr>
          <w:color w:val="000000"/>
          <w:sz w:val="22"/>
          <w:szCs w:val="22"/>
          <w:lang w:val="de-DE"/>
        </w:rPr>
        <w:t xml:space="preserve"> mit robustem Mandat</w:t>
      </w:r>
      <w:r>
        <w:rPr>
          <w:color w:val="000000"/>
          <w:sz w:val="22"/>
          <w:szCs w:val="22"/>
          <w:lang w:val="de-DE"/>
        </w:rPr>
        <w:t>, die an mehreren Standorten Verteilzentren aufbaut, die die Hilfsorganisation bei der Verteilung der Hilfsgüter unterstützt;</w:t>
      </w:r>
    </w:p>
    <w:p w14:paraId="3E28A33F" w14:textId="77777777" w:rsidR="00A74222" w:rsidRPr="00A74222" w:rsidRDefault="00A74222" w:rsidP="00A74222">
      <w:pPr>
        <w:pStyle w:val="Listenabsatz"/>
        <w:rPr>
          <w:color w:val="000000"/>
          <w:sz w:val="22"/>
          <w:szCs w:val="22"/>
          <w:lang w:val="de-DE"/>
        </w:rPr>
      </w:pPr>
    </w:p>
    <w:p w14:paraId="3DBC3E67" w14:textId="59AFC87B" w:rsidR="00A74222" w:rsidRDefault="00591565" w:rsidP="00A74222">
      <w:pPr>
        <w:pStyle w:val="Listenabsatz"/>
        <w:numPr>
          <w:ilvl w:val="1"/>
          <w:numId w:val="7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Das United </w:t>
      </w:r>
      <w:proofErr w:type="spellStart"/>
      <w:r>
        <w:rPr>
          <w:color w:val="000000"/>
          <w:sz w:val="22"/>
          <w:szCs w:val="22"/>
          <w:lang w:val="de-DE"/>
        </w:rPr>
        <w:t>Nations</w:t>
      </w:r>
      <w:proofErr w:type="spellEnd"/>
      <w:r>
        <w:rPr>
          <w:color w:val="000000"/>
          <w:sz w:val="22"/>
          <w:szCs w:val="22"/>
          <w:lang w:val="de-DE"/>
        </w:rPr>
        <w:t xml:space="preserve"> Development Programme unterstützt die Mission mit Personal und Expertise;</w:t>
      </w:r>
    </w:p>
    <w:p w14:paraId="6AA6543E" w14:textId="77777777" w:rsidR="00591565" w:rsidRDefault="00591565" w:rsidP="00591565">
      <w:pPr>
        <w:pStyle w:val="Listenabsatz"/>
        <w:ind w:left="1788"/>
        <w:rPr>
          <w:color w:val="000000"/>
          <w:sz w:val="22"/>
          <w:szCs w:val="22"/>
          <w:lang w:val="de-DE"/>
        </w:rPr>
      </w:pPr>
    </w:p>
    <w:p w14:paraId="679F1D30" w14:textId="0EF9CDCD" w:rsidR="00591565" w:rsidRDefault="00591565" w:rsidP="00A74222">
      <w:pPr>
        <w:pStyle w:val="Listenabsatz"/>
        <w:numPr>
          <w:ilvl w:val="1"/>
          <w:numId w:val="7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Die Französische Republik, die Vereinigten Staaten, die Volksrepublik China und die Russische Föderation stellen je 3 Frachtflugzeuge und -Hubschrauber</w:t>
      </w:r>
      <w:r w:rsidR="007F3B89">
        <w:rPr>
          <w:color w:val="000000"/>
          <w:sz w:val="22"/>
          <w:szCs w:val="22"/>
          <w:lang w:val="de-DE"/>
        </w:rPr>
        <w:t>;</w:t>
      </w:r>
    </w:p>
    <w:p w14:paraId="61D51B28" w14:textId="77777777" w:rsidR="00591565" w:rsidRPr="00591565" w:rsidRDefault="00591565" w:rsidP="00591565">
      <w:pPr>
        <w:pStyle w:val="Listenabsatz"/>
        <w:rPr>
          <w:color w:val="000000"/>
          <w:sz w:val="22"/>
          <w:szCs w:val="22"/>
          <w:lang w:val="de-DE"/>
        </w:rPr>
      </w:pPr>
    </w:p>
    <w:p w14:paraId="744BC817" w14:textId="3D010790" w:rsidR="00591565" w:rsidRDefault="00591565" w:rsidP="00A74222">
      <w:pPr>
        <w:pStyle w:val="Listenabsatz"/>
        <w:numPr>
          <w:ilvl w:val="1"/>
          <w:numId w:val="7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Die Französische Republik, die Vereinigten Staaten, die Volksrepublik China und die Republik Mosambik stellen </w:t>
      </w:r>
      <w:r w:rsidR="007F3B89">
        <w:rPr>
          <w:color w:val="000000"/>
          <w:sz w:val="22"/>
          <w:szCs w:val="22"/>
          <w:lang w:val="de-DE"/>
        </w:rPr>
        <w:t>je 5 Lastwagen zur Verfügung;</w:t>
      </w:r>
    </w:p>
    <w:p w14:paraId="5918A745" w14:textId="77777777" w:rsidR="007F3B89" w:rsidRPr="007F3B89" w:rsidRDefault="007F3B89" w:rsidP="007F3B89">
      <w:pPr>
        <w:pStyle w:val="Listenabsatz"/>
        <w:rPr>
          <w:color w:val="000000"/>
          <w:sz w:val="22"/>
          <w:szCs w:val="22"/>
          <w:lang w:val="de-DE"/>
        </w:rPr>
      </w:pPr>
    </w:p>
    <w:p w14:paraId="690C78DD" w14:textId="300BF04A" w:rsidR="007F3B89" w:rsidRDefault="007F3B89" w:rsidP="007F3B89">
      <w:pPr>
        <w:pStyle w:val="Listenabsatz"/>
        <w:numPr>
          <w:ilvl w:val="1"/>
          <w:numId w:val="7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Die Französische Republik, die Vereinigten Staaten, die Volksrepublik China</w:t>
      </w:r>
      <w:r>
        <w:rPr>
          <w:color w:val="000000"/>
          <w:sz w:val="22"/>
          <w:szCs w:val="22"/>
          <w:lang w:val="de-DE"/>
        </w:rPr>
        <w:t>, die Republik Malta</w:t>
      </w:r>
      <w:r>
        <w:rPr>
          <w:color w:val="000000"/>
          <w:sz w:val="22"/>
          <w:szCs w:val="22"/>
          <w:lang w:val="de-DE"/>
        </w:rPr>
        <w:t xml:space="preserve"> und die Republik Mosambik stellen</w:t>
      </w:r>
      <w:r>
        <w:rPr>
          <w:color w:val="000000"/>
          <w:sz w:val="22"/>
          <w:szCs w:val="22"/>
          <w:lang w:val="de-DE"/>
        </w:rPr>
        <w:t xml:space="preserve"> das Personal der Mission zur Verfügung;</w:t>
      </w:r>
    </w:p>
    <w:p w14:paraId="6CE15F07" w14:textId="77777777" w:rsidR="007F3B89" w:rsidRPr="007F3B89" w:rsidRDefault="007F3B89" w:rsidP="007F3B89">
      <w:pPr>
        <w:pStyle w:val="Listenabsatz"/>
        <w:rPr>
          <w:color w:val="000000"/>
          <w:sz w:val="22"/>
          <w:szCs w:val="22"/>
          <w:lang w:val="de-DE"/>
        </w:rPr>
      </w:pPr>
    </w:p>
    <w:p w14:paraId="40874698" w14:textId="3B2AC8F4" w:rsidR="007F3B89" w:rsidRPr="007F3B89" w:rsidRDefault="007F3B89" w:rsidP="007F3B89">
      <w:pPr>
        <w:pStyle w:val="Listenabsatz"/>
        <w:numPr>
          <w:ilvl w:val="1"/>
          <w:numId w:val="7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Die Französische Republik, die Vereinigten Staaten, die Volksrepublik China</w:t>
      </w:r>
      <w:r>
        <w:rPr>
          <w:color w:val="000000"/>
          <w:sz w:val="22"/>
          <w:szCs w:val="22"/>
          <w:lang w:val="de-DE"/>
        </w:rPr>
        <w:t xml:space="preserve"> stellen Soldaten zum Schutz der Verteilzentren;</w:t>
      </w:r>
    </w:p>
    <w:p w14:paraId="5AC33B85" w14:textId="77777777" w:rsidR="00E306D3" w:rsidRPr="00165C08" w:rsidRDefault="00E306D3" w:rsidP="00E306D3">
      <w:pPr>
        <w:rPr>
          <w:color w:val="000000"/>
          <w:sz w:val="22"/>
          <w:szCs w:val="22"/>
          <w:lang w:val="de-DE"/>
        </w:rPr>
      </w:pPr>
    </w:p>
    <w:p w14:paraId="28C310B2" w14:textId="08FBB958" w:rsidR="005E1357" w:rsidRPr="007F3B89" w:rsidRDefault="0A92A65A" w:rsidP="007F3B89">
      <w:pPr>
        <w:ind w:left="1416" w:hanging="708"/>
        <w:rPr>
          <w:color w:val="000000"/>
          <w:sz w:val="22"/>
          <w:szCs w:val="22"/>
          <w:lang w:val="de-DE"/>
        </w:rPr>
      </w:pPr>
      <w:r w:rsidRPr="0A92A65A">
        <w:rPr>
          <w:color w:val="000000" w:themeColor="text1"/>
          <w:sz w:val="22"/>
          <w:szCs w:val="22"/>
          <w:lang w:val="de-DE"/>
        </w:rPr>
        <w:t>2.</w:t>
      </w:r>
      <w:r w:rsidR="007F3B89">
        <w:rPr>
          <w:i/>
          <w:iCs/>
          <w:color w:val="000000" w:themeColor="text1"/>
          <w:sz w:val="22"/>
          <w:szCs w:val="22"/>
          <w:lang w:val="de-DE"/>
        </w:rPr>
        <w:t xml:space="preserve"> fordert </w:t>
      </w:r>
      <w:r w:rsidR="007F3B89">
        <w:rPr>
          <w:color w:val="000000" w:themeColor="text1"/>
          <w:sz w:val="22"/>
          <w:szCs w:val="22"/>
          <w:lang w:val="de-DE"/>
        </w:rPr>
        <w:t xml:space="preserve">in dieser Sache den Generalsekretär der VN </w:t>
      </w:r>
      <w:r w:rsidR="007F3B89">
        <w:rPr>
          <w:i/>
          <w:iCs/>
          <w:color w:val="000000" w:themeColor="text1"/>
          <w:sz w:val="22"/>
          <w:szCs w:val="22"/>
          <w:lang w:val="de-DE"/>
        </w:rPr>
        <w:t xml:space="preserve">auf, </w:t>
      </w:r>
      <w:r w:rsidR="007F3B89">
        <w:rPr>
          <w:color w:val="000000" w:themeColor="text1"/>
          <w:sz w:val="22"/>
          <w:szCs w:val="22"/>
          <w:lang w:val="de-DE"/>
        </w:rPr>
        <w:t>eine Geberkonferenz zu organisieren, auf der die Finanzierung der UNDMISS gedeckt werden sollen.</w:t>
      </w:r>
      <w:r w:rsidR="00E306D3">
        <w:tab/>
      </w:r>
    </w:p>
    <w:sectPr w:rsidR="005E1357" w:rsidRPr="007F3B89" w:rsidSect="00A53FE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2A757" w14:textId="77777777" w:rsidR="007D03B6" w:rsidRDefault="007D03B6" w:rsidP="00A53FE5">
      <w:r>
        <w:separator/>
      </w:r>
    </w:p>
  </w:endnote>
  <w:endnote w:type="continuationSeparator" w:id="0">
    <w:p w14:paraId="5EA134BD" w14:textId="77777777" w:rsidR="007D03B6" w:rsidRDefault="007D03B6" w:rsidP="00A53FE5">
      <w:r>
        <w:continuationSeparator/>
      </w:r>
    </w:p>
  </w:endnote>
  <w:endnote w:type="continuationNotice" w:id="1">
    <w:p w14:paraId="31A6EF45" w14:textId="77777777" w:rsidR="007D03B6" w:rsidRDefault="007D0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A92A65A" w14:paraId="67EB6517" w14:textId="77777777" w:rsidTr="0A92A65A">
      <w:trPr>
        <w:trHeight w:val="300"/>
      </w:trPr>
      <w:tc>
        <w:tcPr>
          <w:tcW w:w="3020" w:type="dxa"/>
        </w:tcPr>
        <w:p w14:paraId="4243001B" w14:textId="4DB3B349" w:rsidR="0A92A65A" w:rsidRDefault="0A92A65A" w:rsidP="0A92A65A">
          <w:pPr>
            <w:pStyle w:val="Kopfzeile"/>
            <w:ind w:left="-115"/>
          </w:pPr>
        </w:p>
      </w:tc>
      <w:tc>
        <w:tcPr>
          <w:tcW w:w="3020" w:type="dxa"/>
        </w:tcPr>
        <w:p w14:paraId="432E8B64" w14:textId="65D364D8" w:rsidR="0A92A65A" w:rsidRDefault="0A92A65A" w:rsidP="0A92A65A">
          <w:pPr>
            <w:pStyle w:val="Kopfzeile"/>
            <w:jc w:val="center"/>
          </w:pPr>
        </w:p>
      </w:tc>
      <w:tc>
        <w:tcPr>
          <w:tcW w:w="3020" w:type="dxa"/>
        </w:tcPr>
        <w:p w14:paraId="71288943" w14:textId="01F953BE" w:rsidR="0A92A65A" w:rsidRDefault="0A92A65A" w:rsidP="0A92A65A">
          <w:pPr>
            <w:pStyle w:val="Kopfzeile"/>
            <w:ind w:right="-115"/>
            <w:jc w:val="right"/>
          </w:pPr>
        </w:p>
      </w:tc>
    </w:tr>
  </w:tbl>
  <w:p w14:paraId="6CB9DAD5" w14:textId="1123D57F" w:rsidR="0A92A65A" w:rsidRDefault="0A92A65A" w:rsidP="0A92A65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A92A65A" w14:paraId="3D014AF8" w14:textId="77777777" w:rsidTr="0A92A65A">
      <w:trPr>
        <w:trHeight w:val="300"/>
      </w:trPr>
      <w:tc>
        <w:tcPr>
          <w:tcW w:w="3020" w:type="dxa"/>
        </w:tcPr>
        <w:p w14:paraId="1244EB31" w14:textId="59568859" w:rsidR="0A92A65A" w:rsidRDefault="0A92A65A" w:rsidP="0A92A65A">
          <w:pPr>
            <w:pStyle w:val="Kopfzeile"/>
            <w:ind w:left="-115"/>
          </w:pPr>
        </w:p>
      </w:tc>
      <w:tc>
        <w:tcPr>
          <w:tcW w:w="3020" w:type="dxa"/>
        </w:tcPr>
        <w:p w14:paraId="4621BBBE" w14:textId="7D945607" w:rsidR="0A92A65A" w:rsidRDefault="0A92A65A" w:rsidP="0A92A65A">
          <w:pPr>
            <w:pStyle w:val="Kopfzeile"/>
            <w:jc w:val="center"/>
          </w:pPr>
        </w:p>
      </w:tc>
      <w:tc>
        <w:tcPr>
          <w:tcW w:w="3020" w:type="dxa"/>
        </w:tcPr>
        <w:p w14:paraId="6AA0012B" w14:textId="1DBA13E2" w:rsidR="0A92A65A" w:rsidRDefault="0A92A65A" w:rsidP="0A92A65A">
          <w:pPr>
            <w:pStyle w:val="Kopfzeile"/>
            <w:ind w:right="-115"/>
            <w:jc w:val="right"/>
          </w:pPr>
        </w:p>
      </w:tc>
    </w:tr>
  </w:tbl>
  <w:p w14:paraId="2F257925" w14:textId="271F690E" w:rsidR="0A92A65A" w:rsidRDefault="0A92A65A" w:rsidP="0A92A6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F1393" w14:textId="77777777" w:rsidR="007D03B6" w:rsidRDefault="007D03B6" w:rsidP="00A53FE5">
      <w:r>
        <w:separator/>
      </w:r>
    </w:p>
  </w:footnote>
  <w:footnote w:type="continuationSeparator" w:id="0">
    <w:p w14:paraId="0C0F2BB7" w14:textId="77777777" w:rsidR="007D03B6" w:rsidRDefault="007D03B6" w:rsidP="00A53FE5">
      <w:r>
        <w:continuationSeparator/>
      </w:r>
    </w:p>
  </w:footnote>
  <w:footnote w:type="continuationNotice" w:id="1">
    <w:p w14:paraId="2F4B348E" w14:textId="77777777" w:rsidR="007D03B6" w:rsidRDefault="007D03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A92A65A" w14:paraId="29355B4B" w14:textId="77777777" w:rsidTr="0A92A65A">
      <w:trPr>
        <w:trHeight w:val="300"/>
      </w:trPr>
      <w:tc>
        <w:tcPr>
          <w:tcW w:w="3020" w:type="dxa"/>
        </w:tcPr>
        <w:p w14:paraId="65E2F5FE" w14:textId="44EE30CC" w:rsidR="0A92A65A" w:rsidRDefault="0A92A65A" w:rsidP="0A92A65A">
          <w:pPr>
            <w:pStyle w:val="Kopfzeile"/>
            <w:ind w:left="-115"/>
          </w:pPr>
        </w:p>
      </w:tc>
      <w:tc>
        <w:tcPr>
          <w:tcW w:w="3020" w:type="dxa"/>
        </w:tcPr>
        <w:p w14:paraId="6E8E8378" w14:textId="19658B5B" w:rsidR="0A92A65A" w:rsidRDefault="0A92A65A" w:rsidP="0A92A65A">
          <w:pPr>
            <w:pStyle w:val="Kopfzeile"/>
            <w:jc w:val="center"/>
          </w:pPr>
        </w:p>
      </w:tc>
      <w:tc>
        <w:tcPr>
          <w:tcW w:w="3020" w:type="dxa"/>
        </w:tcPr>
        <w:p w14:paraId="05482A3C" w14:textId="1A312934" w:rsidR="0A92A65A" w:rsidRDefault="0A92A65A" w:rsidP="0A92A65A">
          <w:pPr>
            <w:pStyle w:val="Kopfzeile"/>
            <w:ind w:right="-115"/>
            <w:jc w:val="right"/>
          </w:pPr>
        </w:p>
      </w:tc>
    </w:tr>
  </w:tbl>
  <w:p w14:paraId="7D9F86B0" w14:textId="3BC2796A" w:rsidR="0A92A65A" w:rsidRDefault="0A92A65A" w:rsidP="0A92A6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EBC03" w14:textId="329C0ED5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D80885" w:rsidRPr="00D80885">
      <w:rPr>
        <w:rFonts w:ascii="Times New Roman" w:hAnsi="Times New Roman" w:cs="Times New Roman"/>
        <w:i w:val="0"/>
        <w:lang w:val="de-DE"/>
      </w:rPr>
      <w:t>S/SUSS/3</w:t>
    </w:r>
  </w:p>
  <w:p w14:paraId="5D9FA511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606D196E" w14:textId="6DA2E2FD" w:rsidR="00FE4B6D" w:rsidRPr="00FE4B6D" w:rsidRDefault="00A53FE5" w:rsidP="00FE4B6D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="00D80885">
      <w:rPr>
        <w:rFonts w:ascii="Times New Roman" w:hAnsi="Times New Roman" w:cs="Times New Roman"/>
        <w:i w:val="0"/>
        <w:lang w:val="de-DE"/>
      </w:rPr>
      <w:t xml:space="preserve"> Der Konflikt im Sudan und Südsudan</w:t>
    </w:r>
  </w:p>
  <w:p w14:paraId="342C5808" w14:textId="6A0F9D9A" w:rsidR="00E96271" w:rsidRPr="00E96271" w:rsidRDefault="0A92A65A" w:rsidP="00E96271">
    <w:pPr>
      <w:rPr>
        <w:lang w:val="de-DE"/>
      </w:rPr>
    </w:pPr>
    <w:r w:rsidRPr="0A92A65A">
      <w:rPr>
        <w:b/>
        <w:bCs/>
        <w:lang w:val="de-DE"/>
      </w:rPr>
      <w:t>Sponsoren: Malta, Slowenien, USA, Sierra Leone, Schweiz, Ecuador</w:t>
    </w:r>
  </w:p>
  <w:p w14:paraId="2439E919" w14:textId="77777777" w:rsidR="00A53FE5" w:rsidRPr="00A53FE5" w:rsidRDefault="00A53FE5">
    <w:pPr>
      <w:pStyle w:val="Kopfzeile"/>
      <w:rPr>
        <w:lang w:val="de-DE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Mpormh0fq3Imq" int2:id="nhAhtDY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55753"/>
    <w:multiLevelType w:val="hybridMultilevel"/>
    <w:tmpl w:val="9C68A6FE"/>
    <w:lvl w:ilvl="0" w:tplc="04070019">
      <w:start w:val="1"/>
      <w:numFmt w:val="lowerLetter"/>
      <w:lvlText w:val="%1."/>
      <w:lvlJc w:val="left"/>
      <w:pPr>
        <w:ind w:left="1788" w:hanging="360"/>
      </w:pPr>
    </w:lvl>
    <w:lvl w:ilvl="1" w:tplc="04070019" w:tentative="1">
      <w:start w:val="1"/>
      <w:numFmt w:val="lowerLetter"/>
      <w:lvlText w:val="%2."/>
      <w:lvlJc w:val="left"/>
      <w:pPr>
        <w:ind w:left="2508" w:hanging="360"/>
      </w:pPr>
    </w:lvl>
    <w:lvl w:ilvl="2" w:tplc="0407001B" w:tentative="1">
      <w:start w:val="1"/>
      <w:numFmt w:val="lowerRoman"/>
      <w:lvlText w:val="%3."/>
      <w:lvlJc w:val="right"/>
      <w:pPr>
        <w:ind w:left="3228" w:hanging="180"/>
      </w:pPr>
    </w:lvl>
    <w:lvl w:ilvl="3" w:tplc="0407000F" w:tentative="1">
      <w:start w:val="1"/>
      <w:numFmt w:val="decimal"/>
      <w:lvlText w:val="%4."/>
      <w:lvlJc w:val="left"/>
      <w:pPr>
        <w:ind w:left="3948" w:hanging="360"/>
      </w:pPr>
    </w:lvl>
    <w:lvl w:ilvl="4" w:tplc="04070019" w:tentative="1">
      <w:start w:val="1"/>
      <w:numFmt w:val="lowerLetter"/>
      <w:lvlText w:val="%5."/>
      <w:lvlJc w:val="left"/>
      <w:pPr>
        <w:ind w:left="4668" w:hanging="360"/>
      </w:pPr>
    </w:lvl>
    <w:lvl w:ilvl="5" w:tplc="0407001B" w:tentative="1">
      <w:start w:val="1"/>
      <w:numFmt w:val="lowerRoman"/>
      <w:lvlText w:val="%6."/>
      <w:lvlJc w:val="right"/>
      <w:pPr>
        <w:ind w:left="5388" w:hanging="180"/>
      </w:pPr>
    </w:lvl>
    <w:lvl w:ilvl="6" w:tplc="0407000F" w:tentative="1">
      <w:start w:val="1"/>
      <w:numFmt w:val="decimal"/>
      <w:lvlText w:val="%7."/>
      <w:lvlJc w:val="left"/>
      <w:pPr>
        <w:ind w:left="6108" w:hanging="360"/>
      </w:pPr>
    </w:lvl>
    <w:lvl w:ilvl="7" w:tplc="04070019" w:tentative="1">
      <w:start w:val="1"/>
      <w:numFmt w:val="lowerLetter"/>
      <w:lvlText w:val="%8."/>
      <w:lvlJc w:val="left"/>
      <w:pPr>
        <w:ind w:left="6828" w:hanging="360"/>
      </w:pPr>
    </w:lvl>
    <w:lvl w:ilvl="8" w:tplc="0407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1702" w:hanging="360"/>
      </w:pPr>
    </w:lvl>
    <w:lvl w:ilvl="1" w:tplc="04090019">
      <w:start w:val="1"/>
      <w:numFmt w:val="lowerLetter"/>
      <w:lvlText w:val="%2."/>
      <w:lvlJc w:val="left"/>
      <w:pPr>
        <w:ind w:left="2422" w:hanging="360"/>
      </w:pPr>
    </w:lvl>
    <w:lvl w:ilvl="2" w:tplc="0409001B">
      <w:start w:val="1"/>
      <w:numFmt w:val="lowerRoman"/>
      <w:lvlText w:val="%3."/>
      <w:lvlJc w:val="right"/>
      <w:pPr>
        <w:ind w:left="3142" w:hanging="180"/>
      </w:pPr>
    </w:lvl>
    <w:lvl w:ilvl="3" w:tplc="0409000F">
      <w:start w:val="1"/>
      <w:numFmt w:val="decimal"/>
      <w:lvlText w:val="%4."/>
      <w:lvlJc w:val="left"/>
      <w:pPr>
        <w:ind w:left="3862" w:hanging="360"/>
      </w:pPr>
    </w:lvl>
    <w:lvl w:ilvl="4" w:tplc="04090019">
      <w:start w:val="1"/>
      <w:numFmt w:val="lowerLetter"/>
      <w:lvlText w:val="%5."/>
      <w:lvlJc w:val="left"/>
      <w:pPr>
        <w:ind w:left="4582" w:hanging="360"/>
      </w:pPr>
    </w:lvl>
    <w:lvl w:ilvl="5" w:tplc="0409001B">
      <w:start w:val="1"/>
      <w:numFmt w:val="lowerRoman"/>
      <w:lvlText w:val="%6."/>
      <w:lvlJc w:val="right"/>
      <w:pPr>
        <w:ind w:left="5302" w:hanging="180"/>
      </w:pPr>
    </w:lvl>
    <w:lvl w:ilvl="6" w:tplc="0409000F">
      <w:start w:val="1"/>
      <w:numFmt w:val="decimal"/>
      <w:lvlText w:val="%7."/>
      <w:lvlJc w:val="left"/>
      <w:pPr>
        <w:ind w:left="6022" w:hanging="360"/>
      </w:pPr>
    </w:lvl>
    <w:lvl w:ilvl="7" w:tplc="04090019">
      <w:start w:val="1"/>
      <w:numFmt w:val="lowerLetter"/>
      <w:lvlText w:val="%8."/>
      <w:lvlJc w:val="left"/>
      <w:pPr>
        <w:ind w:left="6742" w:hanging="360"/>
      </w:pPr>
    </w:lvl>
    <w:lvl w:ilvl="8" w:tplc="0409001B">
      <w:start w:val="1"/>
      <w:numFmt w:val="lowerRoman"/>
      <w:lvlText w:val="%9."/>
      <w:lvlJc w:val="right"/>
      <w:pPr>
        <w:ind w:left="7462" w:hanging="180"/>
      </w:pPr>
    </w:lvl>
  </w:abstractNum>
  <w:abstractNum w:abstractNumId="2" w15:restartNumberingAfterBreak="0">
    <w:nsid w:val="58CE174C"/>
    <w:multiLevelType w:val="hybridMultilevel"/>
    <w:tmpl w:val="FDCE50C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DC81F9E"/>
    <w:multiLevelType w:val="hybridMultilevel"/>
    <w:tmpl w:val="FFFFFFFF"/>
    <w:lvl w:ilvl="0" w:tplc="86A260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48B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A8C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CE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C1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2D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2B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EA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6E9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042DB"/>
    <w:multiLevelType w:val="hybridMultilevel"/>
    <w:tmpl w:val="772E9FD0"/>
    <w:lvl w:ilvl="0" w:tplc="7E50592C">
      <w:start w:val="1"/>
      <w:numFmt w:val="lowerLetter"/>
      <w:lvlText w:val="%1."/>
      <w:lvlJc w:val="left"/>
      <w:pPr>
        <w:ind w:left="2121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2905805"/>
    <w:multiLevelType w:val="hybridMultilevel"/>
    <w:tmpl w:val="71344CAA"/>
    <w:lvl w:ilvl="0" w:tplc="0407001B">
      <w:start w:val="1"/>
      <w:numFmt w:val="lowerRoman"/>
      <w:lvlText w:val="%1."/>
      <w:lvlJc w:val="righ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748729C5"/>
    <w:multiLevelType w:val="hybridMultilevel"/>
    <w:tmpl w:val="9C422F88"/>
    <w:lvl w:ilvl="0" w:tplc="0407001B">
      <w:start w:val="1"/>
      <w:numFmt w:val="lowerRoman"/>
      <w:lvlText w:val="%1."/>
      <w:lvlJc w:val="righ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" w15:restartNumberingAfterBreak="0">
    <w:nsid w:val="7C9B273B"/>
    <w:multiLevelType w:val="hybridMultilevel"/>
    <w:tmpl w:val="B346F978"/>
    <w:lvl w:ilvl="0" w:tplc="37FE726A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475683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7744653">
    <w:abstractNumId w:val="2"/>
  </w:num>
  <w:num w:numId="3" w16cid:durableId="1615943063">
    <w:abstractNumId w:val="3"/>
  </w:num>
  <w:num w:numId="4" w16cid:durableId="293559509">
    <w:abstractNumId w:val="4"/>
  </w:num>
  <w:num w:numId="5" w16cid:durableId="1063792096">
    <w:abstractNumId w:val="5"/>
  </w:num>
  <w:num w:numId="6" w16cid:durableId="2143498988">
    <w:abstractNumId w:val="6"/>
  </w:num>
  <w:num w:numId="7" w16cid:durableId="1091049517">
    <w:abstractNumId w:val="7"/>
  </w:num>
  <w:num w:numId="8" w16cid:durableId="49036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028"/>
    <w:rsid w:val="0003082D"/>
    <w:rsid w:val="000515DB"/>
    <w:rsid w:val="00087A49"/>
    <w:rsid w:val="000C2E91"/>
    <w:rsid w:val="000F7ADC"/>
    <w:rsid w:val="00102360"/>
    <w:rsid w:val="00112833"/>
    <w:rsid w:val="00165C08"/>
    <w:rsid w:val="00166192"/>
    <w:rsid w:val="00166796"/>
    <w:rsid w:val="00182B77"/>
    <w:rsid w:val="001866EC"/>
    <w:rsid w:val="0018785F"/>
    <w:rsid w:val="00191D7C"/>
    <w:rsid w:val="001E4900"/>
    <w:rsid w:val="002033DE"/>
    <w:rsid w:val="00225C7C"/>
    <w:rsid w:val="00253DE0"/>
    <w:rsid w:val="0029105D"/>
    <w:rsid w:val="00295536"/>
    <w:rsid w:val="002C0794"/>
    <w:rsid w:val="002E0602"/>
    <w:rsid w:val="00302FA4"/>
    <w:rsid w:val="00327B28"/>
    <w:rsid w:val="00360AA7"/>
    <w:rsid w:val="003C59F1"/>
    <w:rsid w:val="003D1F98"/>
    <w:rsid w:val="00414727"/>
    <w:rsid w:val="00453B01"/>
    <w:rsid w:val="004D7F3C"/>
    <w:rsid w:val="004F7B88"/>
    <w:rsid w:val="0050766C"/>
    <w:rsid w:val="005142F5"/>
    <w:rsid w:val="00526C87"/>
    <w:rsid w:val="00546044"/>
    <w:rsid w:val="00563600"/>
    <w:rsid w:val="00564740"/>
    <w:rsid w:val="00566A3D"/>
    <w:rsid w:val="00583568"/>
    <w:rsid w:val="00591565"/>
    <w:rsid w:val="005D755B"/>
    <w:rsid w:val="005E1357"/>
    <w:rsid w:val="005E596D"/>
    <w:rsid w:val="00605C03"/>
    <w:rsid w:val="00624D34"/>
    <w:rsid w:val="00625028"/>
    <w:rsid w:val="006456E6"/>
    <w:rsid w:val="00671123"/>
    <w:rsid w:val="00671994"/>
    <w:rsid w:val="0067242B"/>
    <w:rsid w:val="00677601"/>
    <w:rsid w:val="006D2BB8"/>
    <w:rsid w:val="006E1325"/>
    <w:rsid w:val="006F63A7"/>
    <w:rsid w:val="007065F4"/>
    <w:rsid w:val="00727A25"/>
    <w:rsid w:val="007A31F1"/>
    <w:rsid w:val="007C79D4"/>
    <w:rsid w:val="007D03B6"/>
    <w:rsid w:val="007F18E7"/>
    <w:rsid w:val="007F3B89"/>
    <w:rsid w:val="007F5D4F"/>
    <w:rsid w:val="008020F0"/>
    <w:rsid w:val="0080578B"/>
    <w:rsid w:val="00810FC6"/>
    <w:rsid w:val="00820800"/>
    <w:rsid w:val="00820A52"/>
    <w:rsid w:val="008235F7"/>
    <w:rsid w:val="008509BC"/>
    <w:rsid w:val="00854F19"/>
    <w:rsid w:val="008962E0"/>
    <w:rsid w:val="00896C00"/>
    <w:rsid w:val="008B5FED"/>
    <w:rsid w:val="008C36F7"/>
    <w:rsid w:val="00913DAD"/>
    <w:rsid w:val="0092778A"/>
    <w:rsid w:val="00940B0E"/>
    <w:rsid w:val="00947BC3"/>
    <w:rsid w:val="00965958"/>
    <w:rsid w:val="009B4EBC"/>
    <w:rsid w:val="009D0789"/>
    <w:rsid w:val="009F3FE1"/>
    <w:rsid w:val="009F72BD"/>
    <w:rsid w:val="00A13831"/>
    <w:rsid w:val="00A23FC9"/>
    <w:rsid w:val="00A512A8"/>
    <w:rsid w:val="00A53FE5"/>
    <w:rsid w:val="00A56FFB"/>
    <w:rsid w:val="00A74222"/>
    <w:rsid w:val="00A85E96"/>
    <w:rsid w:val="00A925A7"/>
    <w:rsid w:val="00A97A5B"/>
    <w:rsid w:val="00AA425B"/>
    <w:rsid w:val="00AE5929"/>
    <w:rsid w:val="00B00FA8"/>
    <w:rsid w:val="00B62901"/>
    <w:rsid w:val="00BA6604"/>
    <w:rsid w:val="00BC24ED"/>
    <w:rsid w:val="00BC25C1"/>
    <w:rsid w:val="00BE5404"/>
    <w:rsid w:val="00BE6C10"/>
    <w:rsid w:val="00BF5B3C"/>
    <w:rsid w:val="00C14F8B"/>
    <w:rsid w:val="00C37F7C"/>
    <w:rsid w:val="00C408FB"/>
    <w:rsid w:val="00C821D1"/>
    <w:rsid w:val="00CC1C98"/>
    <w:rsid w:val="00CD115B"/>
    <w:rsid w:val="00CD182C"/>
    <w:rsid w:val="00CE2D25"/>
    <w:rsid w:val="00CF0BEF"/>
    <w:rsid w:val="00CF6B9D"/>
    <w:rsid w:val="00D06B64"/>
    <w:rsid w:val="00D110CC"/>
    <w:rsid w:val="00D20051"/>
    <w:rsid w:val="00D318E8"/>
    <w:rsid w:val="00D341C2"/>
    <w:rsid w:val="00D6674A"/>
    <w:rsid w:val="00D668DC"/>
    <w:rsid w:val="00D67850"/>
    <w:rsid w:val="00D67AA3"/>
    <w:rsid w:val="00D80885"/>
    <w:rsid w:val="00DA261E"/>
    <w:rsid w:val="00DC4F02"/>
    <w:rsid w:val="00DD493E"/>
    <w:rsid w:val="00E306D3"/>
    <w:rsid w:val="00E34152"/>
    <w:rsid w:val="00E605B9"/>
    <w:rsid w:val="00E60D96"/>
    <w:rsid w:val="00E830B8"/>
    <w:rsid w:val="00E96271"/>
    <w:rsid w:val="00EC1EB7"/>
    <w:rsid w:val="00EC724D"/>
    <w:rsid w:val="00ED43FE"/>
    <w:rsid w:val="00EE59CC"/>
    <w:rsid w:val="00EE69DA"/>
    <w:rsid w:val="00EF30E4"/>
    <w:rsid w:val="00F04FC9"/>
    <w:rsid w:val="00F1539E"/>
    <w:rsid w:val="00F4239D"/>
    <w:rsid w:val="00F5361C"/>
    <w:rsid w:val="00FB6308"/>
    <w:rsid w:val="00FC2EBB"/>
    <w:rsid w:val="00FE2CAC"/>
    <w:rsid w:val="00FE4B6D"/>
    <w:rsid w:val="00FE7625"/>
    <w:rsid w:val="00FF542A"/>
    <w:rsid w:val="00FF7567"/>
    <w:rsid w:val="072A5D6D"/>
    <w:rsid w:val="0A92A65A"/>
    <w:rsid w:val="0D65B82A"/>
    <w:rsid w:val="0EEC7C35"/>
    <w:rsid w:val="145F3B29"/>
    <w:rsid w:val="303EE42C"/>
    <w:rsid w:val="352BFB9D"/>
    <w:rsid w:val="357D284B"/>
    <w:rsid w:val="38B1D3D1"/>
    <w:rsid w:val="4B00CC42"/>
    <w:rsid w:val="5CC0B9C6"/>
    <w:rsid w:val="646E903F"/>
    <w:rsid w:val="6A0B318D"/>
    <w:rsid w:val="793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F3FFAB"/>
  <w15:chartTrackingRefBased/>
  <w15:docId w15:val="{C9CBF10E-41D2-4391-9CB0-DC9582F7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BC24E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E4900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E490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A425B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FA57E-2460-4EFE-BA77-83709A30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2154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Marlene Stechow</cp:lastModifiedBy>
  <cp:revision>2</cp:revision>
  <dcterms:created xsi:type="dcterms:W3CDTF">2024-10-13T11:19:00Z</dcterms:created>
  <dcterms:modified xsi:type="dcterms:W3CDTF">2024-10-13T11:19:00Z</dcterms:modified>
</cp:coreProperties>
</file>