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03CB" w:rsidRDefault="00843A7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Der Sicherheitsrat,</w:t>
      </w:r>
    </w:p>
    <w:p w14:paraId="00000002" w14:textId="77777777" w:rsidR="008903CB" w:rsidRDefault="008903CB">
      <w:pPr>
        <w:rPr>
          <w:sz w:val="22"/>
          <w:szCs w:val="22"/>
        </w:rPr>
      </w:pPr>
    </w:p>
    <w:p w14:paraId="00000003" w14:textId="77777777" w:rsidR="008903CB" w:rsidRDefault="00843A74">
      <w:r>
        <w:rPr>
          <w:i/>
          <w:color w:val="000000"/>
          <w:sz w:val="22"/>
          <w:szCs w:val="22"/>
        </w:rPr>
        <w:t xml:space="preserve">Erkennt </w:t>
      </w:r>
      <w:r>
        <w:rPr>
          <w:sz w:val="22"/>
          <w:szCs w:val="22"/>
        </w:rPr>
        <w:t>die anhaltende Gewalt zwischen der sudanesischen Armee und der Rapid Support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Force an</w:t>
      </w:r>
      <w:r>
        <w:rPr>
          <w:color w:val="000000"/>
          <w:sz w:val="22"/>
          <w:szCs w:val="22"/>
        </w:rPr>
        <w:t xml:space="preserve">, </w:t>
      </w:r>
      <w:proofErr w:type="gramStart"/>
      <w:r>
        <w:rPr>
          <w:color w:val="000000"/>
          <w:sz w:val="22"/>
          <w:szCs w:val="22"/>
        </w:rPr>
        <w:t>die gravierende hum</w:t>
      </w:r>
      <w:r>
        <w:rPr>
          <w:sz w:val="22"/>
          <w:szCs w:val="22"/>
        </w:rPr>
        <w:t>anitäre Auswirkungen</w:t>
      </w:r>
      <w:proofErr w:type="gramEnd"/>
      <w:r>
        <w:rPr>
          <w:sz w:val="22"/>
          <w:szCs w:val="22"/>
        </w:rPr>
        <w:t xml:space="preserve"> auf die Zivilbevölkerung hat und viele Menschen zur Flucht zwingt,</w:t>
      </w:r>
    </w:p>
    <w:p w14:paraId="00000004" w14:textId="77777777" w:rsidR="008903CB" w:rsidRDefault="008903CB">
      <w:pPr>
        <w:rPr>
          <w:color w:val="000000"/>
          <w:sz w:val="22"/>
          <w:szCs w:val="22"/>
        </w:rPr>
      </w:pPr>
    </w:p>
    <w:p w14:paraId="00000005" w14:textId="5FD254C6" w:rsidR="008903CB" w:rsidRDefault="00843A74">
      <w:r>
        <w:rPr>
          <w:i/>
          <w:color w:val="000000"/>
          <w:sz w:val="22"/>
          <w:szCs w:val="22"/>
        </w:rPr>
        <w:t>In voller Kenntnis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aller einschlägigen Entschließung und Konventionen, die den Schutz der Menschenrechte und die Förderung des Friedens betreffen, bekräftigt der Sicherheitsrat die Notwenigkeit eines koordinierten internationalen Ansatzes zur Bewältigung dieser Krise</w:t>
      </w:r>
      <w:r>
        <w:rPr>
          <w:color w:val="000000"/>
          <w:sz w:val="22"/>
          <w:szCs w:val="22"/>
        </w:rPr>
        <w:t>, spezifischer den Resolutionen 2736 (2024), 2750 (2024) und dem Abschlussbericht des Expertenpanels zum Sudan (S/2024/65),</w:t>
      </w:r>
    </w:p>
    <w:p w14:paraId="00000006" w14:textId="77777777" w:rsidR="008903CB" w:rsidRDefault="008903CB">
      <w:pPr>
        <w:rPr>
          <w:color w:val="000000"/>
          <w:sz w:val="22"/>
          <w:szCs w:val="22"/>
        </w:rPr>
      </w:pPr>
    </w:p>
    <w:p w14:paraId="00000007" w14:textId="18AD355C" w:rsidR="008903CB" w:rsidRDefault="00843A74">
      <w:r w:rsidRPr="00843A74">
        <w:rPr>
          <w:i/>
          <w:color w:val="000000"/>
          <w:sz w:val="22"/>
          <w:szCs w:val="22"/>
        </w:rPr>
        <w:t>Erinnert</w:t>
      </w:r>
      <w:r>
        <w:rPr>
          <w:color w:val="000000"/>
          <w:sz w:val="22"/>
          <w:szCs w:val="22"/>
        </w:rPr>
        <w:t>, dass die Achtung der Menschenrechte untrennbar mit der Stabilität und dem Frieden in der Region verbunden ist und dass die Zivilbevölkerung das Recht hat, über ihre politische</w:t>
      </w:r>
      <w:r>
        <w:rPr>
          <w:sz w:val="22"/>
          <w:szCs w:val="22"/>
        </w:rPr>
        <w:t xml:space="preserve"> Zukunft selbst zu entscheiden,</w:t>
      </w:r>
    </w:p>
    <w:p w14:paraId="00000008" w14:textId="77777777" w:rsidR="008903CB" w:rsidRDefault="008903CB">
      <w:pPr>
        <w:rPr>
          <w:color w:val="000000"/>
          <w:sz w:val="22"/>
          <w:szCs w:val="22"/>
        </w:rPr>
      </w:pPr>
    </w:p>
    <w:p w14:paraId="00000009" w14:textId="4EDF18BC" w:rsidR="008903CB" w:rsidRDefault="00843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843A74">
        <w:rPr>
          <w:i/>
          <w:iCs/>
          <w:sz w:val="22"/>
          <w:szCs w:val="22"/>
        </w:rPr>
        <w:t>Fordert</w:t>
      </w:r>
      <w:r w:rsidRPr="00843A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die </w:t>
      </w:r>
      <w:r>
        <w:rPr>
          <w:color w:val="000000"/>
          <w:sz w:val="22"/>
          <w:szCs w:val="22"/>
        </w:rPr>
        <w:t>Einrichtung sicherer und demilitarisierter Zonen (DMZ) in ausgewählten, kriegsbetroffenen Gebieten des Sudan und Südsudan, um den Schutz der Zivilbevölkerung zu gewährleisten und zu sichern, was beinhaltet;</w:t>
      </w:r>
    </w:p>
    <w:p w14:paraId="0000000A" w14:textId="77777777" w:rsidR="008903CB" w:rsidRDefault="00843A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68" w:hanging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Die Errichtung von sicheren Orten für Zivilisten, sogenannten Schutzzonen;</w:t>
      </w:r>
    </w:p>
    <w:p w14:paraId="0000000B" w14:textId="77777777" w:rsidR="008903CB" w:rsidRDefault="00843A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68" w:hanging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Die Unterstützung humanitärer Organisationen wie UNICEF bei der Bereitstellung von Hilfe in diesen Zonen;</w:t>
      </w:r>
    </w:p>
    <w:p w14:paraId="0000000C" w14:textId="047557DE" w:rsidR="008903CB" w:rsidRDefault="00843A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68" w:hanging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Die aktive Unterstützung der UNMISS (United </w:t>
      </w:r>
      <w:proofErr w:type="spellStart"/>
      <w:r>
        <w:rPr>
          <w:color w:val="000000"/>
          <w:sz w:val="22"/>
          <w:szCs w:val="22"/>
        </w:rPr>
        <w:t>Nations</w:t>
      </w:r>
      <w:proofErr w:type="spellEnd"/>
      <w:r>
        <w:rPr>
          <w:color w:val="000000"/>
          <w:sz w:val="22"/>
          <w:szCs w:val="22"/>
        </w:rPr>
        <w:t xml:space="preserve"> Mission in </w:t>
      </w:r>
      <w:proofErr w:type="spellStart"/>
      <w:r>
        <w:rPr>
          <w:color w:val="000000"/>
          <w:sz w:val="22"/>
          <w:szCs w:val="22"/>
        </w:rPr>
        <w:t>the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Republic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South Sudan) bei der Umsetzung und Überwachung dieser Zonen, wofür jedoch mehr finanzielle Mittel und Personal, wie von zum Beispiel von der Republik Ecuador und die Schweizerische Eidgenossenschaft, benötigt werden;</w:t>
      </w:r>
    </w:p>
    <w:p w14:paraId="0000000D" w14:textId="77777777" w:rsidR="008903CB" w:rsidRDefault="008903CB">
      <w:pPr>
        <w:rPr>
          <w:color w:val="000000"/>
          <w:sz w:val="22"/>
          <w:szCs w:val="22"/>
        </w:rPr>
      </w:pPr>
    </w:p>
    <w:p w14:paraId="0000000E" w14:textId="77777777" w:rsidR="008903CB" w:rsidRDefault="00843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843A74">
        <w:rPr>
          <w:i/>
          <w:sz w:val="22"/>
          <w:szCs w:val="22"/>
        </w:rPr>
        <w:t>Fordert</w:t>
      </w:r>
      <w:r w:rsidRPr="00843A74">
        <w:rPr>
          <w:sz w:val="22"/>
          <w:szCs w:val="22"/>
        </w:rPr>
        <w:t xml:space="preserve"> </w:t>
      </w:r>
      <w:r w:rsidRPr="00843A74">
        <w:rPr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color w:val="000000"/>
          <w:sz w:val="22"/>
          <w:szCs w:val="22"/>
        </w:rPr>
        <w:t>e Einrichtung einer</w:t>
      </w:r>
      <w:r>
        <w:rPr>
          <w:sz w:val="22"/>
          <w:szCs w:val="22"/>
        </w:rPr>
        <w:t xml:space="preserve"> Flugüberwachungszone über </w:t>
      </w:r>
      <w:r>
        <w:rPr>
          <w:color w:val="000000"/>
          <w:sz w:val="22"/>
          <w:szCs w:val="22"/>
        </w:rPr>
        <w:t xml:space="preserve">Kriegsgebieten, um Luftangriffe auf die Zivilbevölkerung zu </w:t>
      </w:r>
      <w:r>
        <w:rPr>
          <w:sz w:val="22"/>
          <w:szCs w:val="22"/>
        </w:rPr>
        <w:t xml:space="preserve">überwachen, zu minimieren und optimal zu verhindern </w:t>
      </w:r>
      <w:r>
        <w:rPr>
          <w:color w:val="000000"/>
          <w:sz w:val="22"/>
          <w:szCs w:val="22"/>
        </w:rPr>
        <w:t>sowie die zivile Infrastruktur und die Sicherheit der Zivilbevölkerung zu gewährleisten, was Folgendes umfasst:</w:t>
      </w:r>
    </w:p>
    <w:p w14:paraId="0000000F" w14:textId="5EC2AF03" w:rsidR="008903CB" w:rsidRDefault="00843A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68" w:hanging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Die Überwachung </w:t>
      </w:r>
      <w:r>
        <w:rPr>
          <w:sz w:val="22"/>
          <w:szCs w:val="22"/>
        </w:rPr>
        <w:t>würde stattfinden,</w:t>
      </w:r>
      <w:r>
        <w:rPr>
          <w:sz w:val="22"/>
          <w:szCs w:val="22"/>
        </w:rPr>
        <w:t xml:space="preserve"> um frühzeitlich alarmieren zu können. Die würde </w:t>
      </w:r>
      <w:r>
        <w:rPr>
          <w:color w:val="000000"/>
          <w:sz w:val="22"/>
          <w:szCs w:val="22"/>
        </w:rPr>
        <w:t>durch Sponsoren wie die Französische Republik und die Vereinigten Staaten finanziert werden, um sicherzustellen, dass möglichst keine Luftangriffe auf Zivilisten stattfinden;</w:t>
      </w:r>
    </w:p>
    <w:p w14:paraId="00000010" w14:textId="77777777" w:rsidR="008903CB" w:rsidRDefault="00843A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68" w:hanging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Die Koordination sowie den Austausch mit Organisationen wie Human Rights Watch zur Erfassung von Informationen über Luftangriffe und deren Auswirkungen auf die Zivilbevölkerung;</w:t>
      </w:r>
    </w:p>
    <w:p w14:paraId="00000011" w14:textId="77777777" w:rsidR="008903CB" w:rsidRDefault="00843A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68" w:hanging="8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Die Bereitstellung von technischen Mitteln und Ressourcen für die betroffenen Länder, um die Luftüberwachung zu unterstützen, insbesondere durch die UN-Missionen und das Büro für die Koordinierung humanitärer Angelegenheiten (OCHA).</w:t>
      </w:r>
    </w:p>
    <w:sectPr w:rsidR="008903CB" w:rsidSect="00843A74">
      <w:headerReference w:type="first" r:id="rId7"/>
      <w:pgSz w:w="11906" w:h="16838"/>
      <w:pgMar w:top="1417" w:right="1417" w:bottom="1134" w:left="1417" w:header="708" w:footer="708" w:gutter="0"/>
      <w:lnNumType w:countBy="1" w:restart="continuous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C3932" w14:textId="77777777" w:rsidR="00843A74" w:rsidRDefault="00843A74">
      <w:r>
        <w:separator/>
      </w:r>
    </w:p>
  </w:endnote>
  <w:endnote w:type="continuationSeparator" w:id="0">
    <w:p w14:paraId="48F74B1C" w14:textId="77777777" w:rsidR="00843A74" w:rsidRDefault="0084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E1140" w14:textId="77777777" w:rsidR="00843A74" w:rsidRDefault="00843A74">
      <w:r>
        <w:separator/>
      </w:r>
    </w:p>
  </w:footnote>
  <w:footnote w:type="continuationSeparator" w:id="0">
    <w:p w14:paraId="17C0ED1D" w14:textId="77777777" w:rsidR="00843A74" w:rsidRDefault="0084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2" w14:textId="77777777" w:rsidR="008903CB" w:rsidRDefault="00843A74">
    <w:pPr>
      <w:rPr>
        <w:b/>
        <w:sz w:val="22"/>
        <w:szCs w:val="22"/>
      </w:rPr>
    </w:pPr>
    <w:r>
      <w:rPr>
        <w:b/>
        <w:sz w:val="22"/>
        <w:szCs w:val="22"/>
      </w:rPr>
      <w:t>Code: S/SUSS/11</w:t>
    </w:r>
  </w:p>
  <w:p w14:paraId="00000013" w14:textId="77777777" w:rsidR="008903CB" w:rsidRDefault="00843A74">
    <w:pPr>
      <w:rPr>
        <w:b/>
        <w:sz w:val="22"/>
        <w:szCs w:val="22"/>
      </w:rPr>
    </w:pPr>
    <w:r>
      <w:rPr>
        <w:b/>
        <w:sz w:val="22"/>
        <w:szCs w:val="22"/>
      </w:rPr>
      <w:t>Komitee: Sicherheitsrat</w:t>
    </w:r>
  </w:p>
  <w:p w14:paraId="00000014" w14:textId="77777777" w:rsidR="008903CB" w:rsidRDefault="00843A74">
    <w:pPr>
      <w:rPr>
        <w:b/>
        <w:sz w:val="22"/>
        <w:szCs w:val="22"/>
      </w:rPr>
    </w:pPr>
    <w:r>
      <w:rPr>
        <w:b/>
        <w:sz w:val="22"/>
        <w:szCs w:val="22"/>
      </w:rPr>
      <w:t>Thema: Der Konflikt im Sudan und Südsudan</w:t>
    </w:r>
  </w:p>
  <w:p w14:paraId="00000015" w14:textId="77777777" w:rsidR="008903CB" w:rsidRDefault="00843A74">
    <w:pPr>
      <w:rPr>
        <w:b/>
      </w:rPr>
    </w:pPr>
    <w:r>
      <w:rPr>
        <w:b/>
      </w:rPr>
      <w:t>Sponsoren: Republik Slowenien, Republik Malta, Republik Sierra Leone, Schweizerische Eidgenossenschaft, Republik Ecuador, Französische Republik, Vereinigte Staaten, Republik Mosambik, Demokratische Volksrepublik Algerien</w:t>
    </w:r>
  </w:p>
  <w:p w14:paraId="00000016" w14:textId="77777777" w:rsidR="008903CB" w:rsidRDefault="008903CB">
    <w:pPr>
      <w:rPr>
        <w:b/>
      </w:rPr>
    </w:pPr>
  </w:p>
  <w:p w14:paraId="00000017" w14:textId="77777777" w:rsidR="008903CB" w:rsidRDefault="008903CB">
    <w:pPr>
      <w:rPr>
        <w:b/>
      </w:rPr>
    </w:pPr>
  </w:p>
  <w:p w14:paraId="00000018" w14:textId="77777777" w:rsidR="008903CB" w:rsidRDefault="008903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443A6"/>
    <w:multiLevelType w:val="multilevel"/>
    <w:tmpl w:val="0A3ACD1C"/>
    <w:lvl w:ilvl="0">
      <w:start w:val="1"/>
      <w:numFmt w:val="decimal"/>
      <w:lvlText w:val="%1."/>
      <w:lvlJc w:val="left"/>
      <w:pPr>
        <w:ind w:left="1416" w:hanging="70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37076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CB"/>
    <w:rsid w:val="00843A74"/>
    <w:rsid w:val="008903CB"/>
    <w:rsid w:val="008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EE23"/>
  <w15:docId w15:val="{B1755887-DF50-4C7C-A810-65ADB7F0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mmentartext">
    <w:name w:val="annotation text"/>
    <w:basedOn w:val="Standard"/>
    <w:link w:val="KommentartextZchn"/>
    <w:uiPriority w:val="99"/>
    <w:semiHidden/>
    <w:unhideWhenUsed/>
  </w:style>
  <w:style w:type="character" w:customStyle="1" w:styleId="KommentartextZchn">
    <w:name w:val="Kommentartext Zchn"/>
    <w:basedOn w:val="Absatz-Standardschriftart"/>
    <w:link w:val="Kommentartext"/>
    <w:uiPriority w:val="99"/>
    <w:semiHidden/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84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2141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Schneider, Jovanna | Internationales Forum</cp:lastModifiedBy>
  <cp:revision>2</cp:revision>
  <dcterms:created xsi:type="dcterms:W3CDTF">2024-10-13T11:06:00Z</dcterms:created>
  <dcterms:modified xsi:type="dcterms:W3CDTF">2024-10-13T11:14:00Z</dcterms:modified>
</cp:coreProperties>
</file>