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softHyphen/>
      </w:r>
      <w:r>
        <w:rPr/>
        <w:t>Sinnfindung – Weltanschauen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15_1043263084">
            <w:r>
              <w:rPr>
                <w:webHidden/>
                <w:rStyle w:val="IndexLink"/>
              </w:rPr>
              <w:t>Konstruktivismus ---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hyperlink w:anchor="__RefHeading___Toc217_1043263084">
            <w:r>
              <w:rPr>
                <w:webHidden/>
                <w:rStyle w:val="IndexLink"/>
              </w:rPr>
              <w:t>Unterscheidung ---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hyperlink w:anchor="__RefHeading___Toc219_1043263084">
            <w:r>
              <w:rPr>
                <w:webHidden/>
                <w:rStyle w:val="IndexLink"/>
              </w:rPr>
              <w:t>Theologie vs. Naturwissenschaften ---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hyperlink w:anchor="__RefHeading___Toc221_1043263084">
            <w:r>
              <w:rPr>
                <w:webHidden/>
                <w:rStyle w:val="IndexLink"/>
              </w:rPr>
              <w:t>Persönliches Glaubensbekenntnis ---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hyperlink w:anchor="__RefHeading___Toc223_1043263084">
            <w:r>
              <w:rPr>
                <w:webHidden/>
                <w:rStyle w:val="IndexLink"/>
              </w:rPr>
              <w:t>Weltreligionen ---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rPr/>
      </w:pPr>
      <w:bookmarkStart w:id="0" w:name="__RefHeading___Toc215_1043263084"/>
      <w:bookmarkStart w:id="1" w:name="_Toc182844810"/>
      <w:bookmarkEnd w:id="0"/>
      <w:r>
        <w:rPr/>
        <w:t>Konstruktivismus ---</w:t>
      </w:r>
      <w:bookmarkEnd w:id="1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Kern:</w:t>
        <w:tab/>
        <w:t>Es sei dem Menschen nicht möglich, eine gänzlich objektive Wirklichkeit zu bilden.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Wahrnehmung subjektiv und nur begrenzt absolut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Theorie: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Der Mensch hat keinen unmittelbaren Zugriff auf die objektive Realität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Der Mensch kann nur das erkennen, was er mit seinen Sinnen aufnimmt und interpretiert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Es gibt zwar eine objektive Wirklichkeit, sie ist für den Menschen aber nicht direkt erkennbar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Der Mensch konstruiert seine Wirklichkeit</w:t>
      </w:r>
    </w:p>
    <w:p>
      <w:pPr>
        <w:pStyle w:val="Heading1"/>
        <w:rPr/>
      </w:pPr>
      <w:bookmarkStart w:id="2" w:name="__RefHeading___Toc217_1043263084"/>
      <w:bookmarkStart w:id="3" w:name="_Toc182844811"/>
      <w:bookmarkEnd w:id="2"/>
      <w:r>
        <w:rPr/>
        <w:t>Unterscheidung ---</w:t>
      </w:r>
      <w:bookmarkEnd w:id="3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Kognitive Rationalität:</w:t>
        <w:tab/>
        <w:t>Naturwissenschaften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Konstitutive Rationalität:</w:t>
        <w:tab/>
        <w:t>Religion</w:t>
      </w:r>
    </w:p>
    <w:p>
      <w:pPr>
        <w:pStyle w:val="Heading1"/>
        <w:rPr/>
      </w:pPr>
      <w:bookmarkStart w:id="4" w:name="__RefHeading___Toc219_1043263084"/>
      <w:bookmarkStart w:id="5" w:name="_Toc182844812"/>
      <w:bookmarkEnd w:id="4"/>
      <w:r>
        <w:rPr/>
        <w:t>Theologie vs. Naturwissenschaften ---</w:t>
      </w:r>
      <w:bookmarkEnd w:id="5"/>
    </w:p>
    <w:p>
      <w:pPr>
        <w:pStyle w:val="Normal"/>
        <w:ind w:hanging="705" w:start="705"/>
        <w:rPr>
          <w:sz w:val="22"/>
          <w:szCs w:val="22"/>
        </w:rPr>
      </w:pPr>
      <w:r>
        <w:rPr>
          <w:sz w:val="22"/>
          <w:szCs w:val="22"/>
        </w:rPr>
        <w:t>Frage:</w:t>
        <w:tab/>
        <w:t>Schließen sich naturwissenschaftliche Vorstellungen und theologische Sichtweisen gegenseitig aus</w:t>
      </w:r>
    </w:p>
    <w:p>
      <w:pPr>
        <w:pStyle w:val="Normal"/>
        <w:ind w:hanging="705" w:start="705"/>
        <w:rPr>
          <w:sz w:val="22"/>
          <w:szCs w:val="22"/>
        </w:rPr>
      </w:pPr>
      <w:r>
        <w:rPr>
          <w:sz w:val="22"/>
          <w:szCs w:val="22"/>
        </w:rPr>
        <w:t>Eigen:</w:t>
        <w:tab/>
        <w:t xml:space="preserve">Die Evolutionstheorie kollidiert weitestgehend mit der theologischen Vorstellung der Weltentstehung und -entwicklung. Da sie einen (allmächtigen) Schöpfer weitestgehend ausschließt. </w:t>
      </w:r>
    </w:p>
    <w:p>
      <w:pPr>
        <w:pStyle w:val="Normal"/>
        <w:ind w:hanging="705" w:start="705"/>
        <w:rPr>
          <w:sz w:val="22"/>
          <w:szCs w:val="22"/>
        </w:rPr>
      </w:pPr>
      <w:r>
        <w:rPr>
          <w:sz w:val="22"/>
          <w:szCs w:val="22"/>
        </w:rPr>
        <w:t>Off:</w:t>
        <w:tab/>
        <w:t>Die naturwissenschaftlichen Forschung konzentriert sich auf die Frage „Wie? (ist etwas entstanden)“ und verwirft die Frage „Warum? (ist etwas entstanden)“</w:t>
      </w:r>
    </w:p>
    <w:p>
      <w:pPr>
        <w:pStyle w:val="Heading1"/>
        <w:rPr/>
      </w:pPr>
      <w:bookmarkStart w:id="6" w:name="__RefHeading___Toc221_1043263084"/>
      <w:bookmarkStart w:id="7" w:name="_Toc182844813"/>
      <w:bookmarkEnd w:id="6"/>
      <w:r>
        <w:rPr/>
        <w:t>Persönliches Glaubensbekenntnis ---</w:t>
      </w:r>
      <w:bookmarkEnd w:id="7"/>
    </w:p>
    <w:p>
      <w:pPr>
        <w:pStyle w:val="Heading1"/>
        <w:rPr/>
      </w:pPr>
      <w:bookmarkStart w:id="8" w:name="__RefHeading___Toc223_1043263084"/>
      <w:bookmarkEnd w:id="8"/>
      <w:r>
        <w:rPr/>
        <w:t>Weltreligionen ---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Judentum:</w:t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Christentum:</w:t>
        <w:tab/>
        <w:t xml:space="preserve">Monotheistisch, Gründungsgestalt mit Jesus als Erlöser, Dreifaltigkeit, </w:t>
        <w:tab/>
        <w:t xml:space="preserve">erlösender Gott, Jesus Tod am Kreuz als Zeichen des Messias, Auferstehung, </w:t>
        <w:tab/>
        <w:t>Konfessionen (unterschiedliche Untergruppen)</w:t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  <w:t>Islam:</w:t>
        <w:tab/>
        <w:tab/>
      </w:r>
      <w:r>
        <w:rPr>
          <w:sz w:val="22"/>
          <w:szCs w:val="22"/>
        </w:rPr>
        <w:t xml:space="preserve">Mohammed als Gründer mit Auftrag des Engels Gabriel, Koran als </w:t>
        <w:tab/>
        <w:t xml:space="preserve">zentrale Schrift, fünf Pflichen (Bekenntnis zu Allah als den einen Gott, tägliches </w:t>
        <w:tab/>
        <w:t>Gebet, Geben von Almosen, Fasten, Pilgerfahrt nach Mekka)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9" w:top="1417" w:footer="709" w:bottom="1134"/>
      <w:pgNumType w:fmt="decimal"/>
      <w:formProt w:val="false"/>
      <w:textDirection w:val="lrTb"/>
      <w:docGrid w:type="default" w:linePitch="490" w:charSpace="429494271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Calibri Light">
    <w:charset w:val="01" w:characterSet="utf-8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end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end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star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star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"/>
      <w:lvlJc w:val="start"/>
      <w:pPr>
        <w:tabs>
          <w:tab w:val="num" w:pos="0"/>
        </w:tabs>
        <w:ind w:start="1065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5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Georgia" w:hAnsi="Georgia" w:cs="Georgia" w:hint="default"/>
        <w:rFonts w:cstheme="minorBidi" w:eastAsiaTheme="minorHAns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Calibri" w:cs="" w:cstheme="minorBidi" w:eastAsiaTheme="minorHAns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both"/>
    </w:pPr>
    <w:rPr>
      <w:rFonts w:ascii="Georgia" w:hAnsi="Georgia" w:eastAsia="Calibri" w:cs="" w:cstheme="minorBidi" w:eastAsiaTheme="minorHAnsi"/>
      <w:color w:val="auto"/>
      <w:kern w:val="2"/>
      <w:sz w:val="36"/>
      <w:szCs w:val="36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cd330e"/>
    <w:pPr>
      <w:keepNext w:val="true"/>
      <w:keepLines/>
      <w:spacing w:before="240" w:after="0"/>
      <w:jc w:val="end"/>
      <w:outlineLvl w:val="0"/>
    </w:pPr>
    <w:rPr>
      <w:rFonts w:eastAsia="" w:cs="" w:cstheme="majorBidi" w:eastAsiaTheme="majorEastAsia"/>
      <w:i/>
      <w:color w:themeColor="text1" w:val="00000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cd330e"/>
    <w:rPr>
      <w:rFonts w:eastAsia="" w:cs="" w:cstheme="majorBidi" w:eastAsiaTheme="majorEastAsia"/>
      <w:i/>
      <w:color w:themeColor="text1" w:val="000000"/>
      <w:szCs w:val="32"/>
    </w:rPr>
  </w:style>
  <w:style w:type="character" w:styleId="Hyperlink">
    <w:name w:val="Hyperlink"/>
    <w:basedOn w:val="DefaultParagraphFont"/>
    <w:uiPriority w:val="99"/>
    <w:unhideWhenUsed/>
    <w:rsid w:val="004a73b5"/>
    <w:rPr>
      <w:color w:themeColor="hyperlink" w:val="0563C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078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0786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start"/>
      <w:outlineLvl w:val="9"/>
    </w:pPr>
    <w:rPr>
      <w:rFonts w:ascii="Calibri Light" w:hAnsi="Calibri Light" w:asciiTheme="majorHAnsi" w:hAnsiTheme="majorHAnsi"/>
      <w:i w:val="false"/>
      <w:color w:themeColor="accent1" w:themeShade="bf" w:val="2F5496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before="0" w:after="100"/>
    </w:pPr>
    <w:rPr>
      <w:sz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57a00"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25</TotalTime>
  <Application>LibreOffice/24.8.3.2$Linux_X86_64 LibreOffice_project/480$Build-2</Application>
  <AppVersion>15.0000</AppVersion>
  <Pages>2</Pages>
  <Words>217</Words>
  <Characters>1512</Characters>
  <CharactersWithSpaces>1703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2024-09-24T07:56:00Z</dcterms:created>
  <dc:creator>Carl Öttinger</dc:creator>
  <dc:description/>
  <dc:language>en-US</dc:language>
  <cp:lastModifiedBy/>
  <dcterms:modified xsi:type="dcterms:W3CDTF">2024-11-26T10:57:07Z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