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99E18" w14:textId="4FA24B1A" w:rsidR="00F138F6" w:rsidRPr="00F138F6" w:rsidRDefault="00F138F6" w:rsidP="00F138F6">
      <w:pPr>
        <w:spacing w:after="0" w:line="240" w:lineRule="auto"/>
        <w:rPr>
          <w:rFonts w:ascii="Arial" w:hAnsi="Arial" w:cs="Arial"/>
          <w:b/>
          <w:bCs/>
        </w:rPr>
      </w:pPr>
      <w:r w:rsidRPr="00F138F6">
        <w:rPr>
          <w:rFonts w:ascii="Arial" w:hAnsi="Arial" w:cs="Arial"/>
          <w:b/>
          <w:bCs/>
        </w:rPr>
        <w:t>Grenznutzen, Grenzerlös und Grenzkosten: Schlüsselkonzepte in der Wirtschafts- und Betriebswissenschaft</w:t>
      </w:r>
    </w:p>
    <w:p w14:paraId="1672CE5F" w14:textId="77777777" w:rsidR="00F138F6" w:rsidRPr="00F138F6" w:rsidRDefault="00F138F6" w:rsidP="00F138F6">
      <w:pPr>
        <w:spacing w:after="0" w:line="240" w:lineRule="auto"/>
        <w:rPr>
          <w:rFonts w:ascii="Arial" w:hAnsi="Arial" w:cs="Arial"/>
          <w:sz w:val="24"/>
          <w:szCs w:val="28"/>
        </w:rPr>
      </w:pPr>
    </w:p>
    <w:p w14:paraId="60B1E673" w14:textId="77777777" w:rsidR="00F138F6" w:rsidRDefault="00F138F6" w:rsidP="00F138F6">
      <w:pPr>
        <w:spacing w:after="0" w:line="240" w:lineRule="auto"/>
        <w:rPr>
          <w:rFonts w:ascii="Arial" w:hAnsi="Arial" w:cs="Arial"/>
          <w:sz w:val="20"/>
          <w:szCs w:val="21"/>
        </w:rPr>
        <w:sectPr w:rsidR="00F138F6" w:rsidSect="007F01B3">
          <w:headerReference w:type="default" r:id="rId7"/>
          <w:footerReference w:type="even" r:id="rId8"/>
          <w:footerReference w:type="default" r:id="rId9"/>
          <w:pgSz w:w="11900" w:h="16840"/>
          <w:pgMar w:top="1417" w:right="1417" w:bottom="1134" w:left="1417" w:header="283" w:footer="380" w:gutter="0"/>
          <w:cols w:space="708"/>
          <w:docGrid w:linePitch="360"/>
        </w:sectPr>
      </w:pPr>
    </w:p>
    <w:p w14:paraId="4D63C935" w14:textId="0412A4D4" w:rsidR="00F138F6" w:rsidRPr="00F138F6" w:rsidRDefault="00F138F6" w:rsidP="00F138F6">
      <w:pPr>
        <w:spacing w:after="0" w:line="240" w:lineRule="auto"/>
        <w:rPr>
          <w:rFonts w:ascii="Arial" w:hAnsi="Arial" w:cs="Arial"/>
          <w:sz w:val="20"/>
          <w:szCs w:val="21"/>
        </w:rPr>
      </w:pPr>
      <w:r w:rsidRPr="00F138F6">
        <w:rPr>
          <w:rFonts w:ascii="Arial" w:hAnsi="Arial" w:cs="Arial"/>
          <w:sz w:val="20"/>
          <w:szCs w:val="21"/>
        </w:rPr>
        <w:t>Grenznutzen und Grenzkosten sind zwei eng miteinander verbundene Konzepte, die in der Wirtschafts- und Betriebswissenschaft eine zentrale Rolle spielen. Sie sind grundlegend für das Verständnis von Entscheidungsprozessen sowohl auf individueller als auch auf unternehmerischer Ebene.</w:t>
      </w:r>
    </w:p>
    <w:p w14:paraId="27618C84" w14:textId="77777777" w:rsidR="00F138F6" w:rsidRPr="00F138F6" w:rsidRDefault="00F138F6" w:rsidP="00F138F6">
      <w:pPr>
        <w:spacing w:after="0" w:line="240" w:lineRule="auto"/>
        <w:rPr>
          <w:rFonts w:ascii="Arial" w:hAnsi="Arial" w:cs="Arial"/>
          <w:sz w:val="20"/>
          <w:szCs w:val="21"/>
        </w:rPr>
      </w:pPr>
    </w:p>
    <w:p w14:paraId="082AE706" w14:textId="77777777" w:rsidR="00F138F6" w:rsidRPr="00F138F6" w:rsidRDefault="00F138F6" w:rsidP="00F138F6">
      <w:pPr>
        <w:spacing w:after="0" w:line="240" w:lineRule="auto"/>
        <w:rPr>
          <w:rFonts w:ascii="Arial" w:hAnsi="Arial" w:cs="Arial"/>
          <w:b/>
          <w:bCs/>
          <w:sz w:val="20"/>
          <w:szCs w:val="21"/>
        </w:rPr>
      </w:pPr>
      <w:r w:rsidRPr="00F138F6">
        <w:rPr>
          <w:rFonts w:ascii="Arial" w:hAnsi="Arial" w:cs="Arial"/>
          <w:b/>
          <w:bCs/>
          <w:sz w:val="20"/>
          <w:szCs w:val="21"/>
        </w:rPr>
        <w:t>Grenznutzen/ Grenzerlös:</w:t>
      </w:r>
    </w:p>
    <w:p w14:paraId="70ED92D0" w14:textId="37345686" w:rsidR="00F138F6" w:rsidRDefault="00F138F6" w:rsidP="00F138F6">
      <w:pPr>
        <w:spacing w:after="0" w:line="240" w:lineRule="auto"/>
        <w:rPr>
          <w:rFonts w:ascii="Arial" w:hAnsi="Arial" w:cs="Arial"/>
          <w:sz w:val="20"/>
          <w:szCs w:val="21"/>
        </w:rPr>
      </w:pPr>
      <w:r w:rsidRPr="00F138F6">
        <w:rPr>
          <w:rFonts w:ascii="Arial" w:hAnsi="Arial" w:cs="Arial"/>
          <w:sz w:val="20"/>
          <w:szCs w:val="21"/>
        </w:rPr>
        <w:t>Der Grenznutzen bezieht sich auf den zusätzlichen Nutzen oder die zusätzliche Befriedigung, die eine Person (Grenznutzen) oder ein Unternehmen (Grenzerlös) aus dem Konsum oder der Produktion einer zusätzlichen Einheit eines Gutes oder einer Dienstleistung erhält. Es ist wichtig zu verstehen, dass der Grenznutzen mit jeder weiteren konsumierten oder produzierten Einheit abnehmen kann.</w:t>
      </w:r>
    </w:p>
    <w:p w14:paraId="2F1E661B" w14:textId="77777777" w:rsidR="00F138F6" w:rsidRPr="00F138F6" w:rsidRDefault="00F138F6" w:rsidP="00F138F6">
      <w:pPr>
        <w:spacing w:after="0" w:line="240" w:lineRule="auto"/>
        <w:rPr>
          <w:rFonts w:ascii="Arial" w:hAnsi="Arial" w:cs="Arial"/>
          <w:sz w:val="20"/>
          <w:szCs w:val="21"/>
        </w:rPr>
      </w:pPr>
    </w:p>
    <w:p w14:paraId="65263A42" w14:textId="342939A7" w:rsidR="00F138F6" w:rsidRDefault="00F138F6" w:rsidP="00F138F6">
      <w:pPr>
        <w:spacing w:after="0" w:line="240" w:lineRule="auto"/>
        <w:rPr>
          <w:rFonts w:ascii="Arial" w:hAnsi="Arial" w:cs="Arial"/>
          <w:sz w:val="20"/>
          <w:szCs w:val="21"/>
        </w:rPr>
      </w:pPr>
      <w:r w:rsidRPr="00F138F6">
        <w:rPr>
          <w:rFonts w:ascii="Arial" w:hAnsi="Arial" w:cs="Arial"/>
          <w:sz w:val="20"/>
          <w:szCs w:val="21"/>
        </w:rPr>
        <w:t xml:space="preserve">Ein einfaches Beispiel für den Grenznutzen ist der Konsum von Pizza. Die erste Scheibe Pizza, die du isst, mag dir einen hohen Nutzen bringen, da du hungrig bist und sie dir schmeckt. Die zweite Scheibe könnte immer noch </w:t>
      </w:r>
      <w:proofErr w:type="gramStart"/>
      <w:r w:rsidRPr="00F138F6">
        <w:rPr>
          <w:rFonts w:ascii="Arial" w:hAnsi="Arial" w:cs="Arial"/>
          <w:sz w:val="20"/>
          <w:szCs w:val="21"/>
        </w:rPr>
        <w:t>ziemlich gut</w:t>
      </w:r>
      <w:proofErr w:type="gramEnd"/>
      <w:r w:rsidRPr="00F138F6">
        <w:rPr>
          <w:rFonts w:ascii="Arial" w:hAnsi="Arial" w:cs="Arial"/>
          <w:sz w:val="20"/>
          <w:szCs w:val="21"/>
        </w:rPr>
        <w:t xml:space="preserve"> sein, aber vielleicht nicht so befriedigend wie die erste. Mit jeder weiteren Scheibe Pizza, die du isst, nimmt der zusätzliche Nutzen oder der Grenznutzen tendenziell ab, bis du schließlich keinen zusätzlichen Nutzen mehr aus einer weiteren Scheibe ziehst und vielleicht sogar ein Gefühl der Übersättigung erlebst.</w:t>
      </w:r>
    </w:p>
    <w:p w14:paraId="00C575DD" w14:textId="49CB6C3B" w:rsidR="00F138F6" w:rsidRPr="00F138F6" w:rsidRDefault="00F138F6" w:rsidP="00F138F6">
      <w:pPr>
        <w:spacing w:after="0" w:line="240" w:lineRule="auto"/>
        <w:rPr>
          <w:rFonts w:ascii="Arial" w:hAnsi="Arial" w:cs="Arial"/>
          <w:sz w:val="20"/>
          <w:szCs w:val="21"/>
        </w:rPr>
      </w:pPr>
    </w:p>
    <w:p w14:paraId="0695EA32" w14:textId="58392848" w:rsidR="00F138F6" w:rsidRPr="00F138F6" w:rsidRDefault="00F138F6" w:rsidP="00F138F6">
      <w:pPr>
        <w:spacing w:after="0" w:line="240" w:lineRule="auto"/>
        <w:rPr>
          <w:rFonts w:ascii="Arial" w:hAnsi="Arial" w:cs="Arial"/>
          <w:b/>
          <w:bCs/>
          <w:sz w:val="20"/>
          <w:szCs w:val="21"/>
        </w:rPr>
      </w:pPr>
      <w:r w:rsidRPr="00F138F6">
        <w:rPr>
          <w:rFonts w:ascii="Arial" w:hAnsi="Arial" w:cs="Arial"/>
          <w:b/>
          <w:bCs/>
          <w:sz w:val="20"/>
          <w:szCs w:val="21"/>
        </w:rPr>
        <w:t>Grenzkosten:</w:t>
      </w:r>
    </w:p>
    <w:p w14:paraId="40462913" w14:textId="5BE06238" w:rsidR="00F138F6" w:rsidRDefault="00F138F6" w:rsidP="00F138F6">
      <w:pPr>
        <w:spacing w:after="0" w:line="240" w:lineRule="auto"/>
        <w:rPr>
          <w:rFonts w:ascii="Arial" w:hAnsi="Arial" w:cs="Arial"/>
          <w:sz w:val="20"/>
          <w:szCs w:val="21"/>
        </w:rPr>
      </w:pPr>
      <w:r w:rsidRPr="00F138F6">
        <w:rPr>
          <w:rFonts w:ascii="Arial" w:hAnsi="Arial" w:cs="Arial"/>
          <w:sz w:val="20"/>
          <w:szCs w:val="21"/>
        </w:rPr>
        <w:t>Grenzkosten sind die zusätzlichen Kosten, die durch die Produktion einer zusätzlichen Einheit eines Gutes oder einer Dienstleistung entstehen. Sie umfassen die variablen Kosten, die sich ändern, wenn sich die Produktionsmenge ändert. Grenzkosten können sich von den Gesamtkosten unterscheiden, da sie sich speziell auf die Kosten für die Produktion einer zusätzlichen Einheit beziehen.</w:t>
      </w:r>
    </w:p>
    <w:p w14:paraId="768685C4" w14:textId="77777777" w:rsidR="00F138F6" w:rsidRPr="00F138F6" w:rsidRDefault="00F138F6" w:rsidP="00F138F6">
      <w:pPr>
        <w:spacing w:after="0" w:line="240" w:lineRule="auto"/>
        <w:rPr>
          <w:rFonts w:ascii="Arial" w:hAnsi="Arial" w:cs="Arial"/>
          <w:sz w:val="20"/>
          <w:szCs w:val="21"/>
        </w:rPr>
      </w:pPr>
    </w:p>
    <w:p w14:paraId="5EA29E7C" w14:textId="058AFEB7" w:rsidR="00F138F6" w:rsidRDefault="00F138F6" w:rsidP="00F138F6">
      <w:pPr>
        <w:spacing w:after="0" w:line="240" w:lineRule="auto"/>
        <w:rPr>
          <w:rFonts w:ascii="Arial" w:hAnsi="Arial" w:cs="Arial"/>
          <w:sz w:val="20"/>
          <w:szCs w:val="21"/>
        </w:rPr>
      </w:pPr>
      <w:r w:rsidRPr="00F138F6">
        <w:rPr>
          <w:rFonts w:ascii="Arial" w:hAnsi="Arial" w:cs="Arial"/>
          <w:sz w:val="20"/>
          <w:szCs w:val="21"/>
        </w:rPr>
        <w:t>Angenommen, ein Unternehmen produziert Stühle. Die Grenzkosten würden die zusätzlichen Kosten berücksichtigen, die entstehen, wenn ein weiterer Stuhl hergestellt wird. Dies könnte Materialkosten, Arbeitskosten und andere produktionsbezogene Ausgaben umfassen.</w:t>
      </w:r>
    </w:p>
    <w:p w14:paraId="5EA824A2" w14:textId="77777777" w:rsidR="00F138F6" w:rsidRPr="00F138F6" w:rsidRDefault="00F138F6" w:rsidP="00F138F6">
      <w:pPr>
        <w:spacing w:after="0" w:line="240" w:lineRule="auto"/>
        <w:rPr>
          <w:rFonts w:ascii="Arial" w:hAnsi="Arial" w:cs="Arial"/>
          <w:sz w:val="20"/>
          <w:szCs w:val="21"/>
        </w:rPr>
      </w:pPr>
    </w:p>
    <w:p w14:paraId="1FA6DA0F" w14:textId="5D07BBA4" w:rsidR="00F138F6" w:rsidRPr="00F138F6" w:rsidRDefault="00F138F6" w:rsidP="00F138F6">
      <w:pPr>
        <w:spacing w:after="0" w:line="240" w:lineRule="auto"/>
        <w:rPr>
          <w:rFonts w:ascii="Arial" w:hAnsi="Arial" w:cs="Arial"/>
          <w:b/>
          <w:bCs/>
          <w:sz w:val="20"/>
          <w:szCs w:val="21"/>
        </w:rPr>
      </w:pPr>
      <w:r w:rsidRPr="00F138F6">
        <w:rPr>
          <w:rFonts w:ascii="Arial" w:hAnsi="Arial" w:cs="Arial"/>
          <w:b/>
          <w:bCs/>
          <w:sz w:val="20"/>
          <w:szCs w:val="21"/>
        </w:rPr>
        <w:t>Beziehung zwischen Grenznutzen und Grenzkosten:</w:t>
      </w:r>
    </w:p>
    <w:p w14:paraId="5F083136" w14:textId="4D1D7FD9" w:rsidR="00F138F6" w:rsidRPr="00F138F6" w:rsidRDefault="00F138F6" w:rsidP="00F138F6">
      <w:pPr>
        <w:spacing w:after="0" w:line="240" w:lineRule="auto"/>
        <w:rPr>
          <w:rFonts w:ascii="Arial" w:hAnsi="Arial" w:cs="Arial"/>
          <w:sz w:val="20"/>
          <w:szCs w:val="21"/>
        </w:rPr>
      </w:pPr>
      <w:r w:rsidRPr="00F138F6">
        <w:rPr>
          <w:rFonts w:ascii="Arial" w:hAnsi="Arial" w:cs="Arial"/>
          <w:sz w:val="20"/>
          <w:szCs w:val="21"/>
        </w:rPr>
        <w:t>In einem idealen wirtschaftlichen Gleichgewicht ist der Grenznutzen/ Grenzerlös eines Gutes oder einer Dienstleistung gleich den Grenzkosten, da dies bedeutet, dass der zusätzliche Nutzen, den eine zusätzliche Einheit bietet, genau den zusätzlichen Kosten entspricht, die für ihre Produktion anfallen. Auf diese Weise maximieren Verbraucher ihren Nutzen und Unternehmen maximieren ihren Gewinn.</w:t>
      </w:r>
    </w:p>
    <w:p w14:paraId="23E2B1EE" w14:textId="66E6D76B" w:rsidR="00F138F6" w:rsidRDefault="00F138F6" w:rsidP="00F138F6">
      <w:pPr>
        <w:spacing w:after="0" w:line="240" w:lineRule="auto"/>
        <w:rPr>
          <w:rFonts w:ascii="Arial" w:hAnsi="Arial" w:cs="Arial"/>
          <w:sz w:val="20"/>
          <w:szCs w:val="21"/>
        </w:rPr>
        <w:sectPr w:rsidR="00F138F6" w:rsidSect="00F138F6">
          <w:type w:val="continuous"/>
          <w:pgSz w:w="11900" w:h="16840"/>
          <w:pgMar w:top="1418" w:right="1418" w:bottom="1134" w:left="1418" w:header="284" w:footer="380" w:gutter="0"/>
          <w:lnNumType w:countBy="5" w:restart="continuous"/>
          <w:cols w:space="708"/>
          <w:docGrid w:linePitch="360"/>
        </w:sectPr>
      </w:pPr>
      <w:r w:rsidRPr="00F138F6">
        <w:rPr>
          <w:rFonts w:ascii="Arial" w:hAnsi="Arial" w:cs="Arial"/>
          <w:sz w:val="20"/>
          <w:szCs w:val="21"/>
        </w:rPr>
        <w:t xml:space="preserve">Das Verständnis von Grenznutzen und Grenzkosten ist für die Effizienzsteigerung und die Optimierung von Ressourcen in der Wirtschaft von entscheidender Bedeutung. Indem wir </w:t>
      </w:r>
      <w:proofErr w:type="gramStart"/>
      <w:r w:rsidRPr="00F138F6">
        <w:rPr>
          <w:rFonts w:ascii="Arial" w:hAnsi="Arial" w:cs="Arial"/>
          <w:sz w:val="20"/>
          <w:szCs w:val="21"/>
        </w:rPr>
        <w:t>die zusätzlichen Nutzen</w:t>
      </w:r>
      <w:proofErr w:type="gramEnd"/>
      <w:r w:rsidRPr="00F138F6">
        <w:rPr>
          <w:rFonts w:ascii="Arial" w:hAnsi="Arial" w:cs="Arial"/>
          <w:sz w:val="20"/>
          <w:szCs w:val="21"/>
        </w:rPr>
        <w:t>/ Erlöse und Kosten jeder Entscheidung abwägen, können wir fundierte Entscheidungen treffen, die dazu beitragen, unsere Ziele effektiv zu erreichen und Ressourcenverschwendung zu vermeiden.</w:t>
      </w:r>
    </w:p>
    <w:p w14:paraId="6599EC03" w14:textId="548313D2" w:rsidR="009401C0" w:rsidRPr="00F138F6" w:rsidRDefault="009401C0" w:rsidP="00A248C5">
      <w:pPr>
        <w:spacing w:after="0" w:line="240" w:lineRule="auto"/>
        <w:rPr>
          <w:rFonts w:ascii="Arial" w:hAnsi="Arial" w:cs="Arial"/>
          <w:sz w:val="20"/>
          <w:szCs w:val="21"/>
        </w:rPr>
      </w:pPr>
    </w:p>
    <w:p w14:paraId="2DAE2F3D" w14:textId="33449A25" w:rsidR="00E948C5" w:rsidRDefault="00F138F6" w:rsidP="00A248C5">
      <w:pPr>
        <w:spacing w:after="0" w:line="240" w:lineRule="auto"/>
        <w:rPr>
          <w:rFonts w:ascii="Arial" w:hAnsi="Arial" w:cs="Arial"/>
          <w:sz w:val="16"/>
          <w:szCs w:val="18"/>
        </w:rPr>
      </w:pPr>
      <w:r>
        <w:rPr>
          <w:rFonts w:ascii="Arial" w:hAnsi="Arial" w:cs="Arial"/>
          <w:sz w:val="16"/>
          <w:szCs w:val="18"/>
        </w:rPr>
        <w:t xml:space="preserve">Quelle: Erstellt mit </w:t>
      </w:r>
      <w:proofErr w:type="spellStart"/>
      <w:r>
        <w:rPr>
          <w:rFonts w:ascii="Arial" w:hAnsi="Arial" w:cs="Arial"/>
          <w:sz w:val="16"/>
          <w:szCs w:val="18"/>
        </w:rPr>
        <w:t>OpenAI</w:t>
      </w:r>
      <w:proofErr w:type="spellEnd"/>
      <w:r>
        <w:rPr>
          <w:rFonts w:ascii="Arial" w:hAnsi="Arial" w:cs="Arial"/>
          <w:sz w:val="16"/>
          <w:szCs w:val="18"/>
        </w:rPr>
        <w:t xml:space="preserve"> und danach adaptiert vom Verfasser</w:t>
      </w:r>
    </w:p>
    <w:p w14:paraId="34FCD698" w14:textId="58EC550F" w:rsidR="00E948C5" w:rsidRDefault="00E948C5" w:rsidP="00A248C5">
      <w:pPr>
        <w:spacing w:after="0" w:line="240" w:lineRule="auto"/>
        <w:rPr>
          <w:rFonts w:ascii="Arial" w:hAnsi="Arial" w:cs="Arial"/>
        </w:rPr>
      </w:pPr>
    </w:p>
    <w:p w14:paraId="3C4411CD" w14:textId="29E7EB92" w:rsidR="00E948C5" w:rsidRDefault="00E948C5" w:rsidP="00A248C5">
      <w:pPr>
        <w:spacing w:after="0" w:line="240" w:lineRule="auto"/>
        <w:rPr>
          <w:rFonts w:ascii="Arial" w:hAnsi="Arial" w:cs="Arial"/>
        </w:rPr>
      </w:pPr>
    </w:p>
    <w:p w14:paraId="5BCC934C" w14:textId="1228A0EA" w:rsidR="00E948C5" w:rsidRPr="00E948C5" w:rsidRDefault="00E948C5" w:rsidP="00A248C5">
      <w:pPr>
        <w:spacing w:after="0" w:line="240" w:lineRule="auto"/>
        <w:rPr>
          <w:rFonts w:ascii="Arial" w:hAnsi="Arial" w:cs="Arial"/>
          <w:b/>
          <w:bCs/>
        </w:rPr>
      </w:pPr>
      <w:r w:rsidRPr="00E948C5">
        <w:rPr>
          <w:rFonts w:ascii="Arial" w:hAnsi="Arial" w:cs="Arial"/>
        </w:rPr>
        <w:drawing>
          <wp:anchor distT="0" distB="0" distL="114300" distR="114300" simplePos="0" relativeHeight="251658240" behindDoc="0" locked="0" layoutInCell="1" allowOverlap="1" wp14:anchorId="17B24C59" wp14:editId="345A866A">
            <wp:simplePos x="0" y="0"/>
            <wp:positionH relativeFrom="margin">
              <wp:posOffset>-99060</wp:posOffset>
            </wp:positionH>
            <wp:positionV relativeFrom="margin">
              <wp:posOffset>6687185</wp:posOffset>
            </wp:positionV>
            <wp:extent cx="2897505" cy="2388235"/>
            <wp:effectExtent l="0" t="0" r="0" b="0"/>
            <wp:wrapSquare wrapText="bothSides"/>
            <wp:docPr id="1146644974" name="Picture 1" descr="A graph with number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44974" name="Picture 1" descr="A graph with numbers and a blue line&#10;&#10;Description automatically generated"/>
                    <pic:cNvPicPr/>
                  </pic:nvPicPr>
                  <pic:blipFill>
                    <a:blip r:embed="rId10"/>
                    <a:stretch>
                      <a:fillRect/>
                    </a:stretch>
                  </pic:blipFill>
                  <pic:spPr>
                    <a:xfrm>
                      <a:off x="0" y="0"/>
                      <a:ext cx="2897505" cy="2388235"/>
                    </a:xfrm>
                    <a:prstGeom prst="rect">
                      <a:avLst/>
                    </a:prstGeom>
                  </pic:spPr>
                </pic:pic>
              </a:graphicData>
            </a:graphic>
            <wp14:sizeRelH relativeFrom="margin">
              <wp14:pctWidth>0</wp14:pctWidth>
            </wp14:sizeRelH>
            <wp14:sizeRelV relativeFrom="margin">
              <wp14:pctHeight>0</wp14:pctHeight>
            </wp14:sizeRelV>
          </wp:anchor>
        </w:drawing>
      </w:r>
      <w:r w:rsidRPr="00E948C5">
        <w:rPr>
          <w:rFonts w:ascii="Arial" w:hAnsi="Arial" w:cs="Arial"/>
          <w:b/>
          <w:bCs/>
        </w:rPr>
        <w:t>M1</w:t>
      </w:r>
      <w:r w:rsidRPr="00E948C5">
        <w:rPr>
          <w:rFonts w:ascii="Arial" w:hAnsi="Arial" w:cs="Arial"/>
          <w:b/>
          <w:bCs/>
        </w:rPr>
        <w:tab/>
        <w:t>Graphische Darstellung</w:t>
      </w:r>
    </w:p>
    <w:p w14:paraId="64A25198" w14:textId="4ED6668A" w:rsidR="00E948C5" w:rsidRDefault="00E948C5" w:rsidP="00A248C5">
      <w:pPr>
        <w:spacing w:after="0" w:line="240" w:lineRule="auto"/>
        <w:rPr>
          <w:rFonts w:ascii="Arial" w:hAnsi="Arial" w:cs="Arial"/>
        </w:rPr>
      </w:pPr>
    </w:p>
    <w:p w14:paraId="3D1664BB" w14:textId="484A9846" w:rsidR="00E948C5" w:rsidRPr="00E948C5" w:rsidRDefault="00E948C5" w:rsidP="00A248C5">
      <w:pPr>
        <w:spacing w:after="0" w:line="240" w:lineRule="auto"/>
        <w:rPr>
          <w:rFonts w:ascii="Arial" w:hAnsi="Arial" w:cs="Arial"/>
        </w:rPr>
      </w:pPr>
    </w:p>
    <w:sectPr w:rsidR="00E948C5" w:rsidRPr="00E948C5" w:rsidSect="00F138F6">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AB329" w14:textId="77777777" w:rsidR="00571686" w:rsidRDefault="00571686" w:rsidP="00ED5380">
      <w:pPr>
        <w:spacing w:after="0" w:line="240" w:lineRule="auto"/>
      </w:pPr>
      <w:r>
        <w:separator/>
      </w:r>
    </w:p>
  </w:endnote>
  <w:endnote w:type="continuationSeparator" w:id="0">
    <w:p w14:paraId="7DAF5E28" w14:textId="77777777" w:rsidR="00571686" w:rsidRDefault="00571686"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000000">
    <w:pPr>
      <w:pStyle w:val="Footer"/>
    </w:pPr>
    <w:sdt>
      <w:sdtPr>
        <w:id w:val="969400743"/>
        <w:placeholder>
          <w:docPart w:val="71056DD1E6C93F44B3FE97000D685613"/>
        </w:placeholder>
        <w:temporary/>
        <w:showingPlcHdr/>
      </w:sdt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F865C" w14:textId="77777777" w:rsidR="00571686" w:rsidRDefault="00571686" w:rsidP="00ED5380">
      <w:pPr>
        <w:spacing w:after="0" w:line="240" w:lineRule="auto"/>
      </w:pPr>
      <w:r>
        <w:separator/>
      </w:r>
    </w:p>
  </w:footnote>
  <w:footnote w:type="continuationSeparator" w:id="0">
    <w:p w14:paraId="7E256D47" w14:textId="77777777" w:rsidR="00571686" w:rsidRDefault="00571686"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6364AA46" w:rsidR="007F01B3" w:rsidRPr="00E849DA" w:rsidRDefault="00F138F6" w:rsidP="007F01B3">
          <w:pPr>
            <w:pStyle w:val="Header"/>
            <w:rPr>
              <w:sz w:val="20"/>
            </w:rPr>
          </w:pPr>
          <w:r>
            <w:rPr>
              <w:sz w:val="20"/>
            </w:rPr>
            <w:t>Wirtschaft</w:t>
          </w:r>
        </w:p>
      </w:tc>
      <w:tc>
        <w:tcPr>
          <w:tcW w:w="2686" w:type="dxa"/>
        </w:tcPr>
        <w:p w14:paraId="3CF6EFD2" w14:textId="77777777" w:rsidR="007F01B3" w:rsidRDefault="007F01B3" w:rsidP="007F01B3">
          <w:pPr>
            <w:pStyle w:val="Header"/>
            <w:rPr>
              <w:b/>
            </w:rPr>
          </w:pPr>
          <w:r w:rsidRPr="00372CE5">
            <w:rPr>
              <w:b/>
            </w:rPr>
            <w:t>Thema</w:t>
          </w:r>
        </w:p>
        <w:p w14:paraId="685B1A43" w14:textId="464FB0C9" w:rsidR="007F01B3" w:rsidRPr="00E849DA" w:rsidRDefault="00F138F6" w:rsidP="007F01B3">
          <w:pPr>
            <w:pStyle w:val="Header"/>
            <w:rPr>
              <w:sz w:val="20"/>
            </w:rPr>
          </w:pPr>
          <w:r>
            <w:rPr>
              <w:sz w:val="20"/>
            </w:rPr>
            <w:t>Grenzkosten/ Grenzerlös und Grenzkosten</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5BDE6014" w:rsidR="007F01B3" w:rsidRPr="0011047C" w:rsidRDefault="00F138F6"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4D2C46"/>
    <w:rsid w:val="00531D52"/>
    <w:rsid w:val="005579F7"/>
    <w:rsid w:val="00562049"/>
    <w:rsid w:val="00571686"/>
    <w:rsid w:val="0058253E"/>
    <w:rsid w:val="005B47B9"/>
    <w:rsid w:val="005C2A7E"/>
    <w:rsid w:val="005C5D36"/>
    <w:rsid w:val="005D4933"/>
    <w:rsid w:val="005F51B5"/>
    <w:rsid w:val="00606ACE"/>
    <w:rsid w:val="00627B38"/>
    <w:rsid w:val="007F01B3"/>
    <w:rsid w:val="007F0DA2"/>
    <w:rsid w:val="00847E15"/>
    <w:rsid w:val="00847F21"/>
    <w:rsid w:val="008C5D2C"/>
    <w:rsid w:val="009401C0"/>
    <w:rsid w:val="00946C0D"/>
    <w:rsid w:val="009E1A2F"/>
    <w:rsid w:val="00A248C5"/>
    <w:rsid w:val="00A24FBF"/>
    <w:rsid w:val="00A61A84"/>
    <w:rsid w:val="00A958D4"/>
    <w:rsid w:val="00AA0564"/>
    <w:rsid w:val="00AA56D4"/>
    <w:rsid w:val="00B643D3"/>
    <w:rsid w:val="00B769C4"/>
    <w:rsid w:val="00BB67A9"/>
    <w:rsid w:val="00C04F96"/>
    <w:rsid w:val="00C10B1A"/>
    <w:rsid w:val="00C33657"/>
    <w:rsid w:val="00C87B1E"/>
    <w:rsid w:val="00C90455"/>
    <w:rsid w:val="00D071BA"/>
    <w:rsid w:val="00D70458"/>
    <w:rsid w:val="00DE1D61"/>
    <w:rsid w:val="00DF0074"/>
    <w:rsid w:val="00E070B8"/>
    <w:rsid w:val="00E6584C"/>
    <w:rsid w:val="00E948C5"/>
    <w:rsid w:val="00ED5380"/>
    <w:rsid w:val="00F138F6"/>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character" w:styleId="LineNumber">
    <w:name w:val="line number"/>
    <w:basedOn w:val="DefaultParagraphFont"/>
    <w:uiPriority w:val="99"/>
    <w:semiHidden/>
    <w:unhideWhenUsed/>
    <w:rsid w:val="00F1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5B26E2"/>
    <w:rsid w:val="006F045B"/>
    <w:rsid w:val="00936B66"/>
    <w:rsid w:val="00A24FBF"/>
    <w:rsid w:val="00A91754"/>
    <w:rsid w:val="00BA0A5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438</Words>
  <Characters>2502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3</cp:revision>
  <dcterms:created xsi:type="dcterms:W3CDTF">2024-09-23T10:22:00Z</dcterms:created>
  <dcterms:modified xsi:type="dcterms:W3CDTF">2024-09-23T10:29:00Z</dcterms:modified>
</cp:coreProperties>
</file>