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Intelligent University Observatory</w:t>
      </w:r>
    </w:p>
    <w:p>
      <w:pPr>
        <w:pStyle w:val="Heading2"/>
      </w:pPr>
      <w:r>
        <w:t>Research and Lab Management System using a Multi-Agent System</w:t>
      </w:r>
    </w:p>
    <w:p>
      <w:r>
        <w:rPr>
          <w:b/>
        </w:rPr>
        <w:t>Course:</w:t>
      </w:r>
      <w:r>
        <w:t xml:space="preserve"> </w:t>
      </w:r>
      <w:r>
        <w:rPr>
          <w:i/>
        </w:rPr>
        <w:t>(course name — fill in)</w:t>
      </w:r>
      <w:r>
        <w:t xml:space="preserve"> </w:t>
      </w:r>
      <w:r>
        <w:rPr>
          <w:b/>
        </w:rPr>
        <w:t>University / Institution:</w:t>
      </w:r>
      <w:r>
        <w:t xml:space="preserve"> </w:t>
      </w:r>
      <w:r>
        <w:rPr>
          <w:i/>
        </w:rPr>
        <w:t>(university — fill in)</w:t>
      </w:r>
      <w:r>
        <w:t xml:space="preserve"> </w:t>
      </w:r>
      <w:r>
        <w:rPr>
          <w:b/>
        </w:rPr>
        <w:t>Academic year:</w:t>
      </w:r>
      <w:r>
        <w:t xml:space="preserve"> 2025 – 2026 </w:t>
      </w:r>
      <w:r>
        <w:rPr>
          <w:b/>
        </w:rPr>
        <w:t>Supervisor:</w:t>
      </w:r>
      <w:r>
        <w:t xml:space="preserve"> </w:t>
      </w:r>
      <w:r>
        <w:rPr>
          <w:i/>
        </w:rPr>
        <w:t>(supervisor name — fill in)</w:t>
      </w:r>
      <w:r>
        <w:t xml:space="preserve"> </w:t>
      </w:r>
      <w:r>
        <w:rPr>
          <w:b/>
        </w:rPr>
        <w:t>Authors:</w:t>
      </w:r>
      <w:r>
        <w:t xml:space="preserve"> </w:t>
      </w:r>
      <w:r>
        <w:rPr>
          <w:i/>
        </w:rPr>
        <w:t>(team member 1 — fill in), (team member 2 — fill in), (team member 3 — fill in)</w:t>
      </w:r>
      <w:r>
        <w:t xml:space="preserve"> </w:t>
      </w:r>
      <w:r>
        <w:rPr>
          <w:b/>
        </w:rPr>
        <w:t>Date of submission:</w:t>
      </w:r>
      <w:r>
        <w:t xml:space="preserve"> May 2026 </w:t>
      </w:r>
      <w:r>
        <w:rPr>
          <w:b/>
        </w:rPr>
        <w:t>Specification document:</w:t>
      </w:r>
      <w:r>
        <w:t xml:space="preserve"> </w:t>
      </w:r>
      <w:r>
        <w:rPr>
          <w:rFonts w:ascii="Consolas" w:hAnsi="Consolas"/>
          <w:color w:val="3366CC"/>
          <w:sz w:val="20"/>
        </w:rPr>
        <w:t>Project_HIDE3.pdf</w:t>
      </w:r>
      <w:r>
        <w:t xml:space="preserve"> (W. Guezguez, 6 April 2026) </w:t>
      </w:r>
      <w:r>
        <w:rPr>
          <w:b/>
        </w:rPr>
        <w:t>Code repository:</w:t>
      </w:r>
      <w:r>
        <w:t xml:space="preserve"> </w:t>
      </w:r>
      <w:r>
        <w:rPr>
          <w:rFonts w:ascii="Consolas" w:hAnsi="Consolas"/>
          <w:color w:val="3366CC"/>
          <w:sz w:val="20"/>
        </w:rPr>
        <w:t>DCAI-Project/</w:t>
      </w:r>
    </w:p>
    <w:p>
      <w:r>
        <w:t>────────────────────────────────────────────────────────────</w:t>
      </w:r>
    </w:p>
    <w:p>
      <w:pPr>
        <w:pStyle w:val="Heading2"/>
      </w:pPr>
      <w:r>
        <w:t>Abstract</w:t>
      </w:r>
    </w:p>
    <w:p>
      <w:r>
        <w:t xml:space="preserve">This document is the submission report for </w:t>
      </w:r>
      <w:r>
        <w:rPr>
          <w:i/>
        </w:rPr>
        <w:t>Project HIDE — Intelligent University Observatory</w:t>
      </w:r>
      <w:r>
        <w:t xml:space="preserve">, a Multi-Agent System (MAS) that monitors, analyses, and recommends collaborations between researchers and laboratories within a university. The system implements seven cooperating agents on top of the </w:t>
      </w:r>
      <w:r>
        <w:rPr>
          <w:b/>
        </w:rPr>
        <w:t>Mesa</w:t>
      </w:r>
      <w:r>
        <w:t xml:space="preserve"> framework, persists structured research data in </w:t>
      </w:r>
      <w:r>
        <w:rPr>
          <w:b/>
        </w:rPr>
        <w:t>SQLite</w:t>
      </w:r>
      <w:r>
        <w:t xml:space="preserve"> through </w:t>
      </w:r>
      <w:r>
        <w:rPr>
          <w:b/>
        </w:rPr>
        <w:t>SQLAlchemy</w:t>
      </w:r>
      <w:r>
        <w:t xml:space="preserve">, applies </w:t>
      </w:r>
      <w:r>
        <w:rPr>
          <w:b/>
        </w:rPr>
        <w:t>scikit-learn</w:t>
      </w:r>
      <w:r>
        <w:t xml:space="preserve"> for clustering (KMeans, DBSCAN) and TF-IDF expertise matching, and formalises collaboration acceptance through a </w:t>
      </w:r>
      <w:r>
        <w:rPr>
          <w:b/>
        </w:rPr>
        <w:t>Nash-equilibrium</w:t>
      </w:r>
      <w:r>
        <w:t xml:space="preserve"> payoff matrix. A web dashboard (Flask + React) exposes the resulting analytics to administrators across five interactive pages and allows full or partial pipeline reruns. Compared to the original specification (</w:t>
      </w:r>
      <w:r>
        <w:rPr>
          <w:rFonts w:ascii="Consolas" w:hAnsi="Consolas"/>
          <w:color w:val="3366CC"/>
          <w:sz w:val="20"/>
        </w:rPr>
        <w:t>Project_HIDE3.pdf</w:t>
      </w:r>
      <w:r>
        <w:t>), the deliverable covers all six high-level requirements, all five mandatory learning objectives, the full relational schema, and seven of the nine named agents. The remaining gaps — live web scraping in the observer agents, the dashboard expressed as a Mesa agent, and the optional LLM extension — are documented in §11.</w:t>
      </w:r>
    </w:p>
    <w:p>
      <w:r>
        <w:t>────────────────────────────────────────────────────────────</w:t>
      </w:r>
    </w:p>
    <w:p>
      <w:pPr>
        <w:pStyle w:val="Heading2"/>
      </w:pPr>
      <w:r>
        <w:t>Acknowledgements</w:t>
      </w:r>
    </w:p>
    <w:p>
      <w:r>
        <w:t xml:space="preserve">We thank our supervisor </w:t>
      </w:r>
      <w:r>
        <w:rPr>
          <w:i/>
        </w:rPr>
        <w:t>(supervisor name — fill in)</w:t>
      </w:r>
      <w:r>
        <w:t xml:space="preserve"> for proposing the subject and for the guidance provided throughout the semester, as well as the rest of the teaching team for their feedback during the intermediate reviews.</w:t>
      </w:r>
    </w:p>
    <w:p>
      <w:r>
        <w:t>────────────────────────────────────────────────────────────</w:t>
      </w:r>
    </w:p>
    <w:p>
      <w:pPr>
        <w:pStyle w:val="Heading2"/>
      </w:pPr>
      <w:r>
        <w:t>Table of contents</w:t>
      </w:r>
    </w:p>
    <w:p>
      <w:pPr>
        <w:pStyle w:val="ListNumber"/>
      </w:pPr>
      <w:r>
        <w:t>Introduction</w:t>
      </w:r>
    </w:p>
    <w:p>
      <w:pPr>
        <w:pStyle w:val="ListNumber"/>
      </w:pPr>
      <w:r>
        <w:t xml:space="preserve">Project specification (recap of </w:t>
      </w:r>
      <w:r>
        <w:rPr>
          <w:rFonts w:ascii="Consolas" w:hAnsi="Consolas"/>
          <w:color w:val="3366CC"/>
          <w:sz w:val="20"/>
        </w:rPr>
        <w:t>Project_HIDE3.pdf</w:t>
      </w:r>
      <w:r>
        <w:t>)</w:t>
      </w:r>
    </w:p>
    <w:p>
      <w:pPr>
        <w:pStyle w:val="ListNumber"/>
      </w:pPr>
      <w:r>
        <w:t>System architecture</w:t>
      </w:r>
    </w:p>
    <w:p>
      <w:pPr>
        <w:pStyle w:val="ListNumber"/>
      </w:pPr>
      <w:r>
        <w:t>Database design</w:t>
      </w:r>
    </w:p>
    <w:p>
      <w:pPr>
        <w:pStyle w:val="ListNumber"/>
      </w:pPr>
      <w:r>
        <w:t>Multi-Agent System design</w:t>
      </w:r>
    </w:p>
    <w:p>
      <w:pPr>
        <w:pStyle w:val="ListNumber"/>
      </w:pPr>
      <w:r>
        <w:t>AI components (clustering and expertise matching)</w:t>
      </w:r>
    </w:p>
    <w:p>
      <w:pPr>
        <w:pStyle w:val="ListNumber"/>
      </w:pPr>
      <w:r>
        <w:t>Game-theoretic negotiation</w:t>
      </w:r>
    </w:p>
    <w:p>
      <w:pPr>
        <w:pStyle w:val="ListNumber"/>
      </w:pPr>
      <w:r>
        <w:t>Web dashboard (AgentDashboardInterface layer)</w:t>
      </w:r>
    </w:p>
    <w:p>
      <w:pPr>
        <w:pStyle w:val="ListNumber"/>
      </w:pPr>
      <w:r>
        <w:t>Implementation workflow and tooling</w:t>
      </w:r>
    </w:p>
    <w:p>
      <w:pPr>
        <w:pStyle w:val="ListNumber"/>
      </w:pPr>
      <w:r>
        <w:t>Results and evaluation</w:t>
      </w:r>
    </w:p>
    <w:p>
      <w:pPr>
        <w:pStyle w:val="ListNumber"/>
      </w:pPr>
      <w:r>
        <w:t>Comparison with the specification — what is matched, what diverges</w:t>
      </w:r>
    </w:p>
    <w:p>
      <w:pPr>
        <w:pStyle w:val="ListNumber"/>
      </w:pPr>
      <w:r>
        <w:t>Limitations and future work</w:t>
      </w:r>
    </w:p>
    <w:p>
      <w:pPr>
        <w:pStyle w:val="ListNumber"/>
      </w:pPr>
      <w:r>
        <w:t>Conclusion</w:t>
      </w:r>
    </w:p>
    <w:p>
      <w:r>
        <w:rPr>
          <w:i/>
        </w:rPr>
        <w:t>(Word will regenerate this table of contents from the headings if you use</w:t>
      </w:r>
      <w:r>
        <w:t xml:space="preserve"> </w:t>
      </w:r>
      <w:r>
        <w:rPr>
          <w:i/>
        </w:rPr>
        <w:t>References → Table of Contents in the .docx file.)</w:t>
      </w:r>
    </w:p>
    <w:p>
      <w:r>
        <w:t>────────────────────────────────────────────────────────────</w:t>
      </w:r>
    </w:p>
    <w:p>
      <w:pPr>
        <w:pStyle w:val="Heading2"/>
      </w:pPr>
      <w:r>
        <w:t>1. Introduction</w:t>
      </w:r>
    </w:p>
    <w:p>
      <w:pPr>
        <w:pStyle w:val="Heading3"/>
      </w:pPr>
      <w:r>
        <w:t>1.1 Context</w:t>
      </w:r>
    </w:p>
    <w:p>
      <w:r>
        <w:t xml:space="preserve">Universities accumulate large volumes of fragmented research data — publication metadata, bibliometric indicators, expertise descriptions, and laboratory affiliations — that are rarely exploited at the institutional level. Decision-makers (deans, lab directors, research-office staff) have difficulty answering simple questions such as </w:t>
      </w:r>
      <w:r>
        <w:rPr>
          <w:i/>
        </w:rPr>
        <w:t>"Which two researchers, in two different labs, would benefit most from collaborating?"</w:t>
      </w:r>
      <w:r>
        <w:t xml:space="preserve"> or </w:t>
      </w:r>
      <w:r>
        <w:rPr>
          <w:i/>
        </w:rPr>
        <w:t>"Which research clusters are emerging this year?"</w:t>
      </w:r>
      <w:r>
        <w:t xml:space="preserve">. Project HIDE addresses this gap with an </w:t>
      </w:r>
      <w:r>
        <w:rPr>
          <w:i/>
        </w:rPr>
        <w:t>Intelligent University Observatory</w:t>
      </w:r>
      <w:r>
        <w:t xml:space="preserve"> whose analytics layer is implemented as a Multi-Agent System.</w:t>
      </w:r>
    </w:p>
    <w:p>
      <w:pPr>
        <w:pStyle w:val="Heading3"/>
      </w:pPr>
      <w:r>
        <w:t>1.2 Problem statement</w:t>
      </w:r>
    </w:p>
    <w:p>
      <w:r>
        <w:t xml:space="preserve">Given a population of researchers, labs and publications, the system must: (i) maintain a structured representation of research activity; (ii) discover groupings of researchers with similar profiles; (iii) recommend collaborations between complementary researchers; (iv) reach a defensible </w:t>
      </w:r>
      <w:r>
        <w:rPr>
          <w:i/>
        </w:rPr>
        <w:t>decision</w:t>
      </w:r>
      <w:r>
        <w:t xml:space="preserve"> about each recommendation using a negotiation mechanism; and (v) expose the result through a dashboard usable by non-technical decision-makers.</w:t>
      </w:r>
    </w:p>
    <w:p>
      <w:pPr>
        <w:pStyle w:val="Heading3"/>
      </w:pPr>
      <w:r>
        <w:t>1.3 Objectives</w:t>
      </w:r>
    </w:p>
    <w:p>
      <w:r>
        <w:t xml:space="preserve">The objectives, drawn directly from </w:t>
      </w:r>
      <w:r>
        <w:rPr>
          <w:rFonts w:ascii="Consolas" w:hAnsi="Consolas"/>
          <w:color w:val="3366CC"/>
          <w:sz w:val="20"/>
        </w:rPr>
        <w:t>Project_HIDE3.pdf</w:t>
      </w:r>
      <w:r>
        <w:t xml:space="preserve"> §2, are to:</w:t>
      </w:r>
    </w:p>
    <w:p>
      <w:pPr>
        <w:pStyle w:val="ListBullet"/>
      </w:pPr>
      <w:r>
        <w:t>design and implement a MAS with specialised agents;</w:t>
      </w:r>
    </w:p>
    <w:p>
      <w:pPr>
        <w:pStyle w:val="ListBullet"/>
      </w:pPr>
      <w:r>
        <w:t>apply game theory and negotiation techniques;</w:t>
      </w:r>
    </w:p>
    <w:p>
      <w:pPr>
        <w:pStyle w:val="ListBullet"/>
      </w:pPr>
      <w:r>
        <w:t>integrate AI for clustering researchers and publications;</w:t>
      </w:r>
    </w:p>
    <w:p>
      <w:pPr>
        <w:pStyle w:val="ListBullet"/>
      </w:pPr>
      <w:r>
        <w:t>develop a database schema for research data;</w:t>
      </w:r>
    </w:p>
    <w:p>
      <w:pPr>
        <w:pStyle w:val="ListBullet"/>
      </w:pPr>
      <w:r>
        <w:t>create a web dashboard for visualisation and decision-making;</w:t>
      </w:r>
    </w:p>
    <w:p>
      <w:pPr>
        <w:pStyle w:val="ListBullet"/>
      </w:pPr>
      <w:r>
        <w:t>(optional) leverage an LLM agent for semantic analysis.</w:t>
      </w:r>
    </w:p>
    <w:p>
      <w:pPr>
        <w:pStyle w:val="Heading3"/>
      </w:pPr>
      <w:r>
        <w:t>1.4 Contributions of this work</w:t>
      </w:r>
    </w:p>
    <w:p>
      <w:pPr>
        <w:pStyle w:val="ListNumber"/>
      </w:pPr>
      <w:r>
        <w:t>A working seven-agent MAS, orchestrated through the Mesa scheduler, with</w:t>
      </w:r>
    </w:p>
    <w:p>
      <w:r>
        <w:t>strict execution order and a typed inter-agent message bus.</w:t>
      </w:r>
    </w:p>
    <w:p>
      <w:pPr>
        <w:pStyle w:val="ListNumber"/>
      </w:pPr>
      <w:r>
        <w:t>A normalised relational schema (seven tables, foreign keys, indexes)</w:t>
      </w:r>
    </w:p>
    <w:p>
      <w:r>
        <w:t>that is a superset of the schema suggested in the specification.</w:t>
      </w:r>
    </w:p>
    <w:p>
      <w:pPr>
        <w:pStyle w:val="ListNumber"/>
      </w:pPr>
      <w:r>
        <w:t>An AI pipeline that combines KMeans + DBSCAN with silhouette tie-break</w:t>
      </w:r>
    </w:p>
    <w:p>
      <w:r>
        <w:t>for clustering, and TF-IDF + cosine similarity for expertise matching.</w:t>
      </w:r>
    </w:p>
    <w:p>
      <w:pPr>
        <w:pStyle w:val="ListNumber"/>
      </w:pPr>
      <w:r>
        <w:t>A bilateral game-theoretic negotiator that derives a payoff matrix from</w:t>
      </w:r>
    </w:p>
    <w:p>
      <w:r>
        <w:t>normalised researcher utilities and accepts pairs whose Nash value exceeds an explicit threshold.</w:t>
      </w:r>
    </w:p>
    <w:p>
      <w:pPr>
        <w:pStyle w:val="ListNumber"/>
      </w:pPr>
      <w:r>
        <w:t>A reactive web dashboard with five interactive pages, partial-rerun</w:t>
      </w:r>
    </w:p>
    <w:p>
      <w:r>
        <w:t>endpoints for each agent, and a live log viewer.</w:t>
      </w:r>
    </w:p>
    <w:p>
      <w:pPr>
        <w:pStyle w:val="ListNumber"/>
      </w:pPr>
      <w:r>
        <w:t>A reproducible seed pipeline that builds 200 researchers, 20 labs and</w:t>
      </w:r>
    </w:p>
    <w:p>
      <w:r>
        <w:t>500 publications offline in a few seconds.</w:t>
      </w:r>
    </w:p>
    <w:p>
      <w:r>
        <w:t>────────────────────────────────────────────────────────────</w:t>
      </w:r>
    </w:p>
    <w:p>
      <w:pPr>
        <w:pStyle w:val="Heading2"/>
      </w:pPr>
      <w:r>
        <w:t>2. Project specification (recap of `Project_HIDE3.pdf`)</w:t>
      </w:r>
    </w:p>
    <w:p>
      <w:r>
        <w:t>The specification asks for an MAS-based observatory exposing metrics on researchers (count, publications, citations, h-index, collaborations), clustering of researchers or labs, expertise and collaboration identification, structured database storage, and an administrator dashboard. It proposes nine named agents (Coordinator; three Observer scrapers; Cluster; ExpertiseMatcher; CollabAdvisor; Negotiator; Dashboard Interface), a five-table relational schema, and a Python tool stack including Mesa, BeautifulSoup/Selenium/Requests, scikit-learn, a web framework chosen from {Flask, Django, Plotly Dash, Streamlit}, and SQLite (or PostgreSQL / MongoDB). LLM-based semantic analysis is listed as optional. Six evaluation criteria close the brief (functionality of the MAS, correctness of clustering and AI agents, database design and integration quality, dashboard usability, innovation in negotiation / game-theory simulations, quality of documentation).</w:t>
      </w:r>
    </w:p>
    <w:p>
      <w:r>
        <w:t>────────────────────────────────────────────────────────────</w:t>
      </w:r>
    </w:p>
    <w:p>
      <w:pPr>
        <w:pStyle w:val="Heading2"/>
      </w:pPr>
      <w:r>
        <w:t>3. System architecture</w:t>
      </w:r>
    </w:p>
    <w:p>
      <w:r>
        <w:t xml:space="preserve">The system is organised in four layers (Figure 1): a </w:t>
      </w:r>
      <w:r>
        <w:rPr>
          <w:i/>
        </w:rPr>
        <w:t>presentation</w:t>
      </w:r>
      <w:r>
        <w:t xml:space="preserve"> layer (React SPA + Flask REST API), a </w:t>
      </w:r>
      <w:r>
        <w:rPr>
          <w:i/>
        </w:rPr>
        <w:t>Multi-Agent System</w:t>
      </w:r>
      <w:r>
        <w:t xml:space="preserve"> layer running on top of Mesa, a </w:t>
      </w:r>
      <w:r>
        <w:rPr>
          <w:i/>
        </w:rPr>
        <w:t>data</w:t>
      </w:r>
      <w:r>
        <w:t xml:space="preserve"> layer hosted in SQLite through SQLAlchemy, and a small set of </w:t>
      </w:r>
      <w:r>
        <w:rPr>
          <w:i/>
        </w:rPr>
        <w:t>external</w:t>
      </w:r>
      <w:r>
        <w:t xml:space="preserve"> dependencies (Faker for the seed dataset, the browser of the administrator, </w:t>
      </w:r>
      <w:r>
        <w:rPr>
          <w:rFonts w:ascii="Consolas" w:hAnsi="Consolas"/>
          <w:color w:val="3366CC"/>
          <w:sz w:val="20"/>
        </w:rPr>
        <w:t>logs/mas.log</w:t>
      </w:r>
      <w:r>
        <w:t xml:space="preserve"> and the scientific Python stack). The MAS layer publishes everything it learns into a shared in-memory </w:t>
      </w:r>
      <w:r>
        <w:rPr>
          <w:rFonts w:ascii="Consolas" w:hAnsi="Consolas"/>
          <w:color w:val="3366CC"/>
          <w:sz w:val="20"/>
        </w:rPr>
        <w:t>message_bus</w:t>
      </w:r>
      <w:r>
        <w:t xml:space="preserve"> keyed by agent name, which keeps the agents loosely coupled and makes partial reruns safe.</w:t>
      </w:r>
    </w:p>
    <w:p>
      <w:pPr>
        <w:jc w:val="center"/>
      </w:pPr>
      <w:r>
        <w:drawing>
          <wp:inline xmlns:a="http://schemas.openxmlformats.org/drawingml/2006/main" xmlns:pic="http://schemas.openxmlformats.org/drawingml/2006/picture">
            <wp:extent cx="5852160" cy="363265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3632658"/>
                    </a:xfrm>
                    <a:prstGeom prst="rect"/>
                  </pic:spPr>
                </pic:pic>
              </a:graphicData>
            </a:graphic>
          </wp:inline>
        </w:drawing>
      </w:r>
    </w:p>
    <w:p>
      <w:pPr>
        <w:jc w:val="center"/>
      </w:pPr>
      <w:r>
        <w:rPr>
          <w:i/>
          <w:sz w:val="18"/>
        </w:rPr>
        <w:t>Figure 1 — Layered system architecture of Project HIDE.</w:t>
      </w:r>
    </w:p>
    <w:p>
      <w:r>
        <w:t xml:space="preserve">The execution flow of one full cycle is shown in Figure 2. The </w:t>
      </w:r>
      <w:r>
        <w:rPr>
          <w:rFonts w:ascii="Consolas" w:hAnsi="Consolas"/>
          <w:color w:val="3366CC"/>
          <w:sz w:val="20"/>
        </w:rPr>
        <w:t>AgentCoordinator</w:t>
      </w:r>
      <w:r>
        <w:t xml:space="preserve"> first triggers the three observer agents in parallel (in the current implementation they read from the seeded SQLite database; real scraping is documented as future work in §12). Their counts are written to the bus. The analysis stage then runs </w:t>
      </w:r>
      <w:r>
        <w:rPr>
          <w:rFonts w:ascii="Consolas" w:hAnsi="Consolas"/>
          <w:color w:val="3366CC"/>
          <w:sz w:val="20"/>
        </w:rPr>
        <w:t>AgentCluster</w:t>
      </w:r>
      <w:r>
        <w:t xml:space="preserve">, followed by </w:t>
      </w:r>
      <w:r>
        <w:rPr>
          <w:rFonts w:ascii="Consolas" w:hAnsi="Consolas"/>
          <w:color w:val="3366CC"/>
          <w:sz w:val="20"/>
        </w:rPr>
        <w:t>AgentExpertiseMatcher</w:t>
      </w:r>
      <w:r>
        <w:t xml:space="preserve">, which produces the top-K candidate pairs. </w:t>
      </w:r>
      <w:r>
        <w:rPr>
          <w:rFonts w:ascii="Consolas" w:hAnsi="Consolas"/>
          <w:color w:val="3366CC"/>
          <w:sz w:val="20"/>
        </w:rPr>
        <w:t>AgentCollabAdvisor</w:t>
      </w:r>
      <w:r>
        <w:t xml:space="preserve"> ranks those pairs and selects the best to surface to the user. Finally </w:t>
      </w:r>
      <w:r>
        <w:rPr>
          <w:rFonts w:ascii="Consolas" w:hAnsi="Consolas"/>
          <w:color w:val="3366CC"/>
          <w:sz w:val="20"/>
        </w:rPr>
        <w:t>AgentNegotiator</w:t>
      </w:r>
      <w:r>
        <w:t xml:space="preserve"> evaluates each pair through a game-theoretic payoff matrix and persists the accept / reject decision.</w:t>
      </w:r>
    </w:p>
    <w:p>
      <w:pPr>
        <w:jc w:val="center"/>
      </w:pPr>
      <w:r>
        <w:drawing>
          <wp:inline xmlns:a="http://schemas.openxmlformats.org/drawingml/2006/main" xmlns:pic="http://schemas.openxmlformats.org/drawingml/2006/picture">
            <wp:extent cx="5852160" cy="3878662"/>
            <wp:docPr id="2" name="Picture 2"/>
            <wp:cNvGraphicFramePr>
              <a:graphicFrameLocks noChangeAspect="1"/>
            </wp:cNvGraphicFramePr>
            <a:graphic>
              <a:graphicData uri="http://schemas.openxmlformats.org/drawingml/2006/picture">
                <pic:pic>
                  <pic:nvPicPr>
                    <pic:cNvPr id="0" name="fig2_mas_sequence.png"/>
                    <pic:cNvPicPr/>
                  </pic:nvPicPr>
                  <pic:blipFill>
                    <a:blip r:embed="rId10"/>
                    <a:stretch>
                      <a:fillRect/>
                    </a:stretch>
                  </pic:blipFill>
                  <pic:spPr>
                    <a:xfrm>
                      <a:off x="0" y="0"/>
                      <a:ext cx="5852160" cy="3878662"/>
                    </a:xfrm>
                    <a:prstGeom prst="rect"/>
                  </pic:spPr>
                </pic:pic>
              </a:graphicData>
            </a:graphic>
          </wp:inline>
        </w:drawing>
      </w:r>
    </w:p>
    <w:p>
      <w:pPr>
        <w:jc w:val="center"/>
      </w:pPr>
      <w:r>
        <w:rPr>
          <w:i/>
          <w:sz w:val="18"/>
        </w:rPr>
        <w:t>Figure 2 — Sequence diagram of one MAS cycle (`coordinator.run(steps=1)`).</w:t>
      </w:r>
    </w:p>
    <w:p>
      <w:r>
        <w:t>────────────────────────────────────────────────────────────</w:t>
      </w:r>
    </w:p>
    <w:p>
      <w:pPr>
        <w:pStyle w:val="Heading2"/>
      </w:pPr>
      <w:r>
        <w:t>4. Database design</w:t>
      </w:r>
    </w:p>
    <w:p>
      <w:r>
        <w:t xml:space="preserve">The schema (Figure 3) extends the five tables suggested in the specification with two additional tables required by the analytics pipeline: </w:t>
      </w:r>
      <w:r>
        <w:rPr>
          <w:rFonts w:ascii="Consolas" w:hAnsi="Consolas"/>
          <w:color w:val="3366CC"/>
          <w:sz w:val="20"/>
        </w:rPr>
        <w:t>researcher_publications</w:t>
      </w:r>
      <w:r>
        <w:t xml:space="preserve"> (the M:N join between researchers and publications, with a </w:t>
      </w:r>
      <w:r>
        <w:rPr>
          <w:rFonts w:ascii="Consolas" w:hAnsi="Consolas"/>
          <w:color w:val="3366CC"/>
          <w:sz w:val="20"/>
        </w:rPr>
        <w:t>role</w:t>
      </w:r>
      <w:r>
        <w:t xml:space="preserve"> attribute) and </w:t>
      </w:r>
      <w:r>
        <w:rPr>
          <w:rFonts w:ascii="Consolas" w:hAnsi="Consolas"/>
          <w:color w:val="3366CC"/>
          <w:sz w:val="20"/>
        </w:rPr>
        <w:t>collaborations</w:t>
      </w:r>
      <w:r>
        <w:t xml:space="preserve"> (the output of the matcher and negotiator, including similarity, both utilities, the Nash value and an accept / pending / rejected status). Foreign keys are declared on every relationship; indexes are placed on </w:t>
      </w:r>
      <w:r>
        <w:rPr>
          <w:rFonts w:ascii="Consolas" w:hAnsi="Consolas"/>
          <w:color w:val="3366CC"/>
          <w:sz w:val="20"/>
        </w:rPr>
        <w:t>researchers.lab_id</w:t>
      </w:r>
      <w:r>
        <w:t xml:space="preserve"> and </w:t>
      </w:r>
      <w:r>
        <w:rPr>
          <w:rFonts w:ascii="Consolas" w:hAnsi="Consolas"/>
          <w:color w:val="3366CC"/>
          <w:sz w:val="20"/>
        </w:rPr>
        <w:t>researchers.cluster_id</w:t>
      </w:r>
      <w:r>
        <w:t xml:space="preserve"> because those columns drive most of the join-heavy dashboard queries. Cascading deletes guard against orphan rows when a parent entity is removed.</w:t>
      </w:r>
    </w:p>
    <w:p>
      <w:pPr>
        <w:jc w:val="center"/>
      </w:pPr>
      <w:r>
        <w:drawing>
          <wp:inline xmlns:a="http://schemas.openxmlformats.org/drawingml/2006/main" xmlns:pic="http://schemas.openxmlformats.org/drawingml/2006/picture">
            <wp:extent cx="5852160" cy="3577861"/>
            <wp:docPr id="3" name="Picture 3"/>
            <wp:cNvGraphicFramePr>
              <a:graphicFrameLocks noChangeAspect="1"/>
            </wp:cNvGraphicFramePr>
            <a:graphic>
              <a:graphicData uri="http://schemas.openxmlformats.org/drawingml/2006/picture">
                <pic:pic>
                  <pic:nvPicPr>
                    <pic:cNvPr id="0" name="fig3_er_diagram.png"/>
                    <pic:cNvPicPr/>
                  </pic:nvPicPr>
                  <pic:blipFill>
                    <a:blip r:embed="rId11"/>
                    <a:stretch>
                      <a:fillRect/>
                    </a:stretch>
                  </pic:blipFill>
                  <pic:spPr>
                    <a:xfrm>
                      <a:off x="0" y="0"/>
                      <a:ext cx="5852160" cy="3577861"/>
                    </a:xfrm>
                    <a:prstGeom prst="rect"/>
                  </pic:spPr>
                </pic:pic>
              </a:graphicData>
            </a:graphic>
          </wp:inline>
        </w:drawing>
      </w:r>
    </w:p>
    <w:p>
      <w:pPr>
        <w:jc w:val="center"/>
      </w:pPr>
      <w:r>
        <w:rPr>
          <w:i/>
          <w:sz w:val="18"/>
        </w:rPr>
        <w:t>Figure 3 — Relational schema implemented in `observatory/db/models.py`.</w:t>
      </w:r>
    </w:p>
    <w:p>
      <w:r>
        <w:t xml:space="preserve">The schema is created and seeded by </w:t>
      </w:r>
      <w:r>
        <w:rPr>
          <w:rFonts w:ascii="Consolas" w:hAnsi="Consolas"/>
          <w:color w:val="3366CC"/>
          <w:sz w:val="20"/>
        </w:rPr>
        <w:t>observatory/db/seed.py</w:t>
      </w:r>
      <w:r>
        <w:t xml:space="preserve">. A deterministic seed builds 200 researchers across 20 labs (3 universities, 3 countries, 5 departments), 500 publications spanning 2010–2024, an authorship M:N relationship (1–4 authors per publication, with a </w:t>
      </w:r>
      <w:r>
        <w:rPr>
          <w:rFonts w:ascii="Consolas" w:hAnsi="Consolas"/>
          <w:color w:val="3366CC"/>
          <w:sz w:val="20"/>
        </w:rPr>
        <w:t>role</w:t>
      </w:r>
      <w:r>
        <w:t xml:space="preserve"> of </w:t>
      </w:r>
      <w:r>
        <w:rPr>
          <w:i/>
        </w:rPr>
        <w:t>first</w:t>
      </w:r>
      <w:r>
        <w:t xml:space="preserve">, </w:t>
      </w:r>
      <w:r>
        <w:rPr>
          <w:i/>
        </w:rPr>
        <w:t>co-author</w:t>
      </w:r>
      <w:r>
        <w:t xml:space="preserve"> or </w:t>
      </w:r>
      <w:r>
        <w:rPr>
          <w:i/>
        </w:rPr>
        <w:t>senior</w:t>
      </w:r>
      <w:r>
        <w:t xml:space="preserve">), and an </w:t>
      </w:r>
      <w:r>
        <w:rPr>
          <w:rFonts w:ascii="Consolas" w:hAnsi="Consolas"/>
          <w:color w:val="3366CC"/>
          <w:sz w:val="20"/>
        </w:rPr>
        <w:t>expertise</w:t>
      </w:r>
      <w:r>
        <w:t xml:space="preserve"> row per researcher carrying the area, free-text keywords and a TF-IDF score that is updated by </w:t>
      </w:r>
      <w:r>
        <w:rPr>
          <w:rFonts w:ascii="Consolas" w:hAnsi="Consolas"/>
          <w:color w:val="3366CC"/>
          <w:sz w:val="20"/>
        </w:rPr>
        <w:t>AgentExpertiseMatcher</w:t>
      </w:r>
      <w:r>
        <w:t>.</w:t>
      </w:r>
    </w:p>
    <w:p>
      <w:r>
        <w:t>────────────────────────────────────────────────────────────</w:t>
      </w:r>
    </w:p>
    <w:p>
      <w:pPr>
        <w:pStyle w:val="Heading2"/>
      </w:pPr>
      <w:r>
        <w:t>5. Multi-Agent System design</w:t>
      </w:r>
    </w:p>
    <w:p>
      <w:r>
        <w:t xml:space="preserve">The MAS is built on </w:t>
      </w:r>
      <w:r>
        <w:rPr>
          <w:b/>
        </w:rPr>
        <w:t>Mesa</w:t>
      </w:r>
      <w:r>
        <w:t xml:space="preserve"> (</w:t>
      </w:r>
      <w:r>
        <w:rPr>
          <w:rFonts w:ascii="Consolas" w:hAnsi="Consolas"/>
          <w:color w:val="3366CC"/>
          <w:sz w:val="20"/>
        </w:rPr>
        <w:t>mesa.Agent</w:t>
      </w:r>
      <w:r>
        <w:t xml:space="preserve">, </w:t>
      </w:r>
      <w:r>
        <w:rPr>
          <w:rFonts w:ascii="Consolas" w:hAnsi="Consolas"/>
          <w:color w:val="3366CC"/>
          <w:sz w:val="20"/>
        </w:rPr>
        <w:t>mesa.Model</w:t>
      </w:r>
      <w:r>
        <w:t xml:space="preserve">, </w:t>
      </w:r>
      <w:r>
        <w:rPr>
          <w:rFonts w:ascii="Consolas" w:hAnsi="Consolas"/>
          <w:color w:val="3366CC"/>
          <w:sz w:val="20"/>
        </w:rPr>
        <w:t>BaseScheduler</w:t>
      </w:r>
      <w:r>
        <w:t xml:space="preserve">). The </w:t>
      </w:r>
      <w:r>
        <w:rPr>
          <w:rFonts w:ascii="Consolas" w:hAnsi="Consolas"/>
          <w:color w:val="3366CC"/>
          <w:sz w:val="20"/>
        </w:rPr>
        <w:t>AgentCoordinator</w:t>
      </w:r>
      <w:r>
        <w:t xml:space="preserve"> (</w:t>
      </w:r>
      <w:r>
        <w:rPr>
          <w:rFonts w:ascii="Consolas" w:hAnsi="Consolas"/>
          <w:color w:val="3366CC"/>
          <w:sz w:val="20"/>
        </w:rPr>
        <w:t>observatory/agents/coordinator.py</w:t>
      </w:r>
      <w:r>
        <w:t xml:space="preserve">) is a </w:t>
      </w:r>
      <w:r>
        <w:rPr>
          <w:rFonts w:ascii="Consolas" w:hAnsi="Consolas"/>
          <w:color w:val="3366CC"/>
          <w:sz w:val="20"/>
        </w:rPr>
        <w:t>mesa.Model</w:t>
      </w:r>
      <w:r>
        <w:t xml:space="preserve"> that owns:</w:t>
      </w:r>
    </w:p>
    <w:p>
      <w:pPr>
        <w:pStyle w:val="ListBullet"/>
      </w:pPr>
      <w:r>
        <w:t xml:space="preserve">the </w:t>
      </w:r>
      <w:r>
        <w:rPr>
          <w:rFonts w:ascii="Consolas" w:hAnsi="Consolas"/>
          <w:color w:val="3366CC"/>
          <w:sz w:val="20"/>
        </w:rPr>
        <w:t>BaseScheduler</w:t>
      </w:r>
      <w:r>
        <w:t xml:space="preserve"> (insertion-order activation — guarantees that</w:t>
      </w:r>
    </w:p>
    <w:p>
      <w:r>
        <w:t>observers run before analysers, which run before recommenders);</w:t>
      </w:r>
    </w:p>
    <w:p>
      <w:pPr>
        <w:pStyle w:val="ListBullet"/>
      </w:pPr>
      <w:r>
        <w:t xml:space="preserve">the </w:t>
      </w:r>
      <w:r>
        <w:rPr>
          <w:rFonts w:ascii="Consolas" w:hAnsi="Consolas"/>
          <w:color w:val="3366CC"/>
          <w:sz w:val="20"/>
        </w:rPr>
        <w:t>ordered_agents</w:t>
      </w:r>
      <w:r>
        <w:t xml:space="preserve"> list (used by the partial-rerun API endpoints);</w:t>
      </w:r>
    </w:p>
    <w:p>
      <w:pPr>
        <w:pStyle w:val="ListBullet"/>
      </w:pPr>
      <w:r>
        <w:t xml:space="preserve">the in-memory </w:t>
      </w:r>
      <w:r>
        <w:rPr>
          <w:rFonts w:ascii="Consolas" w:hAnsi="Consolas"/>
          <w:color w:val="3366CC"/>
          <w:sz w:val="20"/>
        </w:rPr>
        <w:t>message_bus: dict[str, dict]</w:t>
      </w:r>
      <w:r>
        <w:t xml:space="preserve"> shared by every agent;</w:t>
      </w:r>
    </w:p>
    <w:p>
      <w:pPr>
        <w:pStyle w:val="ListBullet"/>
      </w:pPr>
      <w:r>
        <w:t>a dedicated file logger that writes one structured line per agent step</w:t>
      </w:r>
    </w:p>
    <w:p>
      <w:r>
        <w:t xml:space="preserve">to </w:t>
      </w:r>
      <w:r>
        <w:rPr>
          <w:rFonts w:ascii="Consolas" w:hAnsi="Consolas"/>
          <w:color w:val="3366CC"/>
          <w:sz w:val="20"/>
        </w:rPr>
        <w:t>logs/mas.log</w:t>
      </w:r>
      <w:r>
        <w:t>.</w:t>
      </w:r>
    </w:p>
    <w:p>
      <w:r>
        <w:t xml:space="preserve">The class hierarchy is shown in Figure 4. Every domain agent inherits from </w:t>
      </w:r>
      <w:r>
        <w:rPr>
          <w:rFonts w:ascii="Consolas" w:hAnsi="Consolas"/>
          <w:color w:val="3366CC"/>
          <w:sz w:val="20"/>
        </w:rPr>
        <w:t>mesa.Agent</w:t>
      </w:r>
      <w:r>
        <w:t xml:space="preserve">, declares a stable </w:t>
      </w:r>
      <w:r>
        <w:rPr>
          <w:rFonts w:ascii="Consolas" w:hAnsi="Consolas"/>
          <w:color w:val="3366CC"/>
          <w:sz w:val="20"/>
        </w:rPr>
        <w:t>name</w:t>
      </w:r>
      <w:r>
        <w:t xml:space="preserve"> attribute (used as bus key and as parser anchor for the dashboard log viewer), and exposes a single </w:t>
      </w:r>
      <w:r>
        <w:rPr>
          <w:rFonts w:ascii="Consolas" w:hAnsi="Consolas"/>
          <w:color w:val="3366CC"/>
          <w:sz w:val="20"/>
        </w:rPr>
        <w:t>step()</w:t>
      </w:r>
      <w:r>
        <w:t xml:space="preserve"> method that the scheduler calls in order.</w:t>
      </w:r>
    </w:p>
    <w:p>
      <w:pPr>
        <w:jc w:val="center"/>
      </w:pPr>
      <w:r>
        <w:drawing>
          <wp:inline xmlns:a="http://schemas.openxmlformats.org/drawingml/2006/main" xmlns:pic="http://schemas.openxmlformats.org/drawingml/2006/picture">
            <wp:extent cx="5852160" cy="3350935"/>
            <wp:docPr id="4" name="Picture 4"/>
            <wp:cNvGraphicFramePr>
              <a:graphicFrameLocks noChangeAspect="1"/>
            </wp:cNvGraphicFramePr>
            <a:graphic>
              <a:graphicData uri="http://schemas.openxmlformats.org/drawingml/2006/picture">
                <pic:pic>
                  <pic:nvPicPr>
                    <pic:cNvPr id="0" name="fig4_class_diagram.png"/>
                    <pic:cNvPicPr/>
                  </pic:nvPicPr>
                  <pic:blipFill>
                    <a:blip r:embed="rId12"/>
                    <a:stretch>
                      <a:fillRect/>
                    </a:stretch>
                  </pic:blipFill>
                  <pic:spPr>
                    <a:xfrm>
                      <a:off x="0" y="0"/>
                      <a:ext cx="5852160" cy="3350935"/>
                    </a:xfrm>
                    <a:prstGeom prst="rect"/>
                  </pic:spPr>
                </pic:pic>
              </a:graphicData>
            </a:graphic>
          </wp:inline>
        </w:drawing>
      </w:r>
    </w:p>
    <w:p>
      <w:pPr>
        <w:jc w:val="center"/>
      </w:pPr>
      <w:r>
        <w:rPr>
          <w:i/>
          <w:sz w:val="18"/>
        </w:rPr>
        <w:t>Figure 4 — Class diagram of the agent hierarchy.</w:t>
      </w:r>
    </w:p>
    <w:p>
      <w:pPr>
        <w:pStyle w:val="Heading3"/>
      </w:pPr>
      <w:r>
        <w:t>5.1 Observer agents</w:t>
      </w:r>
    </w:p>
    <w:p>
      <w:r>
        <w:rPr>
          <w:rFonts w:ascii="Consolas" w:hAnsi="Consolas"/>
          <w:color w:val="3366CC"/>
          <w:sz w:val="20"/>
        </w:rPr>
        <w:t>AgentResearcherScraper</w:t>
      </w:r>
      <w:r>
        <w:t xml:space="preserve">, </w:t>
      </w:r>
      <w:r>
        <w:rPr>
          <w:rFonts w:ascii="Consolas" w:hAnsi="Consolas"/>
          <w:color w:val="3366CC"/>
          <w:sz w:val="20"/>
        </w:rPr>
        <w:t>AgentPublicationScraper</w:t>
      </w:r>
      <w:r>
        <w:t xml:space="preserve"> and </w:t>
      </w:r>
      <w:r>
        <w:rPr>
          <w:rFonts w:ascii="Consolas" w:hAnsi="Consolas"/>
          <w:color w:val="3366CC"/>
          <w:sz w:val="20"/>
        </w:rPr>
        <w:t>AgentLabScraper</w:t>
      </w:r>
      <w:r>
        <w:t xml:space="preserve"> are the three </w:t>
      </w:r>
      <w:r>
        <w:rPr>
          <w:i/>
        </w:rPr>
        <w:t>observer</w:t>
      </w:r>
      <w:r>
        <w:t xml:space="preserve"> agents called for in the specification. Each one queries SQLite for the corresponding entity (researchers, publications or labs), publishes a </w:t>
      </w:r>
      <w:r>
        <w:rPr>
          <w:rFonts w:ascii="Consolas" w:hAnsi="Consolas"/>
          <w:color w:val="3366CC"/>
          <w:sz w:val="20"/>
        </w:rPr>
        <w:t>count</w:t>
      </w:r>
      <w:r>
        <w:t xml:space="preserve"> to the message bus, and emits a log line. As discussed in §11.2, the literal expectation of the specification is to scrape the public web; in this submission the observers are implemented against the local seed database to keep the project reproducible offline. The interface (return shape, bus payload, log line) is the same as it would be for a real scraper, so swapping the data source is a localised change.</w:t>
      </w:r>
    </w:p>
    <w:p>
      <w:pPr>
        <w:pStyle w:val="Heading3"/>
      </w:pPr>
      <w:r>
        <w:t>5.2 `AgentCluster`</w:t>
      </w:r>
    </w:p>
    <w:p>
      <w:r>
        <w:t xml:space="preserve">The clustering agent (§6.1) builds an 18-dimensional feature matrix per researcher (h-index, publication count, citation count, ten one-hot expertise areas, and several derived ratios) and trains both a KMeans model with a sweep over k∈[2,12] and a DBSCAN model. The winning model is the one with the higher silhouette coefficient. The selected assignments are persisted on </w:t>
      </w:r>
      <w:r>
        <w:rPr>
          <w:rFonts w:ascii="Consolas" w:hAnsi="Consolas"/>
          <w:color w:val="3366CC"/>
          <w:sz w:val="20"/>
        </w:rPr>
        <w:t>researchers.cluster_id</w:t>
      </w:r>
      <w:r>
        <w:t xml:space="preserve"> and a row is inserted into the </w:t>
      </w:r>
      <w:r>
        <w:rPr>
          <w:rFonts w:ascii="Consolas" w:hAnsi="Consolas"/>
          <w:color w:val="3366CC"/>
          <w:sz w:val="20"/>
        </w:rPr>
        <w:t>clusters</w:t>
      </w:r>
      <w:r>
        <w:t xml:space="preserve"> table for each cluster, with the algorithm name and silhouette score for downstream display.</w:t>
      </w:r>
    </w:p>
    <w:p>
      <w:pPr>
        <w:pStyle w:val="Heading3"/>
      </w:pPr>
      <w:r>
        <w:t>5.3 `AgentExpertiseMatcher`</w:t>
      </w:r>
    </w:p>
    <w:p>
      <w:r>
        <w:t xml:space="preserve">The matcher (§6.2) builds a TF-IDF representation of each researcher's expertise (vocabulary capped at 100 features), computes a 200×200 cosine similarity matrix, derives an overall expertise score per researcher, and selects the top five matches per researcher. Pairs are deduplicated to a canonical (a &lt; b) form and inserted into </w:t>
      </w:r>
      <w:r>
        <w:rPr>
          <w:rFonts w:ascii="Consolas" w:hAnsi="Consolas"/>
          <w:color w:val="3366CC"/>
          <w:sz w:val="20"/>
        </w:rPr>
        <w:t>collaborations</w:t>
      </w:r>
      <w:r>
        <w:t xml:space="preserve"> with status </w:t>
      </w:r>
      <w:r>
        <w:rPr>
          <w:rFonts w:ascii="Consolas" w:hAnsi="Consolas"/>
          <w:color w:val="3366CC"/>
          <w:sz w:val="20"/>
        </w:rPr>
        <w:t>pending</w:t>
      </w:r>
      <w:r>
        <w:t>. The matcher publishes the top-K matches dictionary on the bus so that downstream agents can re-rank without recomputing TF-IDF.</w:t>
      </w:r>
    </w:p>
    <w:p>
      <w:pPr>
        <w:pStyle w:val="Heading3"/>
      </w:pPr>
      <w:r>
        <w:t>5.4 `AgentCollabAdvisor`</w:t>
      </w:r>
    </w:p>
    <w:p>
      <w:r>
        <w:t>The advisor (</w:t>
      </w:r>
      <w:r>
        <w:rPr>
          <w:rFonts w:ascii="Consolas" w:hAnsi="Consolas"/>
          <w:color w:val="3366CC"/>
          <w:sz w:val="20"/>
        </w:rPr>
        <w:t>observatory/recommendation/agent_collab_advisor.py</w:t>
      </w:r>
      <w:r>
        <w:t xml:space="preserve">) reads the matcher's </w:t>
      </w:r>
      <w:r>
        <w:rPr>
          <w:rFonts w:ascii="Consolas" w:hAnsi="Consolas"/>
          <w:color w:val="3366CC"/>
          <w:sz w:val="20"/>
        </w:rPr>
        <w:t>top_matches</w:t>
      </w:r>
      <w:r>
        <w:t xml:space="preserve"> from the message bus, keeps the three best candidates per researcher, deduplicates pairs canonically, ranks them by similarity and surfaces the top twenty as the </w:t>
      </w:r>
      <w:r>
        <w:rPr>
          <w:i/>
        </w:rPr>
        <w:t>recommended</w:t>
      </w:r>
      <w:r>
        <w:t xml:space="preserve"> set. It publishes the ranked list on the bus and writes a structured log line so the dashboard's eighth agent card (which previously remained idle) now animates on every cycle. The agent is exposed as a partial rerun through </w:t>
      </w:r>
      <w:r>
        <w:rPr>
          <w:rFonts w:ascii="Consolas" w:hAnsi="Consolas"/>
          <w:color w:val="3366CC"/>
          <w:sz w:val="20"/>
        </w:rPr>
        <w:t>POST /api/advisor</w:t>
      </w:r>
      <w:r>
        <w:t>. Splitting the advisor out of the matcher is the change that brought the agent count from six to seven and aligns the implementation with §3 of the specification.</w:t>
      </w:r>
    </w:p>
    <w:p>
      <w:pPr>
        <w:pStyle w:val="Heading3"/>
      </w:pPr>
      <w:r>
        <w:t>5.5 `AgentNegotiator`</w:t>
      </w:r>
    </w:p>
    <w:p>
      <w:r>
        <w:t>The negotiator (§7) loads every pending collaboration, computes normalised utilities for each researcher, builds the four payoff cells (Cooperate-Cooperate, Cooperate-Defect, Defect-Cooperate, Defect-Defect), derives the Nash value (the minimum of the two utilities at the (C,C) cell, scaled by the cooperation surplus), and decides accept / reject based on an explicit threshold (</w:t>
      </w:r>
      <w:r>
        <w:rPr>
          <w:rFonts w:ascii="Consolas" w:hAnsi="Consolas"/>
          <w:color w:val="3366CC"/>
          <w:sz w:val="20"/>
        </w:rPr>
        <w:t>ACCEPT_THRESHOLD = 0.15</w:t>
      </w:r>
      <w:r>
        <w:t xml:space="preserve">) and a Pareto floor. The result is persisted on </w:t>
      </w:r>
      <w:r>
        <w:rPr>
          <w:rFonts w:ascii="Consolas" w:hAnsi="Consolas"/>
          <w:color w:val="3366CC"/>
          <w:sz w:val="20"/>
        </w:rPr>
        <w:t>collaborations.status</w:t>
      </w:r>
      <w:r>
        <w:t xml:space="preserve"> along with </w:t>
      </w:r>
      <w:r>
        <w:rPr>
          <w:rFonts w:ascii="Consolas" w:hAnsi="Consolas"/>
          <w:color w:val="3366CC"/>
          <w:sz w:val="20"/>
        </w:rPr>
        <w:t>utility_a</w:t>
      </w:r>
      <w:r>
        <w:t xml:space="preserve">, </w:t>
      </w:r>
      <w:r>
        <w:rPr>
          <w:rFonts w:ascii="Consolas" w:hAnsi="Consolas"/>
          <w:color w:val="3366CC"/>
          <w:sz w:val="20"/>
        </w:rPr>
        <w:t>utility_b</w:t>
      </w:r>
      <w:r>
        <w:t xml:space="preserve"> and </w:t>
      </w:r>
      <w:r>
        <w:rPr>
          <w:rFonts w:ascii="Consolas" w:hAnsi="Consolas"/>
          <w:color w:val="3366CC"/>
          <w:sz w:val="20"/>
        </w:rPr>
        <w:t>nash_value</w:t>
      </w:r>
      <w:r>
        <w:t xml:space="preserve"> for transparency.</w:t>
      </w:r>
    </w:p>
    <w:p>
      <w:pPr>
        <w:pStyle w:val="Heading3"/>
      </w:pPr>
      <w:r>
        <w:t>5.6 Dashboard interface layer</w:t>
      </w:r>
    </w:p>
    <w:p>
      <w:r>
        <w:t xml:space="preserve">The specification names a ninth agent, </w:t>
      </w:r>
      <w:r>
        <w:rPr>
          <w:rFonts w:ascii="Consolas" w:hAnsi="Consolas"/>
          <w:color w:val="3366CC"/>
          <w:sz w:val="20"/>
        </w:rPr>
        <w:t>AgentDashboardInterface</w:t>
      </w:r>
      <w:r>
        <w:t xml:space="preserve">, "to provide a visualisation and interaction layer". In the present submission this responsibility is fulfilled by the Flask + React dashboard rather than by a Mesa-step-driven agent. Functionally the role is satisfied; strictly speaking, wrapping the dashboard refresh as a </w:t>
      </w:r>
      <w:r>
        <w:rPr>
          <w:rFonts w:ascii="Consolas" w:hAnsi="Consolas"/>
          <w:color w:val="3366CC"/>
          <w:sz w:val="20"/>
        </w:rPr>
        <w:t>step()</w:t>
      </w:r>
      <w:r>
        <w:t xml:space="preserve"> would align the implementation more closely with the spec's vocabulary (see §12).</w:t>
      </w:r>
    </w:p>
    <w:p>
      <w:r>
        <w:t>────────────────────────────────────────────────────────────</w:t>
      </w:r>
    </w:p>
    <w:p>
      <w:pPr>
        <w:pStyle w:val="Heading2"/>
      </w:pPr>
      <w:r>
        <w:t>6. AI components</w:t>
      </w:r>
    </w:p>
    <w:p>
      <w:pPr>
        <w:pStyle w:val="Heading3"/>
      </w:pPr>
      <w:r>
        <w:t>6.1 Clustering — `AgentCluster`</w:t>
      </w:r>
    </w:p>
    <w:p>
      <w:r>
        <w:t xml:space="preserve">For each researcher </w:t>
      </w:r>
      <w:r>
        <w:rPr>
          <w:i/>
        </w:rPr>
        <w:t>i</w:t>
      </w:r>
      <w:r>
        <w:t xml:space="preserve"> we build a feature vector</w:t>
      </w:r>
    </w:p>
    <w:p>
      <w:pPr>
        <w:ind w:left="360"/>
      </w:pPr>
      <w:r>
        <w:rPr>
          <w:b/>
        </w:rPr>
        <w:t>x_i</w:t>
      </w:r>
      <w:r>
        <w:t xml:space="preserve"> = [h_index, publication_count, citation_count,</w:t>
      </w:r>
    </w:p>
    <w:p>
      <w:pPr>
        <w:ind w:left="360"/>
      </w:pPr>
      <w:r>
        <w:t>ratio(citation/publication), one-hot(top 10 expertise areas),</w:t>
      </w:r>
    </w:p>
    <w:p>
      <w:pPr>
        <w:ind w:left="360"/>
      </w:pPr>
      <w:r>
        <w:t>log1p(citation), …]   ∈ ℝ¹⁸</w:t>
      </w:r>
    </w:p>
    <w:p>
      <w:r>
        <w:t xml:space="preserve">Features are standardised (z-score) before training. KMeans is fitted for each </w:t>
      </w:r>
      <w:r>
        <w:rPr>
          <w:i/>
        </w:rPr>
        <w:t>k</w:t>
      </w:r>
      <w:r>
        <w:t xml:space="preserve"> ∈ {2, …, 12}; the silhouette coefficient over Euclidean distance is recorded for each </w:t>
      </w:r>
      <w:r>
        <w:rPr>
          <w:i/>
        </w:rPr>
        <w:t>k</w:t>
      </w:r>
      <w:r>
        <w:t xml:space="preserve">; the </w:t>
      </w:r>
      <w:r>
        <w:rPr>
          <w:i/>
        </w:rPr>
        <w:t>k</w:t>
      </w:r>
      <w:r>
        <w:t xml:space="preserve"> with the highest silhouette wins. DBSCAN is fitted in parallel with </w:t>
      </w:r>
      <w:r>
        <w:rPr>
          <w:rFonts w:ascii="Consolas" w:hAnsi="Consolas"/>
          <w:color w:val="3366CC"/>
          <w:sz w:val="20"/>
        </w:rPr>
        <w:t>eps</w:t>
      </w:r>
      <w:r>
        <w:t xml:space="preserve"> chosen from a heuristic on the 4-nearest-neighbour distance distribution. The two models are then compared on silhouette and the winner's labels are persisted, together with the algorithm name and the score, in the </w:t>
      </w:r>
      <w:r>
        <w:rPr>
          <w:rFonts w:ascii="Consolas" w:hAnsi="Consolas"/>
          <w:color w:val="3366CC"/>
          <w:sz w:val="20"/>
        </w:rPr>
        <w:t>clusters</w:t>
      </w:r>
      <w:r>
        <w:t xml:space="preserve"> table.</w:t>
      </w:r>
    </w:p>
    <w:p>
      <w:r>
        <w:t xml:space="preserve">The dashboard's Clusters page displays the resulting silhouette badge (green ≥ 0.5, amber 0.3–0.5, red &lt; 0.3), the top three expertise areas per cluster (computed from the </w:t>
      </w:r>
      <w:r>
        <w:rPr>
          <w:rFonts w:ascii="Consolas" w:hAnsi="Consolas"/>
          <w:color w:val="3366CC"/>
          <w:sz w:val="20"/>
        </w:rPr>
        <w:t>expertise</w:t>
      </w:r>
      <w:r>
        <w:t xml:space="preserve"> table, not synthesised), a 2D scatter projection coloured by cluster, and a comparison table.</w:t>
      </w:r>
    </w:p>
    <w:p>
      <w:pPr>
        <w:pStyle w:val="Heading3"/>
      </w:pPr>
      <w:r>
        <w:t>6.2 Expertise matching — `AgentExpertiseMatcher`</w:t>
      </w:r>
    </w:p>
    <w:p>
      <w:r>
        <w:t xml:space="preserve">The matcher uses scikit-learn's </w:t>
      </w:r>
      <w:r>
        <w:rPr>
          <w:rFonts w:ascii="Consolas" w:hAnsi="Consolas"/>
          <w:color w:val="3366CC"/>
          <w:sz w:val="20"/>
        </w:rPr>
        <w:t>TfidfVectorizer</w:t>
      </w:r>
      <w:r>
        <w:t xml:space="preserve"> configured with English stop-word removal, lowercase normalisation, a vocabulary cap of 100, and unigrams + bigrams. The cosine similarity matrix </w:t>
      </w:r>
      <w:r>
        <w:rPr>
          <w:rFonts w:ascii="Consolas" w:hAnsi="Consolas"/>
          <w:color w:val="3366CC"/>
          <w:sz w:val="20"/>
        </w:rPr>
        <w:t>S = X · Xᵀ</w:t>
      </w:r>
      <w:r>
        <w:t xml:space="preserve"> (with the diagonal zeroed to remove self-similarity) is the input to two downstream computations:</w:t>
      </w:r>
    </w:p>
    <w:p>
      <w:pPr>
        <w:pStyle w:val="ListBullet"/>
      </w:pPr>
      <w:r>
        <w:t xml:space="preserve">A </w:t>
      </w:r>
      <w:r>
        <w:rPr>
          <w:b/>
        </w:rPr>
        <w:t>per-researcher overall expertise score</w:t>
      </w:r>
      <w:r>
        <w:t xml:space="preserve"> equal to the row mean of</w:t>
      </w:r>
    </w:p>
    <w:p>
      <w:r>
        <w:rPr>
          <w:i/>
        </w:rPr>
        <w:t>S</w:t>
      </w:r>
      <w:r>
        <w:t xml:space="preserve"> (excluding self), min-max normalised across the population. This feeds the </w:t>
      </w:r>
      <w:r>
        <w:rPr>
          <w:rFonts w:ascii="Consolas" w:hAnsi="Consolas"/>
          <w:color w:val="3366CC"/>
          <w:sz w:val="20"/>
        </w:rPr>
        <w:t>expertise.tfidf_score</w:t>
      </w:r>
      <w:r>
        <w:t xml:space="preserve"> column and the dashboard's profile panel.</w:t>
      </w:r>
    </w:p>
    <w:p>
      <w:pPr>
        <w:pStyle w:val="ListBullet"/>
      </w:pPr>
      <w:r>
        <w:t xml:space="preserve">A </w:t>
      </w:r>
      <w:r>
        <w:rPr>
          <w:b/>
        </w:rPr>
        <w:t>top-K candidate set</w:t>
      </w:r>
      <w:r>
        <w:t xml:space="preserve"> per researcher (K = 5). Pairs are emitted to</w:t>
      </w:r>
    </w:p>
    <w:p>
      <w:r>
        <w:t>the matcher's bus payload (</w:t>
      </w:r>
      <w:r>
        <w:rPr>
          <w:rFonts w:ascii="Consolas" w:hAnsi="Consolas"/>
          <w:color w:val="3366CC"/>
          <w:sz w:val="20"/>
        </w:rPr>
        <w:t>top_matches</w:t>
      </w:r>
      <w:r>
        <w:t xml:space="preserve">) and written to </w:t>
      </w:r>
      <w:r>
        <w:rPr>
          <w:rFonts w:ascii="Consolas" w:hAnsi="Consolas"/>
          <w:color w:val="3366CC"/>
          <w:sz w:val="20"/>
        </w:rPr>
        <w:t>collaborations</w:t>
      </w:r>
      <w:r>
        <w:t xml:space="preserve"> with </w:t>
      </w:r>
      <w:r>
        <w:rPr>
          <w:rFonts w:ascii="Consolas" w:hAnsi="Consolas"/>
          <w:color w:val="3366CC"/>
          <w:sz w:val="20"/>
        </w:rPr>
        <w:t>status = "pending"</w:t>
      </w:r>
      <w:r>
        <w:t>.</w:t>
      </w:r>
    </w:p>
    <w:p>
      <w:pPr>
        <w:pStyle w:val="Heading3"/>
      </w:pPr>
      <w:r>
        <w:t>6.3 LLM extension (optional — not implemented)</w:t>
      </w:r>
    </w:p>
    <w:p>
      <w:r>
        <w:t xml:space="preserve">The specification lists LLM-based semantic analysis as an optional extension. We did not implement it for this submission. A natural extension would replace the TF-IDF representation in §6.2 with sentence embeddings (e.g. HuggingFace </w:t>
      </w:r>
      <w:r>
        <w:rPr>
          <w:rFonts w:ascii="Consolas" w:hAnsi="Consolas"/>
          <w:color w:val="3366CC"/>
          <w:sz w:val="20"/>
        </w:rPr>
        <w:t>sentence-transformers</w:t>
      </w:r>
      <w:r>
        <w:t xml:space="preserve"> against the publication abstracts) and re-rank the matcher's pairs accordingly.</w:t>
      </w:r>
    </w:p>
    <w:p>
      <w:r>
        <w:t>────────────────────────────────────────────────────────────</w:t>
      </w:r>
    </w:p>
    <w:p>
      <w:pPr>
        <w:pStyle w:val="Heading2"/>
      </w:pPr>
      <w:r>
        <w:t>7. Game-theoretic negotiation</w:t>
      </w:r>
    </w:p>
    <w:p>
      <w:r>
        <w:rPr>
          <w:rFonts w:ascii="Consolas" w:hAnsi="Consolas"/>
          <w:color w:val="3366CC"/>
          <w:sz w:val="20"/>
        </w:rPr>
        <w:t>AgentNegotiator</w:t>
      </w:r>
      <w:r>
        <w:t xml:space="preserve"> formalises the </w:t>
      </w:r>
      <w:r>
        <w:rPr>
          <w:i/>
        </w:rPr>
        <w:t>accept-or-reject</w:t>
      </w:r>
      <w:r>
        <w:t xml:space="preserve"> decision for each pending collaboration as a 2×2 bilateral game. Each researcher chooses between </w:t>
      </w:r>
      <w:r>
        <w:rPr>
          <w:i/>
        </w:rPr>
        <w:t>Cooperate</w:t>
      </w:r>
      <w:r>
        <w:t xml:space="preserve"> (C) and </w:t>
      </w:r>
      <w:r>
        <w:rPr>
          <w:i/>
        </w:rPr>
        <w:t>Defect</w:t>
      </w:r>
      <w:r>
        <w:t xml:space="preserve"> (D), giving four outcomes: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 C</w:t>
            </w:r>
          </w:p>
        </w:tc>
        <w:tc>
          <w:tcPr>
            <w:tcW w:type="dxa" w:w="2880"/>
          </w:tcPr>
          <w:p>
            <w:r>
              <w:rPr>
                <w:b/>
              </w:rPr>
            </w:r>
            <w:r>
              <w:rPr>
                <w:b/>
              </w:rPr>
              <w:t>B: D</w:t>
            </w:r>
          </w:p>
        </w:tc>
      </w:tr>
      <w:tr>
        <w:tc>
          <w:tcPr>
            <w:tcW w:type="dxa" w:w="2880"/>
          </w:tcPr>
          <w:p>
            <w:r/>
            <w:r>
              <w:rPr>
                <w:b/>
              </w:rPr>
              <w:t>A: C</w:t>
            </w:r>
          </w:p>
        </w:tc>
        <w:tc>
          <w:tcPr>
            <w:tcW w:type="dxa" w:w="2880"/>
          </w:tcPr>
          <w:p>
            <w:r/>
            <w:r>
              <w:t>(u_a, u_b)</w:t>
            </w:r>
          </w:p>
        </w:tc>
        <w:tc>
          <w:tcPr>
            <w:tcW w:type="dxa" w:w="2880"/>
          </w:tcPr>
          <w:p>
            <w:r/>
            <w:r>
              <w:t>(0.3·u_a, 1.1·u_b)</w:t>
            </w:r>
          </w:p>
        </w:tc>
      </w:tr>
      <w:tr>
        <w:tc>
          <w:tcPr>
            <w:tcW w:type="dxa" w:w="2880"/>
          </w:tcPr>
          <w:p>
            <w:r/>
            <w:r>
              <w:rPr>
                <w:b/>
              </w:rPr>
              <w:t>A: D</w:t>
            </w:r>
          </w:p>
        </w:tc>
        <w:tc>
          <w:tcPr>
            <w:tcW w:type="dxa" w:w="2880"/>
          </w:tcPr>
          <w:p>
            <w:r/>
            <w:r>
              <w:t>(1.1·u_a, 0.3·u_b)</w:t>
            </w:r>
          </w:p>
        </w:tc>
        <w:tc>
          <w:tcPr>
            <w:tcW w:type="dxa" w:w="2880"/>
          </w:tcPr>
          <w:p>
            <w:r/>
            <w:r>
              <w:t>(0.4·u_a, 0.4·u_b)</w:t>
            </w:r>
          </w:p>
        </w:tc>
      </w:tr>
    </w:tbl>
    <w:p>
      <w:r>
        <w:t xml:space="preserve">The base utilities </w:t>
      </w:r>
      <w:r>
        <w:rPr>
          <w:rFonts w:ascii="Consolas" w:hAnsi="Consolas"/>
          <w:color w:val="3366CC"/>
          <w:sz w:val="20"/>
        </w:rPr>
        <w:t>u_a</w:t>
      </w:r>
      <w:r>
        <w:t xml:space="preserve"> and </w:t>
      </w:r>
      <w:r>
        <w:rPr>
          <w:rFonts w:ascii="Consolas" w:hAnsi="Consolas"/>
          <w:color w:val="3366CC"/>
          <w:sz w:val="20"/>
        </w:rPr>
        <w:t>u_b</w:t>
      </w:r>
      <w:r>
        <w:t xml:space="preserve"> are derived from each researcher's normalised h-index, citation count and the number of shared expertise areas, with cluster-membership acting as a small bonus. The Nash value is the minimum payoff at the (C, C) cell adjusted by a cooperation surplus. A pair is accepted when its Nash value exceeds </w:t>
      </w:r>
      <w:r>
        <w:rPr>
          <w:rFonts w:ascii="Consolas" w:hAnsi="Consolas"/>
          <w:color w:val="3366CC"/>
          <w:sz w:val="20"/>
        </w:rPr>
        <w:t>ACCEPT_THRESHOLD = 0.15</w:t>
      </w:r>
      <w:r>
        <w:t xml:space="preserve"> and both utilities exceed the Pareto floor; otherwise it is rejected. The full payoff matrix and the highlighted Nash cell are rendered live on the dashboard's Collaborations page so that the user can audit any individual decision.</w:t>
      </w:r>
    </w:p>
    <w:p>
      <w:r>
        <w:t xml:space="preserve">This formulation directly addresses the </w:t>
      </w:r>
      <w:r>
        <w:rPr>
          <w:i/>
        </w:rPr>
        <w:t>innovation in negotiation / game-theory simulations</w:t>
      </w:r>
      <w:r>
        <w:t xml:space="preserve"> evaluation criterion of </w:t>
      </w:r>
      <w:r>
        <w:rPr>
          <w:rFonts w:ascii="Consolas" w:hAnsi="Consolas"/>
          <w:color w:val="3366CC"/>
          <w:sz w:val="20"/>
        </w:rPr>
        <w:t>Project_HIDE3.pdf</w:t>
      </w:r>
      <w:r>
        <w:t xml:space="preserve"> §8.</w:t>
      </w:r>
    </w:p>
    <w:p>
      <w:r>
        <w:t>────────────────────────────────────────────────────────────</w:t>
      </w:r>
    </w:p>
    <w:p>
      <w:pPr>
        <w:pStyle w:val="Heading2"/>
      </w:pPr>
      <w:r>
        <w:t>8. Web dashboard</w:t>
      </w:r>
    </w:p>
    <w:p>
      <w:r>
        <w:t xml:space="preserve">The dashboard is a single-page React application served by Flask. The spec lists Flask, Django, Plotly Dash and Streamlit as acceptable web frameworks; we chose </w:t>
      </w:r>
      <w:r>
        <w:rPr>
          <w:b/>
        </w:rPr>
        <w:t>Flask + React</w:t>
      </w:r>
      <w:r>
        <w:t xml:space="preserve"> to keep the user interface fully in our control while reusing the same Python ecosystem as the agents. The visual identity follows the dark, mission-control aesthetic that the project is associated with (background </w:t>
      </w:r>
      <w:r>
        <w:rPr>
          <w:rFonts w:ascii="Consolas" w:hAnsi="Consolas"/>
          <w:color w:val="3366CC"/>
          <w:sz w:val="20"/>
        </w:rPr>
        <w:t>#0D1117</w:t>
      </w:r>
      <w:r>
        <w:t xml:space="preserve">, surface </w:t>
      </w:r>
      <w:r>
        <w:rPr>
          <w:rFonts w:ascii="Consolas" w:hAnsi="Consolas"/>
          <w:color w:val="3366CC"/>
          <w:sz w:val="20"/>
        </w:rPr>
        <w:t>#161B22</w:t>
      </w:r>
      <w:r>
        <w:t xml:space="preserve">, accent </w:t>
      </w:r>
      <w:r>
        <w:rPr>
          <w:rFonts w:ascii="Consolas" w:hAnsi="Consolas"/>
          <w:color w:val="3366CC"/>
          <w:sz w:val="20"/>
        </w:rPr>
        <w:t>#2F81F7</w:t>
      </w:r>
      <w:r>
        <w:t>, IBM Plex Mono / Sans typography).</w:t>
      </w:r>
    </w:p>
    <w:p>
      <w:r>
        <w:t>The dashboard has five pages:</w:t>
      </w:r>
    </w:p>
    <w:p>
      <w:pPr>
        <w:pStyle w:val="ListNumber"/>
      </w:pPr>
      <w:r>
        <w:rPr>
          <w:b/>
        </w:rPr>
        <w:t>Overview</w:t>
      </w:r>
      <w:r>
        <w:t xml:space="preserve"> — five KPI cards (researchers, labs, publications, average</w:t>
      </w:r>
    </w:p>
    <w:p>
      <w:r>
        <w:t xml:space="preserve">h-index, active clusters), a publications-per-year bar chart, a top-10-labs horizontal bar list, and the twenty most-recent publications. </w:t>
      </w:r>
      <w:r>
        <w:rPr>
          <w:i/>
        </w:rPr>
        <w:t>Refresh</w:t>
      </w:r>
      <w:r>
        <w:t xml:space="preserve"> and </w:t>
      </w:r>
      <w:r>
        <w:rPr>
          <w:i/>
        </w:rPr>
        <w:t>Export</w:t>
      </w:r>
      <w:r>
        <w:t xml:space="preserve"> buttons are wired.</w:t>
      </w:r>
    </w:p>
    <w:p>
      <w:pPr>
        <w:pStyle w:val="ListNumber"/>
      </w:pPr>
      <w:r>
        <w:rPr>
          <w:b/>
        </w:rPr>
        <w:t>Researchers</w:t>
      </w:r>
      <w:r>
        <w:t xml:space="preserve"> — lab / cluster / expertise / minimum-h filters, a</w:t>
      </w:r>
    </w:p>
    <w:p>
      <w:r>
        <w:t>live name-search input, a paginated table (twenty rows per page with real previous / next / numbered buttons), an h-index × citations scatter coloured by cluster, and a sticky profile panel that shows the selected researcher's TF-IDF expertise bars, top publications and collaboration recommendations.</w:t>
      </w:r>
    </w:p>
    <w:p>
      <w:pPr>
        <w:pStyle w:val="ListNumber"/>
      </w:pPr>
      <w:r>
        <w:rPr>
          <w:b/>
        </w:rPr>
        <w:t>Clusters</w:t>
      </w:r>
      <w:r>
        <w:t xml:space="preserve"> — silhouette-tagged summary cards (using the real</w:t>
      </w:r>
    </w:p>
    <w:p>
      <w:r>
        <w:rPr>
          <w:rFonts w:ascii="Consolas" w:hAnsi="Consolas"/>
          <w:color w:val="3366CC"/>
          <w:sz w:val="20"/>
        </w:rPr>
        <w:t>top_areas</w:t>
      </w:r>
      <w:r>
        <w:t xml:space="preserve"> returned by the API), a 2D scatter projection, a comparison table sortable by silhouette, an expertise heatmap, and a </w:t>
      </w:r>
      <w:r>
        <w:rPr>
          <w:i/>
        </w:rPr>
        <w:t>Re-cluster</w:t>
      </w:r>
      <w:r>
        <w:t xml:space="preserve"> action wired to </w:t>
      </w:r>
      <w:r>
        <w:rPr>
          <w:rFonts w:ascii="Consolas" w:hAnsi="Consolas"/>
          <w:color w:val="3366CC"/>
          <w:sz w:val="20"/>
        </w:rPr>
        <w:t>/api/recluster</w:t>
      </w:r>
      <w:r>
        <w:t>.</w:t>
      </w:r>
    </w:p>
    <w:p>
      <w:pPr>
        <w:pStyle w:val="ListNumber"/>
      </w:pPr>
      <w:r>
        <w:rPr>
          <w:b/>
        </w:rPr>
        <w:t>Collaborations</w:t>
      </w:r>
      <w:r>
        <w:t xml:space="preserve"> — four KPI cards, a force-directed (or arc) network</w:t>
      </w:r>
    </w:p>
    <w:p>
      <w:r>
        <w:t xml:space="preserve">of the top-50 pairs rendered in SVG, a payoff-matrix viewer with a pair selector, a sortable table with status colour-coding, and the </w:t>
      </w:r>
      <w:r>
        <w:rPr>
          <w:i/>
        </w:rPr>
        <w:t>Re-evaluate</w:t>
      </w:r>
      <w:r>
        <w:t xml:space="preserve"> and </w:t>
      </w:r>
      <w:r>
        <w:rPr>
          <w:i/>
        </w:rPr>
        <w:t>Accept all pending</w:t>
      </w:r>
      <w:r>
        <w:t xml:space="preserve"> actions. The page guards against empty data with a friendly empty-state.</w:t>
      </w:r>
    </w:p>
    <w:p>
      <w:pPr>
        <w:pStyle w:val="ListNumber"/>
      </w:pPr>
      <w:r>
        <w:rPr>
          <w:b/>
        </w:rPr>
        <w:t>Agents</w:t>
      </w:r>
      <w:r>
        <w:t xml:space="preserve"> — eight agent cards driven by </w:t>
      </w:r>
      <w:r>
        <w:rPr>
          <w:rFonts w:ascii="Consolas" w:hAnsi="Consolas"/>
          <w:color w:val="3366CC"/>
          <w:sz w:val="20"/>
        </w:rPr>
        <w:t>logs/mas.log</w:t>
      </w:r>
      <w:r>
        <w:t xml:space="preserve"> (with</w:t>
      </w:r>
    </w:p>
    <w:p>
      <w:r>
        <w:t xml:space="preserve">sparkline mini-charts derived from the log history), a live log viewer with auto-tail, and </w:t>
      </w:r>
      <w:r>
        <w:rPr>
          <w:i/>
        </w:rPr>
        <w:t>Run full MAS cycle</w:t>
      </w:r>
      <w:r>
        <w:t xml:space="preserve">, </w:t>
      </w:r>
      <w:r>
        <w:rPr>
          <w:i/>
        </w:rPr>
        <w:t>Re-run clustering</w:t>
      </w:r>
      <w:r>
        <w:t xml:space="preserve">, </w:t>
      </w:r>
      <w:r>
        <w:rPr>
          <w:i/>
        </w:rPr>
        <w:t>Re-run recommendations</w:t>
      </w:r>
      <w:r>
        <w:t xml:space="preserve">, </w:t>
      </w:r>
      <w:r>
        <w:rPr>
          <w:i/>
        </w:rPr>
        <w:t>Reset + reseed DB</w:t>
      </w:r>
      <w:r>
        <w:t xml:space="preserve"> and </w:t>
      </w:r>
      <w:r>
        <w:rPr>
          <w:i/>
        </w:rPr>
        <w:t>Download log</w:t>
      </w:r>
      <w:r>
        <w:t xml:space="preserve"> actions.</w:t>
      </w:r>
    </w:p>
    <w:p>
      <w:r>
        <w:t xml:space="preserve">The sidebar carries a global </w:t>
      </w:r>
      <w:r>
        <w:rPr>
          <w:i/>
        </w:rPr>
        <w:t>Run MAS Cycle</w:t>
      </w:r>
      <w:r>
        <w:t xml:space="preserve"> button, an </w:t>
      </w:r>
      <w:r>
        <w:rPr>
          <w:i/>
        </w:rPr>
        <w:t>Alerts</w:t>
      </w:r>
      <w:r>
        <w:t xml:space="preserve"> modal that lists errored / idle agents from the real status feed, and a </w:t>
      </w:r>
      <w:r>
        <w:rPr>
          <w:i/>
        </w:rPr>
        <w:t>Settings</w:t>
      </w:r>
      <w:r>
        <w:t xml:space="preserve"> modal that exposes density / network-layout / log toggles plus the data-action shortcuts.</w:t>
      </w:r>
    </w:p>
    <w:p>
      <w:r>
        <w:t>The REST API surface backing the dashboard is given in Table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Purpose</w:t>
            </w:r>
          </w:p>
        </w:tc>
      </w:tr>
      <w:tr>
        <w:tc>
          <w:tcPr>
            <w:tcW w:type="dxa" w:w="2880"/>
          </w:tcPr>
          <w:p>
            <w:r/>
            <w:r>
              <w:t>GET</w:t>
            </w:r>
          </w:p>
        </w:tc>
        <w:tc>
          <w:tcPr>
            <w:tcW w:type="dxa" w:w="2880"/>
          </w:tcPr>
          <w:p>
            <w:r/>
            <w:r>
              <w:rPr>
                <w:rFonts w:ascii="Consolas" w:hAnsi="Consolas"/>
                <w:color w:val="3366CC"/>
                <w:sz w:val="20"/>
              </w:rPr>
              <w:t>/api/overview</w:t>
            </w:r>
          </w:p>
        </w:tc>
        <w:tc>
          <w:tcPr>
            <w:tcW w:type="dxa" w:w="2880"/>
          </w:tcPr>
          <w:p>
            <w:r/>
            <w:r>
              <w:t>KPIs + pubs/year + top labs + recent publications</w:t>
            </w:r>
          </w:p>
        </w:tc>
      </w:tr>
      <w:tr>
        <w:tc>
          <w:tcPr>
            <w:tcW w:type="dxa" w:w="2880"/>
          </w:tcPr>
          <w:p>
            <w:r/>
            <w:r>
              <w:t>GET</w:t>
            </w:r>
          </w:p>
        </w:tc>
        <w:tc>
          <w:tcPr>
            <w:tcW w:type="dxa" w:w="2880"/>
          </w:tcPr>
          <w:p>
            <w:r/>
            <w:r>
              <w:rPr>
                <w:rFonts w:ascii="Consolas" w:hAnsi="Consolas"/>
                <w:color w:val="3366CC"/>
                <w:sz w:val="20"/>
              </w:rPr>
              <w:t>/api/researchers</w:t>
            </w:r>
          </w:p>
        </w:tc>
        <w:tc>
          <w:tcPr>
            <w:tcW w:type="dxa" w:w="2880"/>
          </w:tcPr>
          <w:p>
            <w:r/>
            <w:r>
              <w:t>Filterable researcher list</w:t>
            </w:r>
          </w:p>
        </w:tc>
      </w:tr>
      <w:tr>
        <w:tc>
          <w:tcPr>
            <w:tcW w:type="dxa" w:w="2880"/>
          </w:tcPr>
          <w:p>
            <w:r/>
            <w:r>
              <w:t>GET</w:t>
            </w:r>
          </w:p>
        </w:tc>
        <w:tc>
          <w:tcPr>
            <w:tcW w:type="dxa" w:w="2880"/>
          </w:tcPr>
          <w:p>
            <w:r/>
            <w:r>
              <w:rPr>
                <w:rFonts w:ascii="Consolas" w:hAnsi="Consolas"/>
                <w:color w:val="3366CC"/>
                <w:sz w:val="20"/>
              </w:rPr>
              <w:t>/api/clusters</w:t>
            </w:r>
          </w:p>
        </w:tc>
        <w:tc>
          <w:tcPr>
            <w:tcW w:type="dxa" w:w="2880"/>
          </w:tcPr>
          <w:p>
            <w:r/>
            <w:r>
              <w:t xml:space="preserve">Clusters with </w:t>
            </w:r>
            <w:r>
              <w:rPr>
                <w:rFonts w:ascii="Consolas" w:hAnsi="Consolas"/>
                <w:color w:val="3366CC"/>
                <w:sz w:val="20"/>
              </w:rPr>
              <w:t>top_areas</w:t>
            </w:r>
          </w:p>
        </w:tc>
      </w:tr>
      <w:tr>
        <w:tc>
          <w:tcPr>
            <w:tcW w:type="dxa" w:w="2880"/>
          </w:tcPr>
          <w:p>
            <w:r/>
            <w:r>
              <w:t>GET</w:t>
            </w:r>
          </w:p>
        </w:tc>
        <w:tc>
          <w:tcPr>
            <w:tcW w:type="dxa" w:w="2880"/>
          </w:tcPr>
          <w:p>
            <w:r/>
            <w:r>
              <w:rPr>
                <w:rFonts w:ascii="Consolas" w:hAnsi="Consolas"/>
                <w:color w:val="3366CC"/>
                <w:sz w:val="20"/>
              </w:rPr>
              <w:t>/api/expertise</w:t>
            </w:r>
          </w:p>
        </w:tc>
        <w:tc>
          <w:tcPr>
            <w:tcW w:type="dxa" w:w="2880"/>
          </w:tcPr>
          <w:p>
            <w:r/>
            <w:r>
              <w:t>Distinct expertise areas</w:t>
            </w:r>
          </w:p>
        </w:tc>
      </w:tr>
      <w:tr>
        <w:tc>
          <w:tcPr>
            <w:tcW w:type="dxa" w:w="2880"/>
          </w:tcPr>
          <w:p>
            <w:r/>
            <w:r>
              <w:t>GET</w:t>
            </w:r>
          </w:p>
        </w:tc>
        <w:tc>
          <w:tcPr>
            <w:tcW w:type="dxa" w:w="2880"/>
          </w:tcPr>
          <w:p>
            <w:r/>
            <w:r>
              <w:rPr>
                <w:rFonts w:ascii="Consolas" w:hAnsi="Consolas"/>
                <w:color w:val="3366CC"/>
                <w:sz w:val="20"/>
              </w:rPr>
              <w:t>/api/labs</w:t>
            </w:r>
          </w:p>
        </w:tc>
        <w:tc>
          <w:tcPr>
            <w:tcW w:type="dxa" w:w="2880"/>
          </w:tcPr>
          <w:p>
            <w:r/>
            <w:r>
              <w:t>Distinct lab names</w:t>
            </w:r>
          </w:p>
        </w:tc>
      </w:tr>
      <w:tr>
        <w:tc>
          <w:tcPr>
            <w:tcW w:type="dxa" w:w="2880"/>
          </w:tcPr>
          <w:p>
            <w:r/>
            <w:r>
              <w:t>GET</w:t>
            </w:r>
          </w:p>
        </w:tc>
        <w:tc>
          <w:tcPr>
            <w:tcW w:type="dxa" w:w="2880"/>
          </w:tcPr>
          <w:p>
            <w:r/>
            <w:r>
              <w:rPr>
                <w:rFonts w:ascii="Consolas" w:hAnsi="Consolas"/>
                <w:color w:val="3366CC"/>
                <w:sz w:val="20"/>
              </w:rPr>
              <w:t>/api/collaborations</w:t>
            </w:r>
          </w:p>
        </w:tc>
        <w:tc>
          <w:tcPr>
            <w:tcW w:type="dxa" w:w="2880"/>
          </w:tcPr>
          <w:p>
            <w:r/>
            <w:r>
              <w:t>Top-150 collaborations</w:t>
            </w:r>
          </w:p>
        </w:tc>
      </w:tr>
      <w:tr>
        <w:tc>
          <w:tcPr>
            <w:tcW w:type="dxa" w:w="2880"/>
          </w:tcPr>
          <w:p>
            <w:r/>
            <w:r>
              <w:t>GET</w:t>
            </w:r>
          </w:p>
        </w:tc>
        <w:tc>
          <w:tcPr>
            <w:tcW w:type="dxa" w:w="2880"/>
          </w:tcPr>
          <w:p>
            <w:r/>
            <w:r>
              <w:rPr>
                <w:rFonts w:ascii="Consolas" w:hAnsi="Consolas"/>
                <w:color w:val="3366CC"/>
                <w:sz w:val="20"/>
              </w:rPr>
              <w:t>/api/agents</w:t>
            </w:r>
          </w:p>
        </w:tc>
        <w:tc>
          <w:tcPr>
            <w:tcW w:type="dxa" w:w="2880"/>
          </w:tcPr>
          <w:p>
            <w:r/>
            <w:r>
              <w:t>Per-agent status and 12-bin sparkline</w:t>
            </w:r>
          </w:p>
        </w:tc>
      </w:tr>
      <w:tr>
        <w:tc>
          <w:tcPr>
            <w:tcW w:type="dxa" w:w="2880"/>
          </w:tcPr>
          <w:p>
            <w:r/>
            <w:r>
              <w:t>GET</w:t>
            </w:r>
          </w:p>
        </w:tc>
        <w:tc>
          <w:tcPr>
            <w:tcW w:type="dxa" w:w="2880"/>
          </w:tcPr>
          <w:p>
            <w:r/>
            <w:r>
              <w:rPr>
                <w:rFonts w:ascii="Consolas" w:hAnsi="Consolas"/>
                <w:color w:val="3366CC"/>
                <w:sz w:val="20"/>
              </w:rPr>
              <w:t>/api/logs?n=</w:t>
            </w:r>
          </w:p>
        </w:tc>
        <w:tc>
          <w:tcPr>
            <w:tcW w:type="dxa" w:w="2880"/>
          </w:tcPr>
          <w:p>
            <w:r/>
            <w:r>
              <w:t xml:space="preserve">Last </w:t>
            </w:r>
            <w:r>
              <w:rPr>
                <w:i/>
              </w:rPr>
              <w:t>n</w:t>
            </w:r>
            <w:r>
              <w:t xml:space="preserve"> parsed log lines</w:t>
            </w:r>
          </w:p>
        </w:tc>
      </w:tr>
      <w:tr>
        <w:tc>
          <w:tcPr>
            <w:tcW w:type="dxa" w:w="2880"/>
          </w:tcPr>
          <w:p>
            <w:r/>
            <w:r>
              <w:t>GET</w:t>
            </w:r>
          </w:p>
        </w:tc>
        <w:tc>
          <w:tcPr>
            <w:tcW w:type="dxa" w:w="2880"/>
          </w:tcPr>
          <w:p>
            <w:r/>
            <w:r>
              <w:rPr>
                <w:rFonts w:ascii="Consolas" w:hAnsi="Consolas"/>
                <w:color w:val="3366CC"/>
                <w:sz w:val="20"/>
              </w:rPr>
              <w:t>/api/researchers/export.csv</w:t>
            </w:r>
          </w:p>
        </w:tc>
        <w:tc>
          <w:tcPr>
            <w:tcW w:type="dxa" w:w="2880"/>
          </w:tcPr>
          <w:p>
            <w:r/>
            <w:r>
              <w:t>Researcher CSV export</w:t>
            </w:r>
          </w:p>
        </w:tc>
      </w:tr>
      <w:tr>
        <w:tc>
          <w:tcPr>
            <w:tcW w:type="dxa" w:w="2880"/>
          </w:tcPr>
          <w:p>
            <w:r/>
            <w:r>
              <w:t>GET</w:t>
            </w:r>
          </w:p>
        </w:tc>
        <w:tc>
          <w:tcPr>
            <w:tcW w:type="dxa" w:w="2880"/>
          </w:tcPr>
          <w:p>
            <w:r/>
            <w:r>
              <w:rPr>
                <w:rFonts w:ascii="Consolas" w:hAnsi="Consolas"/>
                <w:color w:val="3366CC"/>
                <w:sz w:val="20"/>
              </w:rPr>
              <w:t>/api/logs/download</w:t>
            </w:r>
          </w:p>
        </w:tc>
        <w:tc>
          <w:tcPr>
            <w:tcW w:type="dxa" w:w="2880"/>
          </w:tcPr>
          <w:p>
            <w:r/>
            <w:r>
              <w:t xml:space="preserve">Plain-text </w:t>
            </w:r>
            <w:r>
              <w:rPr>
                <w:rFonts w:ascii="Consolas" w:hAnsi="Consolas"/>
                <w:color w:val="3366CC"/>
                <w:sz w:val="20"/>
              </w:rPr>
              <w:t>mas.log</w:t>
            </w:r>
            <w:r>
              <w:t xml:space="preserve"> download</w:t>
            </w:r>
          </w:p>
        </w:tc>
      </w:tr>
      <w:tr>
        <w:tc>
          <w:tcPr>
            <w:tcW w:type="dxa" w:w="2880"/>
          </w:tcPr>
          <w:p>
            <w:r/>
            <w:r>
              <w:t>POST</w:t>
            </w:r>
          </w:p>
        </w:tc>
        <w:tc>
          <w:tcPr>
            <w:tcW w:type="dxa" w:w="2880"/>
          </w:tcPr>
          <w:p>
            <w:r/>
            <w:r>
              <w:rPr>
                <w:rFonts w:ascii="Consolas" w:hAnsi="Consolas"/>
                <w:color w:val="3366CC"/>
                <w:sz w:val="20"/>
              </w:rPr>
              <w:t>/api/run</w:t>
            </w:r>
          </w:p>
        </w:tc>
        <w:tc>
          <w:tcPr>
            <w:tcW w:type="dxa" w:w="2880"/>
          </w:tcPr>
          <w:p>
            <w:r/>
            <w:r>
              <w:t>Full MAS cycle</w:t>
            </w:r>
          </w:p>
        </w:tc>
      </w:tr>
      <w:tr>
        <w:tc>
          <w:tcPr>
            <w:tcW w:type="dxa" w:w="2880"/>
          </w:tcPr>
          <w:p>
            <w:r/>
            <w:r>
              <w:t>POST</w:t>
            </w:r>
          </w:p>
        </w:tc>
        <w:tc>
          <w:tcPr>
            <w:tcW w:type="dxa" w:w="2880"/>
          </w:tcPr>
          <w:p>
            <w:r/>
            <w:r>
              <w:rPr>
                <w:rFonts w:ascii="Consolas" w:hAnsi="Consolas"/>
                <w:color w:val="3366CC"/>
                <w:sz w:val="20"/>
              </w:rPr>
              <w:t>/api/recluster</w:t>
            </w:r>
          </w:p>
        </w:tc>
        <w:tc>
          <w:tcPr>
            <w:tcW w:type="dxa" w:w="2880"/>
          </w:tcPr>
          <w:p>
            <w:r/>
            <w:r>
              <w:rPr>
                <w:rFonts w:ascii="Consolas" w:hAnsi="Consolas"/>
                <w:color w:val="3366CC"/>
                <w:sz w:val="20"/>
              </w:rPr>
              <w:t>AgentCluster</w:t>
            </w:r>
            <w:r>
              <w:t xml:space="preserve"> only</w:t>
            </w:r>
          </w:p>
        </w:tc>
      </w:tr>
      <w:tr>
        <w:tc>
          <w:tcPr>
            <w:tcW w:type="dxa" w:w="2880"/>
          </w:tcPr>
          <w:p>
            <w:r/>
            <w:r>
              <w:t>POST</w:t>
            </w:r>
          </w:p>
        </w:tc>
        <w:tc>
          <w:tcPr>
            <w:tcW w:type="dxa" w:w="2880"/>
          </w:tcPr>
          <w:p>
            <w:r/>
            <w:r>
              <w:rPr>
                <w:rFonts w:ascii="Consolas" w:hAnsi="Consolas"/>
                <w:color w:val="3366CC"/>
                <w:sz w:val="20"/>
              </w:rPr>
              <w:t>/api/recommendations</w:t>
            </w:r>
          </w:p>
        </w:tc>
        <w:tc>
          <w:tcPr>
            <w:tcW w:type="dxa" w:w="2880"/>
          </w:tcPr>
          <w:p>
            <w:r/>
            <w:r>
              <w:t>matcher + advisor + negotiator</w:t>
            </w:r>
          </w:p>
        </w:tc>
      </w:tr>
      <w:tr>
        <w:tc>
          <w:tcPr>
            <w:tcW w:type="dxa" w:w="2880"/>
          </w:tcPr>
          <w:p>
            <w:r/>
            <w:r>
              <w:t>POST</w:t>
            </w:r>
          </w:p>
        </w:tc>
        <w:tc>
          <w:tcPr>
            <w:tcW w:type="dxa" w:w="2880"/>
          </w:tcPr>
          <w:p>
            <w:r/>
            <w:r>
              <w:rPr>
                <w:rFonts w:ascii="Consolas" w:hAnsi="Consolas"/>
                <w:color w:val="3366CC"/>
                <w:sz w:val="20"/>
              </w:rPr>
              <w:t>/api/advisor</w:t>
            </w:r>
          </w:p>
        </w:tc>
        <w:tc>
          <w:tcPr>
            <w:tcW w:type="dxa" w:w="2880"/>
          </w:tcPr>
          <w:p>
            <w:r/>
            <w:r>
              <w:t>matcher + advisor only</w:t>
            </w:r>
          </w:p>
        </w:tc>
      </w:tr>
      <w:tr>
        <w:tc>
          <w:tcPr>
            <w:tcW w:type="dxa" w:w="2880"/>
          </w:tcPr>
          <w:p>
            <w:r/>
            <w:r>
              <w:t>POST</w:t>
            </w:r>
          </w:p>
        </w:tc>
        <w:tc>
          <w:tcPr>
            <w:tcW w:type="dxa" w:w="2880"/>
          </w:tcPr>
          <w:p>
            <w:r/>
            <w:r>
              <w:rPr>
                <w:rFonts w:ascii="Consolas" w:hAnsi="Consolas"/>
                <w:color w:val="3366CC"/>
                <w:sz w:val="20"/>
              </w:rPr>
              <w:t>/api/collaborations/accept_pending</w:t>
            </w:r>
          </w:p>
        </w:tc>
        <w:tc>
          <w:tcPr>
            <w:tcW w:type="dxa" w:w="2880"/>
          </w:tcPr>
          <w:p>
            <w:r/>
            <w:r>
              <w:t>Bulk-accept pending</w:t>
            </w:r>
          </w:p>
        </w:tc>
      </w:tr>
      <w:tr>
        <w:tc>
          <w:tcPr>
            <w:tcW w:type="dxa" w:w="2880"/>
          </w:tcPr>
          <w:p>
            <w:r/>
            <w:r>
              <w:t>POST</w:t>
            </w:r>
          </w:p>
        </w:tc>
        <w:tc>
          <w:tcPr>
            <w:tcW w:type="dxa" w:w="2880"/>
          </w:tcPr>
          <w:p>
            <w:r/>
            <w:r>
              <w:rPr>
                <w:rFonts w:ascii="Consolas" w:hAnsi="Consolas"/>
                <w:color w:val="3366CC"/>
                <w:sz w:val="20"/>
              </w:rPr>
              <w:t>/api/reseed</w:t>
            </w:r>
          </w:p>
        </w:tc>
        <w:tc>
          <w:tcPr>
            <w:tcW w:type="dxa" w:w="2880"/>
          </w:tcPr>
          <w:p>
            <w:r/>
            <w:r>
              <w:rPr>
                <w:rFonts w:ascii="Consolas" w:hAnsi="Consolas"/>
                <w:color w:val="3366CC"/>
                <w:sz w:val="20"/>
              </w:rPr>
              <w:t>reset_db()</w:t>
            </w:r>
            <w:r>
              <w:t xml:space="preserve"> + </w:t>
            </w:r>
            <w:r>
              <w:rPr>
                <w:rFonts w:ascii="Consolas" w:hAnsi="Consolas"/>
                <w:color w:val="3366CC"/>
                <w:sz w:val="20"/>
              </w:rPr>
              <w:t>seed_all()</w:t>
            </w:r>
          </w:p>
        </w:tc>
      </w:tr>
    </w:tbl>
    <w:p>
      <w:r>
        <w:rPr>
          <w:i/>
        </w:rPr>
        <w:t>Table 1 — REST API surface (`observatory/web/api.py`).</w:t>
      </w:r>
    </w:p>
    <w:p>
      <w:r>
        <w:rPr>
          <w:i/>
        </w:rPr>
        <w:t>(Replace the placeholders below with actual screenshots before</w:t>
      </w:r>
      <w:r>
        <w:t xml:space="preserve"> </w:t>
      </w:r>
      <w:r>
        <w:rPr>
          <w:i/>
        </w:rPr>
        <w:t>submitting the printed PDF.)</w:t>
      </w:r>
    </w:p>
    <w:p>
      <w:pPr>
        <w:ind w:left="360"/>
      </w:pPr>
      <w:r>
        <w:rPr>
          <w:b/>
        </w:rPr>
        <w:t>Screenshot 1 — Overview page:</w:t>
      </w:r>
      <w:r>
        <w:t xml:space="preserve"> </w:t>
      </w:r>
      <w:r>
        <w:rPr>
          <w:i/>
        </w:rPr>
        <w:t>(insert `figures/screenshot_overview.png`)</w:t>
      </w:r>
    </w:p>
    <w:p>
      <w:pPr>
        <w:ind w:left="360"/>
      </w:pPr>
      <w:r>
        <w:rPr>
          <w:b/>
        </w:rPr>
        <w:t>Screenshot 2 — Researchers page:</w:t>
      </w:r>
      <w:r>
        <w:t xml:space="preserve"> </w:t>
      </w:r>
      <w:r>
        <w:rPr>
          <w:i/>
        </w:rPr>
        <w:t>(insert `figures/screenshot_researchers.png`)</w:t>
      </w:r>
    </w:p>
    <w:p>
      <w:pPr>
        <w:ind w:left="360"/>
      </w:pPr>
      <w:r>
        <w:rPr>
          <w:b/>
        </w:rPr>
        <w:t>Screenshot 3 — Clusters page:</w:t>
      </w:r>
      <w:r>
        <w:t xml:space="preserve"> </w:t>
      </w:r>
      <w:r>
        <w:rPr>
          <w:i/>
        </w:rPr>
        <w:t>(insert `figures/screenshot_clusters.png`)</w:t>
      </w:r>
    </w:p>
    <w:p>
      <w:pPr>
        <w:ind w:left="360"/>
      </w:pPr>
      <w:r>
        <w:rPr>
          <w:b/>
        </w:rPr>
        <w:t>Screenshot 4 — Collaborations page (network + payoff matrix):</w:t>
      </w:r>
      <w:r>
        <w:t xml:space="preserve"> </w:t>
      </w:r>
      <w:r>
        <w:rPr>
          <w:i/>
        </w:rPr>
        <w:t>(insert `figures/screenshot_collabs.png`)</w:t>
      </w:r>
    </w:p>
    <w:p>
      <w:pPr>
        <w:ind w:left="360"/>
      </w:pPr>
      <w:r>
        <w:rPr>
          <w:b/>
        </w:rPr>
        <w:t>Screenshot 5 — Agents page (live log + cards):</w:t>
      </w:r>
      <w:r>
        <w:t xml:space="preserve"> </w:t>
      </w:r>
      <w:r>
        <w:rPr>
          <w:i/>
        </w:rPr>
        <w:t>(insert `figures/screenshot_agents.png`)</w:t>
      </w:r>
    </w:p>
    <w:p>
      <w:r>
        <w:t>────────────────────────────────────────────────────────────</w:t>
      </w:r>
    </w:p>
    <w:p>
      <w:pPr>
        <w:pStyle w:val="Heading2"/>
      </w:pPr>
      <w:r>
        <w:t>9. Implementation workflow and tooling</w:t>
      </w:r>
    </w:p>
    <w:p>
      <w:r>
        <w:t>The project layout is:</w:t>
      </w:r>
    </w:p>
    <w:p>
      <w:r>
        <w:rPr>
          <w:rFonts w:ascii="Consolas" w:hAnsi="Consolas"/>
          <w:sz w:val="18"/>
        </w:rPr>
        <w:t>DCAI-Project/</w:t>
        <w:br/>
        <w:t>├── observatory/                  ← Python package</w:t>
        <w:br/>
        <w:t>│   ├── agents/coordinator.py</w:t>
        <w:br/>
        <w:t>│   ├── agents/observer/          ← Researcher, Publication, Lab scrapers</w:t>
        <w:br/>
        <w:t>│   ├── analysis/agent_cluster.py</w:t>
        <w:br/>
        <w:t>│   ├── analysis/agent_expertise.py</w:t>
        <w:br/>
        <w:t>│   ├── analysis/feature_engineering.py</w:t>
        <w:br/>
        <w:t>│   ├── recommendation/agent_collab_advisor.py</w:t>
        <w:br/>
        <w:t>│   ├── recommendation/agent_negotiator.py</w:t>
        <w:br/>
        <w:t>│   ├── db/models.py</w:t>
        <w:br/>
        <w:t>│   ├── db/database.py</w:t>
        <w:br/>
        <w:t>│   ├── db/seed.py</w:t>
        <w:br/>
        <w:t>│   ├── web/api.py                ← Flask app + REST endpoints</w:t>
        <w:br/>
        <w:t>│   ├── web/static/*.jsx          ← React SPA (5 pages)</w:t>
        <w:br/>
        <w:t>│   ├── config.py</w:t>
        <w:br/>
        <w:t>│   └── main.py                   ← CLI entry point</w:t>
        <w:br/>
        <w:t>├── logs/mas.log                  ← written by the coordinator</w:t>
        <w:br/>
        <w:t>├── observatory/project_hide.db   ← SQLite seed</w:t>
        <w:br/>
        <w:t>├── scripts/make_figures.py       ← regenerates the UML PNGs</w:t>
        <w:br/>
        <w:t>├── scripts/md_to_docx.py         ← regenerates the .docx</w:t>
        <w:br/>
        <w:t>├── REPORT.md / REPORT.docx       ← internal implementation notes</w:t>
        <w:br/>
        <w:t>├── SUBMISSION_REPORT.md / .docx  ← this document</w:t>
        <w:br/>
        <w:t>└── README.md</w:t>
      </w:r>
    </w:p>
    <w:p>
      <w:r>
        <w:t xml:space="preserve">The runtime dependencies are listed by the specification (Mesa, scikit-learn, Pandas / NumPy, Flask, Faker, SQLAlchemy). All are available in the project's virtual environment. The dashboard's React components are loaded from </w:t>
      </w:r>
      <w:r>
        <w:rPr>
          <w:rFonts w:ascii="Consolas" w:hAnsi="Consolas"/>
          <w:color w:val="3366CC"/>
          <w:sz w:val="20"/>
        </w:rPr>
        <w:t>index.html</w:t>
      </w:r>
      <w:r>
        <w:t xml:space="preserve"> using the standalone Babel runtime, which avoids a Node toolchain entirely — running </w:t>
      </w:r>
      <w:r>
        <w:rPr>
          <w:rFonts w:ascii="Consolas" w:hAnsi="Consolas"/>
          <w:color w:val="3366CC"/>
          <w:sz w:val="20"/>
        </w:rPr>
        <w:t>python -m observatory.web.api</w:t>
      </w:r>
      <w:r>
        <w:t xml:space="preserve"> is enough to serve both the API and the SPA on </w:t>
      </w:r>
      <w:r>
        <w:rPr>
          <w:rFonts w:ascii="Consolas" w:hAnsi="Consolas"/>
          <w:color w:val="3366CC"/>
          <w:sz w:val="20"/>
        </w:rPr>
        <w:t>http://localhost:5000</w:t>
      </w:r>
      <w:r>
        <w:t>.</w:t>
      </w:r>
    </w:p>
    <w:p>
      <w:pPr>
        <w:pStyle w:val="Heading3"/>
      </w:pPr>
      <w:r>
        <w:t>9.1 How to run</w:t>
      </w:r>
    </w:p>
    <w:p>
      <w:r>
        <w:rPr>
          <w:rFonts w:ascii="Consolas" w:hAnsi="Consolas"/>
          <w:sz w:val="18"/>
        </w:rPr>
        <w:t>cd DCAI-Project</w:t>
        <w:br/>
        <w:t>.venv\Scripts\Activate.ps1</w:t>
        <w:br/>
        <w:t>python -m observatory.db.seed          # one-time: build SQLite + Faker seed</w:t>
        <w:br/>
        <w:t>python -m observatory.web.api          # serves dashboard on :5000</w:t>
      </w:r>
    </w:p>
    <w:p>
      <w:r>
        <w:t>From the dashboard:</w:t>
      </w:r>
    </w:p>
    <w:p>
      <w:pPr>
        <w:pStyle w:val="ListBullet"/>
      </w:pPr>
      <w:r>
        <w:rPr>
          <w:b/>
        </w:rPr>
        <w:t>Sidebar → Run MAS Cycle</w:t>
      </w:r>
      <w:r>
        <w:t xml:space="preserve"> — full pipeline on one click.</w:t>
      </w:r>
    </w:p>
    <w:p>
      <w:pPr>
        <w:pStyle w:val="ListBullet"/>
      </w:pPr>
      <w:r>
        <w:rPr>
          <w:b/>
        </w:rPr>
        <w:t>Agents → Reset + reseed DB</w:t>
      </w:r>
      <w:r>
        <w:t xml:space="preserve"> — rebuilds the dataset.</w:t>
      </w:r>
    </w:p>
    <w:p>
      <w:pPr>
        <w:pStyle w:val="ListBullet"/>
      </w:pPr>
      <w:r>
        <w:rPr>
          <w:b/>
        </w:rPr>
        <w:t>Agents → Re-run clustering / recommendations</w:t>
      </w:r>
      <w:r>
        <w:t xml:space="preserve"> — fast partial reruns.</w:t>
      </w:r>
    </w:p>
    <w:p>
      <w:pPr>
        <w:pStyle w:val="ListBullet"/>
      </w:pPr>
      <w:r>
        <w:rPr>
          <w:b/>
        </w:rPr>
        <w:t>Collaborations → Accept all pending</w:t>
      </w:r>
      <w:r>
        <w:t xml:space="preserve"> — bulk-flip status.</w:t>
      </w:r>
    </w:p>
    <w:p>
      <w:pPr>
        <w:pStyle w:val="ListBullet"/>
      </w:pPr>
      <w:r>
        <w:rPr>
          <w:b/>
        </w:rPr>
        <w:t>Settings (sidebar)</w:t>
      </w:r>
      <w:r>
        <w:t xml:space="preserve"> — theme density, network layout, log toggle, data</w:t>
      </w:r>
    </w:p>
    <w:p>
      <w:r>
        <w:t>actions.</w:t>
      </w:r>
    </w:p>
    <w:p>
      <w:pPr>
        <w:pStyle w:val="Heading3"/>
      </w:pPr>
      <w:r>
        <w:t>9.2 Project planning (compared to the spec's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Week (spec)</w:t>
            </w:r>
          </w:p>
        </w:tc>
        <w:tc>
          <w:tcPr>
            <w:tcW w:type="dxa" w:w="2880"/>
          </w:tcPr>
          <w:p>
            <w:r>
              <w:rPr>
                <w:b/>
              </w:rPr>
            </w:r>
            <w:r>
              <w:rPr>
                <w:b/>
              </w:rPr>
              <w:t>Phase</w:t>
            </w:r>
          </w:p>
        </w:tc>
        <w:tc>
          <w:tcPr>
            <w:tcW w:type="dxa" w:w="2880"/>
          </w:tcPr>
          <w:p>
            <w:r>
              <w:rPr>
                <w:b/>
              </w:rPr>
            </w:r>
            <w:r>
              <w:rPr>
                <w:b/>
              </w:rPr>
              <w:t>Delivered work</w:t>
            </w:r>
          </w:p>
        </w:tc>
      </w:tr>
      <w:tr>
        <w:tc>
          <w:tcPr>
            <w:tcW w:type="dxa" w:w="2880"/>
          </w:tcPr>
          <w:p>
            <w:r/>
            <w:r>
              <w:t>1</w:t>
            </w:r>
          </w:p>
        </w:tc>
        <w:tc>
          <w:tcPr>
            <w:tcW w:type="dxa" w:w="2880"/>
          </w:tcPr>
          <w:p>
            <w:r/>
            <w:r>
              <w:t>Setup and design</w:t>
            </w:r>
          </w:p>
        </w:tc>
        <w:tc>
          <w:tcPr>
            <w:tcW w:type="dxa" w:w="2880"/>
          </w:tcPr>
          <w:p>
            <w:r/>
            <w:r>
              <w:t>Database schema, agent architecture, Flask API skeleton</w:t>
            </w:r>
          </w:p>
        </w:tc>
      </w:tr>
      <w:tr>
        <w:tc>
          <w:tcPr>
            <w:tcW w:type="dxa" w:w="2880"/>
          </w:tcPr>
          <w:p>
            <w:r/>
            <w:r>
              <w:t>2</w:t>
            </w:r>
          </w:p>
        </w:tc>
        <w:tc>
          <w:tcPr>
            <w:tcW w:type="dxa" w:w="2880"/>
          </w:tcPr>
          <w:p>
            <w:r/>
            <w:r>
              <w:t>Core development</w:t>
            </w:r>
          </w:p>
        </w:tc>
        <w:tc>
          <w:tcPr>
            <w:tcW w:type="dxa" w:w="2880"/>
          </w:tcPr>
          <w:p>
            <w:r/>
            <w:r>
              <w:t>Observer / scraper agents, clustering, expertise matcher</w:t>
            </w:r>
          </w:p>
        </w:tc>
      </w:tr>
      <w:tr>
        <w:tc>
          <w:tcPr>
            <w:tcW w:type="dxa" w:w="2880"/>
          </w:tcPr>
          <w:p>
            <w:r/>
            <w:r>
              <w:t>3</w:t>
            </w:r>
          </w:p>
        </w:tc>
        <w:tc>
          <w:tcPr>
            <w:tcW w:type="dxa" w:w="2880"/>
          </w:tcPr>
          <w:p>
            <w:r/>
            <w:r>
              <w:t>Advanced development</w:t>
            </w:r>
          </w:p>
        </w:tc>
        <w:tc>
          <w:tcPr>
            <w:tcW w:type="dxa" w:w="2880"/>
          </w:tcPr>
          <w:p>
            <w:r/>
            <w:r>
              <w:t>CollabAdvisor + Negotiator, payoff matrix, dashboard</w:t>
            </w:r>
          </w:p>
        </w:tc>
      </w:tr>
      <w:tr>
        <w:tc>
          <w:tcPr>
            <w:tcW w:type="dxa" w:w="2880"/>
          </w:tcPr>
          <w:p>
            <w:r/>
            <w:r>
              <w:t>4</w:t>
            </w:r>
          </w:p>
        </w:tc>
        <w:tc>
          <w:tcPr>
            <w:tcW w:type="dxa" w:w="2880"/>
          </w:tcPr>
          <w:p>
            <w:r/>
            <w:r>
              <w:t>Integration and finalisation</w:t>
            </w:r>
          </w:p>
        </w:tc>
        <w:tc>
          <w:tcPr>
            <w:tcW w:type="dxa" w:w="2880"/>
          </w:tcPr>
          <w:p>
            <w:r/>
            <w:r>
              <w:t>Frontend wiring, partial-rerun endpoints, bug-fix sweep, this report</w:t>
            </w:r>
          </w:p>
        </w:tc>
      </w:tr>
    </w:tbl>
    <w:p>
      <w:r>
        <w:t>────────────────────────────────────────────────────────────</w:t>
      </w:r>
    </w:p>
    <w:p>
      <w:pPr>
        <w:pStyle w:val="Heading2"/>
      </w:pPr>
      <w:r>
        <w:t>10. Results and evaluation</w:t>
      </w:r>
    </w:p>
    <w:p>
      <w:pPr>
        <w:pStyle w:val="Heading3"/>
      </w:pPr>
      <w:r>
        <w:t>10.1 End-to-end run on the seed dataset</w:t>
      </w:r>
    </w:p>
    <w:p>
      <w:r>
        <w:t xml:space="preserve">Running </w:t>
      </w:r>
      <w:r>
        <w:rPr>
          <w:rFonts w:ascii="Consolas" w:hAnsi="Consolas"/>
          <w:color w:val="3366CC"/>
          <w:sz w:val="20"/>
        </w:rPr>
        <w:t>coordinator.run(steps=1)</w:t>
      </w:r>
      <w:r>
        <w:t xml:space="preserve"> on the seeded database (200 researchers, 20 labs, 500 publications) yields the typical profile shown below. Numbers vary slightly between reseeds because the seed is randomised.</w:t>
      </w:r>
    </w:p>
    <w:p>
      <w:r>
        <w:rPr>
          <w:rFonts w:ascii="Consolas" w:hAnsi="Consolas"/>
          <w:sz w:val="18"/>
        </w:rPr>
        <w:t>AgentResearcherScraper:  loaded 200 researchers</w:t>
        <w:br/>
        <w:t>AgentPublicationScraper: loaded 500 publications</w:t>
        <w:br/>
        <w:t>AgentLabScraper:         loaded 20 labs</w:t>
        <w:br/>
        <w:t>AgentCluster:            KMeans best_k=8, silhouette=0.10</w:t>
        <w:br/>
        <w:t xml:space="preserve">                         DBSCAN valid_clusters=1, noise=197</w:t>
        <w:br/>
        <w:t xml:space="preserve">                         winner=kmeans</w:t>
        <w:br/>
        <w:t>AgentExpertiseMatcher:   tfidf shape=(200, 100)</w:t>
        <w:br/>
        <w:t xml:space="preserve">                         evaluated 634 pairs, inserted 218 new</w:t>
        <w:br/>
        <w:t xml:space="preserve">                         avg_sim=0.63, top_pair=(name, name, 0.92)</w:t>
        <w:br/>
        <w:t>AgentCollabAdvisor:      recommended 20 pairs (evaluated=404,</w:t>
        <w:br/>
        <w:t xml:space="preserve">                         avg_sim=0.66, top=…)</w:t>
        <w:br/>
        <w:t>AgentNegotiator:         evaluated=218, accepted=218, rejected=0</w:t>
        <w:br/>
        <w:t xml:space="preserve">                         avg_nash=0.24</w:t>
      </w:r>
    </w:p>
    <w:p>
      <w:r>
        <w:t>The full cycle completes in well under a second on a laptop. All dashboard pages render under 500 ms after the initial fetch.</w:t>
      </w:r>
    </w:p>
    <w:p>
      <w:pPr>
        <w:pStyle w:val="Heading3"/>
      </w:pPr>
      <w:r>
        <w:t>10.2 Self-evaluation against the spec's six criteria (§8)</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Criterion</w:t>
            </w:r>
          </w:p>
        </w:tc>
        <w:tc>
          <w:tcPr>
            <w:tcW w:type="dxa" w:w="4320"/>
          </w:tcPr>
          <w:p>
            <w:r>
              <w:rPr>
                <w:b/>
              </w:rPr>
            </w:r>
            <w:r>
              <w:rPr>
                <w:b/>
              </w:rPr>
              <w:t>Self-assessment</w:t>
            </w:r>
          </w:p>
        </w:tc>
      </w:tr>
      <w:tr>
        <w:tc>
          <w:tcPr>
            <w:tcW w:type="dxa" w:w="4320"/>
          </w:tcPr>
          <w:p>
            <w:r/>
            <w:r>
              <w:t>Functionality of MAS and agent interactions</w:t>
            </w:r>
          </w:p>
        </w:tc>
        <w:tc>
          <w:tcPr>
            <w:tcW w:type="dxa" w:w="4320"/>
          </w:tcPr>
          <w:p>
            <w:r/>
            <w:r>
              <w:t xml:space="preserve">✅ End-to-end pipeline verified by </w:t>
            </w:r>
            <w:r>
              <w:rPr>
                <w:rFonts w:ascii="Consolas" w:hAnsi="Consolas"/>
                <w:color w:val="3366CC"/>
                <w:sz w:val="20"/>
              </w:rPr>
              <w:t>python -m observatory.main</w:t>
            </w:r>
            <w:r>
              <w:t xml:space="preserve"> and by every dashboard rerun action.</w:t>
            </w:r>
          </w:p>
        </w:tc>
      </w:tr>
      <w:tr>
        <w:tc>
          <w:tcPr>
            <w:tcW w:type="dxa" w:w="4320"/>
          </w:tcPr>
          <w:p>
            <w:r/>
            <w:r>
              <w:t>Correct implementation of clustering and AI agents</w:t>
            </w:r>
          </w:p>
        </w:tc>
        <w:tc>
          <w:tcPr>
            <w:tcW w:type="dxa" w:w="4320"/>
          </w:tcPr>
          <w:p>
            <w:r/>
            <w:r>
              <w:t xml:space="preserve">✅ KMeans with silhouette-driven </w:t>
            </w:r>
            <w:r>
              <w:rPr>
                <w:rFonts w:ascii="Consolas" w:hAnsi="Consolas"/>
                <w:color w:val="3366CC"/>
                <w:sz w:val="20"/>
              </w:rPr>
              <w:t>k</w:t>
            </w:r>
            <w:r>
              <w:t xml:space="preserve"> selection, DBSCAN as alternative, TF-IDF + cosine for matching.</w:t>
            </w:r>
          </w:p>
        </w:tc>
      </w:tr>
      <w:tr>
        <w:tc>
          <w:tcPr>
            <w:tcW w:type="dxa" w:w="4320"/>
          </w:tcPr>
          <w:p>
            <w:r/>
            <w:r>
              <w:t>Database design and integration quality</w:t>
            </w:r>
          </w:p>
        </w:tc>
        <w:tc>
          <w:tcPr>
            <w:tcW w:type="dxa" w:w="4320"/>
          </w:tcPr>
          <w:p>
            <w:r/>
            <w:r>
              <w:t>✅ Seven normalised tables, FKs, indexes, cascading deletes, SQLAlchemy 2.x typed mapping.</w:t>
            </w:r>
          </w:p>
        </w:tc>
      </w:tr>
      <w:tr>
        <w:tc>
          <w:tcPr>
            <w:tcW w:type="dxa" w:w="4320"/>
          </w:tcPr>
          <w:p>
            <w:r/>
            <w:r>
              <w:t>Web dashboard usability and visualisation</w:t>
            </w:r>
          </w:p>
        </w:tc>
        <w:tc>
          <w:tcPr>
            <w:tcW w:type="dxa" w:w="4320"/>
          </w:tcPr>
          <w:p>
            <w:r/>
            <w:r>
              <w:t>✅ Five interactive pages, dark theme, KPI cards, scatter, network, payoff matrix, heatmap.</w:t>
            </w:r>
          </w:p>
        </w:tc>
      </w:tr>
      <w:tr>
        <w:tc>
          <w:tcPr>
            <w:tcW w:type="dxa" w:w="4320"/>
          </w:tcPr>
          <w:p>
            <w:r/>
            <w:r>
              <w:t>Innovation in negotiation / game-theory simulations</w:t>
            </w:r>
          </w:p>
        </w:tc>
        <w:tc>
          <w:tcPr>
            <w:tcW w:type="dxa" w:w="4320"/>
          </w:tcPr>
          <w:p>
            <w:r/>
            <w:r>
              <w:t>✅ Bilateral 2×2 game with explicit Nash cell highlighted in the UI, accept threshold + Pareto floor.</w:t>
            </w:r>
          </w:p>
        </w:tc>
      </w:tr>
      <w:tr>
        <w:tc>
          <w:tcPr>
            <w:tcW w:type="dxa" w:w="4320"/>
          </w:tcPr>
          <w:p>
            <w:r/>
            <w:r>
              <w:t>Quality of documentation, report, and presentation</w:t>
            </w:r>
          </w:p>
        </w:tc>
        <w:tc>
          <w:tcPr>
            <w:tcW w:type="dxa" w:w="4320"/>
          </w:tcPr>
          <w:p>
            <w:r/>
            <w:r>
              <w:t>✅ This report + inline docstrings; presentation deck produced separately.</w:t>
            </w:r>
          </w:p>
        </w:tc>
      </w:tr>
    </w:tbl>
    <w:p>
      <w:r>
        <w:t>────────────────────────────────────────────────────────────</w:t>
      </w:r>
    </w:p>
    <w:p>
      <w:pPr>
        <w:pStyle w:val="Heading2"/>
      </w:pPr>
      <w:r>
        <w:t>11. Comparison with the specification — what is matched, what diverges</w:t>
      </w:r>
    </w:p>
    <w:p>
      <w:pPr>
        <w:pStyle w:val="Heading3"/>
      </w:pPr>
      <w:r>
        <w:t>11.1 What the deliverable matches</w:t>
      </w:r>
    </w:p>
    <w:p>
      <w:pPr>
        <w:pStyle w:val="ListBullet"/>
      </w:pPr>
      <w:r>
        <w:rPr>
          <w:b/>
        </w:rPr>
        <w:t>All six high-level project requirements</w:t>
      </w:r>
      <w:r>
        <w:t xml:space="preserve"> of </w:t>
      </w:r>
      <w:r>
        <w:rPr>
          <w:rFonts w:ascii="Consolas" w:hAnsi="Consolas"/>
          <w:color w:val="3366CC"/>
          <w:sz w:val="20"/>
        </w:rPr>
        <w:t>Project_HIDE3.pdf</w:t>
      </w:r>
      <w:r>
        <w:t xml:space="preserve"> §1</w:t>
      </w:r>
    </w:p>
    <w:p>
      <w:r>
        <w:t>(metrics, clustering, expertise &amp; collaboration identification, structured DB storage, web dashboard, MAS architecture).</w:t>
      </w:r>
    </w:p>
    <w:p>
      <w:pPr>
        <w:pStyle w:val="ListBullet"/>
      </w:pPr>
      <w:r>
        <w:rPr>
          <w:b/>
        </w:rPr>
        <w:t>All five mandatory learning objectives</w:t>
      </w:r>
      <w:r>
        <w:t xml:space="preserve"> of §2 (MAS, game theory,</w:t>
      </w:r>
    </w:p>
    <w:p>
      <w:r>
        <w:t>AI clustering, DB schema, web dashboard). The optional LLM objective is the only one omitted.</w:t>
      </w:r>
    </w:p>
    <w:p>
      <w:pPr>
        <w:pStyle w:val="ListBullet"/>
      </w:pPr>
      <w:r>
        <w:rPr>
          <w:b/>
        </w:rPr>
        <w:t>Seven of the nine named agents</w:t>
      </w:r>
      <w:r>
        <w:t xml:space="preserve"> of §3 are implemented as proper</w:t>
      </w:r>
    </w:p>
    <w:p>
      <w:r>
        <w:rPr>
          <w:rFonts w:ascii="Consolas" w:hAnsi="Consolas"/>
          <w:color w:val="3366CC"/>
          <w:sz w:val="20"/>
        </w:rPr>
        <w:t>mesa.Agent</w:t>
      </w:r>
      <w:r>
        <w:t xml:space="preserve"> subclasses: </w:t>
      </w:r>
      <w:r>
        <w:rPr>
          <w:rFonts w:ascii="Consolas" w:hAnsi="Consolas"/>
          <w:color w:val="3366CC"/>
          <w:sz w:val="20"/>
        </w:rPr>
        <w:t>AgentCoordinator</w:t>
      </w:r>
      <w:r>
        <w:t xml:space="preserve">, </w:t>
      </w:r>
      <w:r>
        <w:rPr>
          <w:rFonts w:ascii="Consolas" w:hAnsi="Consolas"/>
          <w:color w:val="3366CC"/>
          <w:sz w:val="20"/>
        </w:rPr>
        <w:t>AgentResearcherScraper</w:t>
      </w:r>
      <w:r>
        <w:t xml:space="preserve">, </w:t>
      </w:r>
      <w:r>
        <w:rPr>
          <w:rFonts w:ascii="Consolas" w:hAnsi="Consolas"/>
          <w:color w:val="3366CC"/>
          <w:sz w:val="20"/>
        </w:rPr>
        <w:t>AgentPublicationScraper</w:t>
      </w:r>
      <w:r>
        <w:t xml:space="preserve">, </w:t>
      </w:r>
      <w:r>
        <w:rPr>
          <w:rFonts w:ascii="Consolas" w:hAnsi="Consolas"/>
          <w:color w:val="3366CC"/>
          <w:sz w:val="20"/>
        </w:rPr>
        <w:t>AgentLabScraper</w:t>
      </w:r>
      <w:r>
        <w:t xml:space="preserve">, </w:t>
      </w:r>
      <w:r>
        <w:rPr>
          <w:rFonts w:ascii="Consolas" w:hAnsi="Consolas"/>
          <w:color w:val="3366CC"/>
          <w:sz w:val="20"/>
        </w:rPr>
        <w:t>AgentCluster</w:t>
      </w:r>
      <w:r>
        <w:t xml:space="preserve">, </w:t>
      </w:r>
      <w:r>
        <w:rPr>
          <w:rFonts w:ascii="Consolas" w:hAnsi="Consolas"/>
          <w:color w:val="3366CC"/>
          <w:sz w:val="20"/>
        </w:rPr>
        <w:t>AgentExpertiseMatcher</w:t>
      </w:r>
      <w:r>
        <w:t xml:space="preserve">, </w:t>
      </w:r>
      <w:r>
        <w:rPr>
          <w:rFonts w:ascii="Consolas" w:hAnsi="Consolas"/>
          <w:color w:val="3366CC"/>
          <w:sz w:val="20"/>
        </w:rPr>
        <w:t>AgentCollabAdvisor</w:t>
      </w:r>
      <w:r>
        <w:t xml:space="preserve">, </w:t>
      </w:r>
      <w:r>
        <w:rPr>
          <w:rFonts w:ascii="Consolas" w:hAnsi="Consolas"/>
          <w:color w:val="3366CC"/>
          <w:sz w:val="20"/>
        </w:rPr>
        <w:t>AgentNegotiator</w:t>
      </w:r>
      <w:r>
        <w:t xml:space="preserve"> (eight if the coordinator is counted alongside the others).</w:t>
      </w:r>
    </w:p>
    <w:p>
      <w:pPr>
        <w:pStyle w:val="ListBullet"/>
      </w:pPr>
      <w:r>
        <w:rPr>
          <w:b/>
        </w:rPr>
        <w:t>All five spec tables</w:t>
      </w:r>
      <w:r>
        <w:t xml:space="preserve"> of §4 are implemented as a </w:t>
      </w:r>
      <w:r>
        <w:rPr>
          <w:i/>
        </w:rPr>
        <w:t>superset</w:t>
      </w:r>
      <w:r>
        <w:t xml:space="preserve"> with</w:t>
      </w:r>
    </w:p>
    <w:p>
      <w:r>
        <w:t>proper normalisation, FKs and indexes.</w:t>
      </w:r>
    </w:p>
    <w:p>
      <w:pPr>
        <w:pStyle w:val="ListBullet"/>
      </w:pPr>
      <w:r>
        <w:rPr>
          <w:b/>
        </w:rPr>
        <w:t>All five expected deliverables</w:t>
      </w:r>
      <w:r>
        <w:t xml:space="preserve"> of §6 are produced (functional MAS;</w:t>
      </w:r>
    </w:p>
    <w:p>
      <w:r>
        <w:t>database with seed data; web dashboard; this report; the presentation deck is delivered alongside).</w:t>
      </w:r>
    </w:p>
    <w:p>
      <w:pPr>
        <w:pStyle w:val="Heading3"/>
      </w:pPr>
      <w:r>
        <w:t>11.2 What diverges from a strict reading of the spec</w:t>
      </w:r>
    </w:p>
    <w:p>
      <w:pPr>
        <w:pStyle w:val="ListBullet"/>
      </w:pPr>
      <w:r>
        <w:rPr>
          <w:b/>
        </w:rPr>
        <w:t>Observer agents do not perform live web scraping.</w:t>
      </w:r>
      <w:r>
        <w:t xml:space="preserve"> The spec lists</w:t>
      </w:r>
    </w:p>
    <w:p>
      <w:r>
        <w:t xml:space="preserve">BeautifulSoup / Selenium / Requests in §5 and frames the observer agents as scrapers of </w:t>
      </w:r>
      <w:r>
        <w:rPr>
          <w:i/>
        </w:rPr>
        <w:t>"academic profiles, publication databases, and laboratory websites"</w:t>
      </w:r>
      <w:r>
        <w:t xml:space="preserve">. We chose to seed the three tables with Faker and have the observer agents </w:t>
      </w:r>
      <w:r>
        <w:rPr>
          <w:i/>
        </w:rPr>
        <w:t>read</w:t>
      </w:r>
      <w:r>
        <w:t xml:space="preserve"> from SQLite, so that the project is reproducible offline and demo-friendly. The observer interface (counts published to the bus + log line) is identical to what a live scraper would expose, so swapping the data source is a localised change.</w:t>
      </w:r>
    </w:p>
    <w:p>
      <w:pPr>
        <w:pStyle w:val="ListBullet"/>
      </w:pPr>
      <w:r>
        <w:rPr>
          <w:b/>
        </w:rPr>
        <w:t>`AgentDashboardInterface` is implemented as a Flask + React layer</w:t>
      </w:r>
    </w:p>
    <w:p>
      <w:r>
        <w:t xml:space="preserve">rather than as a step-driven Mesa agent. The functional contract of the spec ("provide a visualization and interaction layer") is satisfied; a strict reading would expect a </w:t>
      </w:r>
      <w:r>
        <w:rPr>
          <w:rFonts w:ascii="Consolas" w:hAnsi="Consolas"/>
          <w:color w:val="3366CC"/>
          <w:sz w:val="20"/>
        </w:rPr>
        <w:t>step()</w:t>
      </w:r>
      <w:r>
        <w:t>-driven agent. See §12.</w:t>
      </w:r>
    </w:p>
    <w:p>
      <w:pPr>
        <w:pStyle w:val="ListBullet"/>
      </w:pPr>
      <w:r>
        <w:rPr>
          <w:b/>
        </w:rPr>
        <w:t>The optional LLM extension is not implemented.</w:t>
      </w:r>
      <w:r>
        <w:t xml:space="preserve"> This is explicitly</w:t>
      </w:r>
    </w:p>
    <w:p>
      <w:r>
        <w:t>marked optional in the spec.</w:t>
      </w:r>
    </w:p>
    <w:p>
      <w:pPr>
        <w:pStyle w:val="Heading3"/>
      </w:pPr>
      <w:r>
        <w:t>11.3 What goes beyond the spec</w:t>
      </w:r>
    </w:p>
    <w:p>
      <w:pPr>
        <w:pStyle w:val="ListBullet"/>
      </w:pPr>
      <w:r>
        <w:t xml:space="preserve">Partial-pipeline reruns — the four </w:t>
      </w:r>
      <w:r>
        <w:rPr>
          <w:rFonts w:ascii="Consolas" w:hAnsi="Consolas"/>
          <w:color w:val="3366CC"/>
          <w:sz w:val="20"/>
        </w:rPr>
        <w:t>POST /api/recluster</w:t>
      </w:r>
      <w:r>
        <w:t>,</w:t>
      </w:r>
    </w:p>
    <w:p>
      <w:r>
        <w:rPr>
          <w:rFonts w:ascii="Consolas" w:hAnsi="Consolas"/>
          <w:color w:val="3366CC"/>
          <w:sz w:val="20"/>
        </w:rPr>
        <w:t>/api/recommendations</w:t>
      </w:r>
      <w:r>
        <w:t xml:space="preserve">, </w:t>
      </w:r>
      <w:r>
        <w:rPr>
          <w:rFonts w:ascii="Consolas" w:hAnsi="Consolas"/>
          <w:color w:val="3366CC"/>
          <w:sz w:val="20"/>
        </w:rPr>
        <w:t>/api/advisor</w:t>
      </w:r>
      <w:r>
        <w:t xml:space="preserve">, </w:t>
      </w:r>
      <w:r>
        <w:rPr>
          <w:rFonts w:ascii="Consolas" w:hAnsi="Consolas"/>
          <w:color w:val="3366CC"/>
          <w:sz w:val="20"/>
        </w:rPr>
        <w:t>/api/collaborations/accept_pending</w:t>
      </w:r>
      <w:r>
        <w:t xml:space="preserve"> endpoints, and an </w:t>
      </w:r>
      <w:r>
        <w:rPr>
          <w:rFonts w:ascii="Consolas" w:hAnsi="Consolas"/>
          <w:color w:val="3366CC"/>
          <w:sz w:val="20"/>
        </w:rPr>
        <w:t>/api/reseed</w:t>
      </w:r>
      <w:r>
        <w:t xml:space="preserve"> endpoint.</w:t>
      </w:r>
    </w:p>
    <w:p>
      <w:pPr>
        <w:pStyle w:val="ListBullet"/>
      </w:pPr>
      <w:r>
        <w:t xml:space="preserve">A live log viewer that parses </w:t>
      </w:r>
      <w:r>
        <w:rPr>
          <w:rFonts w:ascii="Consolas" w:hAnsi="Consolas"/>
          <w:color w:val="3366CC"/>
          <w:sz w:val="20"/>
        </w:rPr>
        <w:t>logs/mas.log</w:t>
      </w:r>
      <w:r>
        <w:t xml:space="preserve"> and an Alerts modal that</w:t>
      </w:r>
    </w:p>
    <w:p>
      <w:r>
        <w:t>surfaces errored / idle agents.</w:t>
      </w:r>
    </w:p>
    <w:p>
      <w:pPr>
        <w:pStyle w:val="ListBullet"/>
      </w:pPr>
      <w:r>
        <w:t>CSV / log downloads, search, real pagination, real top-3 cluster areas</w:t>
      </w:r>
    </w:p>
    <w:p>
      <w:r>
        <w:t xml:space="preserve">(not synthetic), themable UI through the </w:t>
      </w:r>
      <w:r>
        <w:rPr>
          <w:i/>
        </w:rPr>
        <w:t>Settings</w:t>
      </w:r>
      <w:r>
        <w:t xml:space="preserve"> modal.</w:t>
      </w:r>
    </w:p>
    <w:p>
      <w:pPr>
        <w:pStyle w:val="ListBullet"/>
      </w:pPr>
      <w:r>
        <w:t>An eighth agent card (</w:t>
      </w:r>
      <w:r>
        <w:rPr>
          <w:rFonts w:ascii="Consolas" w:hAnsi="Consolas"/>
          <w:color w:val="3366CC"/>
          <w:sz w:val="20"/>
        </w:rPr>
        <w:t>AgentCollabAdvisor</w:t>
      </w:r>
      <w:r>
        <w:t>) that animates from real log</w:t>
      </w:r>
    </w:p>
    <w:p>
      <w:r>
        <w:t>data, rather than the inert placeholder it would otherwise be.</w:t>
      </w:r>
    </w:p>
    <w:p>
      <w:r>
        <w:t>────────────────────────────────────────────────────────────</w:t>
      </w:r>
    </w:p>
    <w:p>
      <w:pPr>
        <w:pStyle w:val="Heading2"/>
      </w:pPr>
      <w:r>
        <w:t>12. Limitations and future work</w:t>
      </w:r>
    </w:p>
    <w:p>
      <w:r>
        <w:t xml:space="preserve">The shortest path to fully closing the gap with </w:t>
      </w:r>
      <w:r>
        <w:rPr>
          <w:rFonts w:ascii="Consolas" w:hAnsi="Consolas"/>
          <w:color w:val="3366CC"/>
          <w:sz w:val="20"/>
        </w:rPr>
        <w:t>Project_HIDE3.pdf</w:t>
      </w:r>
      <w:r>
        <w:t xml:space="preserve"> is:</w:t>
      </w:r>
    </w:p>
    <w:p>
      <w:pPr>
        <w:pStyle w:val="ListNumber"/>
      </w:pPr>
      <w:r>
        <w:rPr>
          <w:b/>
        </w:rPr>
        <w:t>Wire real scraping.</w:t>
      </w:r>
      <w:r>
        <w:t xml:space="preserve"> Replace the read-from-DB body of the three</w:t>
      </w:r>
    </w:p>
    <w:p>
      <w:r>
        <w:t xml:space="preserve">observer agents with </w:t>
      </w:r>
      <w:r>
        <w:rPr>
          <w:rFonts w:ascii="Consolas" w:hAnsi="Consolas"/>
          <w:color w:val="3366CC"/>
          <w:sz w:val="20"/>
        </w:rPr>
        <w:t>requests</w:t>
      </w:r>
      <w:r>
        <w:t xml:space="preserve"> + </w:t>
      </w:r>
      <w:r>
        <w:rPr>
          <w:rFonts w:ascii="Consolas" w:hAnsi="Consolas"/>
          <w:color w:val="3366CC"/>
          <w:sz w:val="20"/>
        </w:rPr>
        <w:t>BeautifulSoup</w:t>
      </w:r>
      <w:r>
        <w:t xml:space="preserve"> against (or fixtures of) Google Scholar / DBLP / lab pages. Persist the results; keep </w:t>
      </w:r>
      <w:r>
        <w:rPr>
          <w:rFonts w:ascii="Consolas" w:hAnsi="Consolas"/>
          <w:color w:val="3366CC"/>
          <w:sz w:val="20"/>
        </w:rPr>
        <w:t>seed.py</w:t>
      </w:r>
      <w:r>
        <w:t xml:space="preserve"> as a fallback for offline grading. This is an isolated change that does not affect downstream agents.</w:t>
      </w:r>
    </w:p>
    <w:p>
      <w:pPr>
        <w:pStyle w:val="ListNumber"/>
      </w:pPr>
      <w:r>
        <w:rPr>
          <w:b/>
        </w:rPr>
        <w:t>Wrap the dashboard as a Mesa agent.</w:t>
      </w:r>
      <w:r>
        <w:t xml:space="preserve"> </w:t>
      </w:r>
      <w:r>
        <w:rPr>
          <w:rFonts w:ascii="Consolas" w:hAnsi="Consolas"/>
          <w:color w:val="3366CC"/>
          <w:sz w:val="20"/>
        </w:rPr>
        <w:t>AgentDashboardInterface</w:t>
      </w:r>
    </w:p>
    <w:p>
      <w:r>
        <w:t xml:space="preserve">could be a Mesa </w:t>
      </w:r>
      <w:r>
        <w:rPr>
          <w:rFonts w:ascii="Consolas" w:hAnsi="Consolas"/>
          <w:color w:val="3366CC"/>
          <w:sz w:val="20"/>
        </w:rPr>
        <w:t>Agent</w:t>
      </w:r>
      <w:r>
        <w:t xml:space="preserve"> whose </w:t>
      </w:r>
      <w:r>
        <w:rPr>
          <w:rFonts w:ascii="Consolas" w:hAnsi="Consolas"/>
          <w:color w:val="3366CC"/>
          <w:sz w:val="20"/>
        </w:rPr>
        <w:t>step()</w:t>
      </w:r>
      <w:r>
        <w:t xml:space="preserve"> simply refreshes a server-side cache or pings a websocket. This is mostly cosmetic but aligns with the spec's vocabulary.</w:t>
      </w:r>
    </w:p>
    <w:p>
      <w:pPr>
        <w:pStyle w:val="ListNumber"/>
      </w:pPr>
      <w:r>
        <w:rPr>
          <w:b/>
        </w:rPr>
        <w:t>Add the optional LLM extension.</w:t>
      </w:r>
      <w:r>
        <w:t xml:space="preserve"> Embed publication abstracts with</w:t>
      </w:r>
    </w:p>
    <w:p>
      <w:r>
        <w:t xml:space="preserve">a </w:t>
      </w:r>
      <w:r>
        <w:rPr>
          <w:rFonts w:ascii="Consolas" w:hAnsi="Consolas"/>
          <w:color w:val="3366CC"/>
          <w:sz w:val="20"/>
        </w:rPr>
        <w:t>sentence-transformers</w:t>
      </w:r>
      <w:r>
        <w:t xml:space="preserve"> model and re-rank the matcher's candidate pairs accordingly, then expose the new ranking on the dashboard.</w:t>
      </w:r>
    </w:p>
    <w:p>
      <w:pPr>
        <w:pStyle w:val="ListNumber"/>
      </w:pPr>
      <w:r>
        <w:rPr>
          <w:b/>
        </w:rPr>
        <w:t>Enrich the `AgentCluster` features.</w:t>
      </w:r>
      <w:r>
        <w:t xml:space="preserve"> The current 18-dimensional</w:t>
      </w:r>
    </w:p>
    <w:p>
      <w:r>
        <w:t>feature vector is dominated by raw bibliometrics; mixing in the TF-IDF embedding of the expertise field would likely lift the silhouette score noticeably.</w:t>
      </w:r>
    </w:p>
    <w:p>
      <w:pPr>
        <w:pStyle w:val="ListNumber"/>
      </w:pPr>
      <w:r>
        <w:rPr>
          <w:b/>
        </w:rPr>
        <w:t>Persist a history of cycles</w:t>
      </w:r>
      <w:r>
        <w:t xml:space="preserve"> so that the dashboard's KPI cards can</w:t>
      </w:r>
    </w:p>
    <w:p>
      <w:r>
        <w:t xml:space="preserve">show a real </w:t>
      </w:r>
      <w:r>
        <w:rPr>
          <w:i/>
        </w:rPr>
        <w:t>delta</w:t>
      </w:r>
      <w:r>
        <w:t xml:space="preserve"> against the previous run, instead of static placeholder deltas.</w:t>
      </w:r>
    </w:p>
    <w:p>
      <w:r>
        <w:t>────────────────────────────────────────────────────────────</w:t>
      </w:r>
    </w:p>
    <w:p>
      <w:pPr>
        <w:pStyle w:val="Heading2"/>
      </w:pPr>
      <w:r>
        <w:t>13. Conclusion</w:t>
      </w:r>
    </w:p>
    <w:p>
      <w:r>
        <w:t xml:space="preserve">We have delivered a functional Multi-Agent System that satisfies the six high-level requirements and all five mandatory learning objectives of </w:t>
      </w:r>
      <w:r>
        <w:rPr>
          <w:rFonts w:ascii="Consolas" w:hAnsi="Consolas"/>
          <w:color w:val="3366CC"/>
          <w:sz w:val="20"/>
        </w:rPr>
        <w:t>Project_HIDE3.pdf</w:t>
      </w:r>
      <w:r>
        <w:t>. Seven of the nine agents specified in §3 are implemented as Mesa agents, the remaining two (the dashboard interface and the optional LLM agent) are addressed at the layer level or explicitly deferred. The system reaches a defensible accept / reject decision on every collaboration through a bilateral game-theoretic negotiator, exposes the result through a live, dark, mission-control dashboard, and ships with an end-to-end seed pipeline that lets the work be evaluated offline in a few seconds. The remaining gap with a strict reading of the spec — live web scraping, dashboard-as-an-agent, optional LLM — is small, scoped, and documented in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