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2A44"/>
          <w:spacing w:val="20"/>
          <w:sz w:val="72"/>
          <w:szCs w:val="72"/>
        </w:rPr>
        <w:t xml:space="preserve">UNIKLY</w:t>
      </w:r>
    </w:p>
    <w:p>
      <w:pPr>
        <w:spacing w:after="40" w:before="120"/>
        <w:jc w:val="center"/>
      </w:pPr>
      <w:r>
        <w:rPr>
          <w:b/>
          <w:bCs/>
          <w:color w:val="2E6F6E"/>
          <w:sz w:val="32"/>
          <w:szCs w:val="32"/>
        </w:rPr>
        <w:t xml:space="preserve">Software Requirements Specification</w:t>
      </w:r>
    </w:p>
    <w:p>
      <w:pPr>
        <w:spacing w:after="800"/>
        <w:jc w:val="center"/>
      </w:pPr>
      <w:r>
        <w:rPr>
          <w:i/>
          <w:iCs/>
          <w:color w:val="5B6470"/>
          <w:sz w:val="24"/>
          <w:szCs w:val="24"/>
        </w:rPr>
        <w:t xml:space="preserve">AI-Assisted Freelance Services Marketplace</w:t>
      </w:r>
    </w:p>
    <w:p>
      <w:pPr>
        <w:spacing w:after="40"/>
        <w:jc w:val="center"/>
      </w:pPr>
      <w:r>
        <w:rPr>
          <w:b/>
          <w:bCs/>
          <w:sz w:val="22"/>
          <w:szCs w:val="22"/>
        </w:rPr>
        <w:t xml:space="preserve">Document Version 2.0</w:t>
      </w:r>
    </w:p>
    <w:p>
      <w:pPr>
        <w:spacing w:after="40"/>
        <w:jc w:val="center"/>
      </w:pPr>
      <w:r>
        <w:rPr>
          <w:sz w:val="22"/>
          <w:szCs w:val="22"/>
        </w:rPr>
        <w:t xml:space="preserve">August 2026</w:t>
      </w:r>
    </w:p>
    <w:p>
      <w:pPr>
        <w:spacing w:after="40"/>
        <w:jc w:val="center"/>
      </w:pPr>
      <w:r>
        <w:rPr>
          <w:color w:val="2E6F6E"/>
          <w:sz w:val="22"/>
          <w:szCs w:val="22"/>
        </w:rPr>
        <w:t xml:space="preserve">Status: Approved for Phase 1 development</w:t>
      </w:r>
    </w:p>
    <w:p>
      <w:pPr>
        <w:spacing w:before="1000"/>
        <w:jc w:val="center"/>
      </w:pPr>
      <w:r>
        <w:rPr>
          <w:sz w:val="21"/>
          <w:szCs w:val="21"/>
        </w:rPr>
        <w:t xml:space="preserve">Prepared by Aboubakar Garba Faouzi</w:t>
      </w:r>
    </w:p>
    <w:p>
      <w:pPr>
        <w:spacing w:after="40"/>
        <w:jc w:val="center"/>
      </w:pPr>
      <w:r>
        <w:rPr>
          <w:color w:val="5B6470"/>
          <w:sz w:val="21"/>
          <w:szCs w:val="21"/>
        </w:rPr>
        <w:t xml:space="preserve">Project Owner, Product Lead &amp; Software Architect</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Document Control</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200"/>
        <w:gridCol w:w="4926"/>
      </w:tblGrid>
      <w:tr>
        <w:trPr>
          <w:tblHeader/>
        </w:trPr>
        <w:tc>
          <w:tcPr>
            <w:tcW w:type="dxa" w:w="1100"/>
            <w:shd w:fill="1F2A44" w:val="clear"/>
            <w:tcMar>
              <w:top w:type="dxa" w:w="90"/>
              <w:left w:type="dxa" w:w="110"/>
              <w:bottom w:type="dxa" w:w="90"/>
              <w:right w:type="dxa" w:w="110"/>
            </w:tcMar>
            <w:vAlign w:val="center"/>
          </w:tcPr>
          <w:p>
            <w:r>
              <w:rPr>
                <w:b/>
                <w:bCs/>
                <w:color w:val="FFFFFF"/>
                <w:sz w:val="19"/>
                <w:szCs w:val="19"/>
              </w:rPr>
              <w:t xml:space="preserve">Version</w:t>
            </w:r>
          </w:p>
        </w:tc>
        <w:tc>
          <w:tcPr>
            <w:tcW w:type="dxa" w:w="1400"/>
            <w:shd w:fill="1F2A44" w:val="clear"/>
            <w:tcMar>
              <w:top w:type="dxa" w:w="90"/>
              <w:left w:type="dxa" w:w="110"/>
              <w:bottom w:type="dxa" w:w="90"/>
              <w:right w:type="dxa" w:w="110"/>
            </w:tcMar>
            <w:vAlign w:val="center"/>
          </w:tcPr>
          <w:p>
            <w:r>
              <w:rPr>
                <w:b/>
                <w:bCs/>
                <w:color w:val="FFFFFF"/>
                <w:sz w:val="19"/>
                <w:szCs w:val="19"/>
              </w:rPr>
              <w:t xml:space="preserve">Date</w:t>
            </w:r>
          </w:p>
        </w:tc>
        <w:tc>
          <w:tcPr>
            <w:tcW w:type="dxa" w:w="2200"/>
            <w:shd w:fill="1F2A44" w:val="clear"/>
            <w:tcMar>
              <w:top w:type="dxa" w:w="90"/>
              <w:left w:type="dxa" w:w="110"/>
              <w:bottom w:type="dxa" w:w="90"/>
              <w:right w:type="dxa" w:w="110"/>
            </w:tcMar>
            <w:vAlign w:val="center"/>
          </w:tcPr>
          <w:p>
            <w:r>
              <w:rPr>
                <w:b/>
                <w:bCs/>
                <w:color w:val="FFFFFF"/>
                <w:sz w:val="19"/>
                <w:szCs w:val="19"/>
              </w:rPr>
              <w:t xml:space="preserve">Author</w:t>
            </w:r>
          </w:p>
        </w:tc>
        <w:tc>
          <w:tcPr>
            <w:tcW w:type="dxa" w:w="4926"/>
            <w:shd w:fill="1F2A44" w:val="clear"/>
            <w:tcMar>
              <w:top w:type="dxa" w:w="90"/>
              <w:left w:type="dxa" w:w="110"/>
              <w:bottom w:type="dxa" w:w="90"/>
              <w:right w:type="dxa" w:w="110"/>
            </w:tcMar>
            <w:vAlign w:val="center"/>
          </w:tcPr>
          <w:p>
            <w:r>
              <w:rPr>
                <w:b/>
                <w:bCs/>
                <w:color w:val="FFFFFF"/>
                <w:sz w:val="19"/>
                <w:szCs w:val="19"/>
              </w:rPr>
              <w:t xml:space="preserve">Summary of Changes</w:t>
            </w:r>
          </w:p>
        </w:tc>
      </w:tr>
      <w:tr>
        <w:tc>
          <w:tcPr>
            <w:tcW w:type="dxa" w:w="1100"/>
            <w:tcMar>
              <w:top w:type="dxa" w:w="70"/>
              <w:left w:type="dxa" w:w="110"/>
              <w:bottom w:type="dxa" w:w="70"/>
              <w:right w:type="dxa" w:w="110"/>
            </w:tcMar>
            <w:vAlign w:val="center"/>
          </w:tcPr>
          <w:p>
            <w:r>
              <w:rPr>
                <w:sz w:val="19"/>
                <w:szCs w:val="19"/>
              </w:rPr>
              <w:t xml:space="preserve">0.1</w:t>
            </w:r>
          </w:p>
        </w:tc>
        <w:tc>
          <w:tcPr>
            <w:tcW w:type="dxa" w:w="1400"/>
            <w:tcMar>
              <w:top w:type="dxa" w:w="70"/>
              <w:left w:type="dxa" w:w="110"/>
              <w:bottom w:type="dxa" w:w="70"/>
              <w:right w:type="dxa" w:w="110"/>
            </w:tcMar>
            <w:vAlign w:val="center"/>
          </w:tcPr>
          <w:p>
            <w:r>
              <w:rPr>
                <w:sz w:val="19"/>
                <w:szCs w:val="19"/>
              </w:rPr>
              <w:t xml:space="preserve">Original draft</w:t>
            </w:r>
          </w:p>
        </w:tc>
        <w:tc>
          <w:tcPr>
            <w:tcW w:type="dxa" w:w="2200"/>
            <w:tcMar>
              <w:top w:type="dxa" w:w="70"/>
              <w:left w:type="dxa" w:w="110"/>
              <w:bottom w:type="dxa" w:w="70"/>
              <w:right w:type="dxa" w:w="110"/>
            </w:tcMar>
            <w:vAlign w:val="center"/>
          </w:tcPr>
          <w:p>
            <w:r>
              <w:rPr>
                <w:sz w:val="19"/>
                <w:szCs w:val="19"/>
              </w:rPr>
              <w:t xml:space="preserve">A. G. Faouzi</w:t>
            </w:r>
          </w:p>
        </w:tc>
        <w:tc>
          <w:tcPr>
            <w:tcW w:type="dxa" w:w="4926"/>
            <w:tcMar>
              <w:top w:type="dxa" w:w="70"/>
              <w:left w:type="dxa" w:w="110"/>
              <w:bottom w:type="dxa" w:w="70"/>
              <w:right w:type="dxa" w:w="110"/>
            </w:tcMar>
            <w:vAlign w:val="center"/>
          </w:tcPr>
          <w:p>
            <w:r>
              <w:rPr>
                <w:sz w:val="19"/>
                <w:szCs w:val="19"/>
              </w:rPr>
              <w:t xml:space="preserve">Initial concept: general-purpose e-commerce storefront (Django/Angular/Postgres).</w:t>
            </w:r>
          </w:p>
        </w:tc>
      </w:tr>
      <w:tr>
        <w:tc>
          <w:tcPr>
            <w:tcW w:type="dxa" w:w="1100"/>
            <w:shd w:fill="F2F4F6" w:val="clear"/>
            <w:tcMar>
              <w:top w:type="dxa" w:w="70"/>
              <w:left w:type="dxa" w:w="110"/>
              <w:bottom w:type="dxa" w:w="70"/>
              <w:right w:type="dxa" w:w="110"/>
            </w:tcMar>
            <w:vAlign w:val="center"/>
          </w:tcPr>
          <w:p>
            <w:r>
              <w:rPr>
                <w:sz w:val="19"/>
                <w:szCs w:val="19"/>
              </w:rPr>
              <w:t xml:space="preserve">2.0</w:t>
            </w:r>
          </w:p>
        </w:tc>
        <w:tc>
          <w:tcPr>
            <w:tcW w:type="dxa" w:w="1400"/>
            <w:shd w:fill="F2F4F6" w:val="clear"/>
            <w:tcMar>
              <w:top w:type="dxa" w:w="70"/>
              <w:left w:type="dxa" w:w="110"/>
              <w:bottom w:type="dxa" w:w="70"/>
              <w:right w:type="dxa" w:w="110"/>
            </w:tcMar>
            <w:vAlign w:val="center"/>
          </w:tcPr>
          <w:p>
            <w:r>
              <w:rPr>
                <w:sz w:val="19"/>
                <w:szCs w:val="19"/>
              </w:rPr>
              <w:t xml:space="preserve">August 2026</w:t>
            </w:r>
          </w:p>
        </w:tc>
        <w:tc>
          <w:tcPr>
            <w:tcW w:type="dxa" w:w="2200"/>
            <w:shd w:fill="F2F4F6" w:val="clear"/>
            <w:tcMar>
              <w:top w:type="dxa" w:w="70"/>
              <w:left w:type="dxa" w:w="110"/>
              <w:bottom w:type="dxa" w:w="70"/>
              <w:right w:type="dxa" w:w="110"/>
            </w:tcMar>
            <w:vAlign w:val="center"/>
          </w:tcPr>
          <w:p>
            <w:r>
              <w:rPr>
                <w:sz w:val="19"/>
                <w:szCs w:val="19"/>
              </w:rPr>
              <w:t xml:space="preserve">A. G. Faouzi</w:t>
            </w:r>
          </w:p>
        </w:tc>
        <w:tc>
          <w:tcPr>
            <w:tcW w:type="dxa" w:w="4926"/>
            <w:shd w:fill="F2F4F6" w:val="clear"/>
            <w:tcMar>
              <w:top w:type="dxa" w:w="70"/>
              <w:left w:type="dxa" w:w="110"/>
              <w:bottom w:type="dxa" w:w="70"/>
              <w:right w:type="dxa" w:w="110"/>
            </w:tcMar>
            <w:vAlign w:val="center"/>
          </w:tcPr>
          <w:p>
            <w:r>
              <w:rPr>
                <w:sz w:val="19"/>
                <w:szCs w:val="19"/>
              </w:rPr>
              <w:t xml:space="preserve">Full revision. Pivoted product concept from physical-goods e-commerce to an AI-assisted freelance services marketplace; realigned technology stack to Java/Spring Boot microservices; introduced a phased, incremental delivery roadmap (Section 2.2); rewrote all functional and non-functional requirements against the new scope.</w:t>
            </w:r>
          </w:p>
        </w:tc>
      </w:tr>
    </w:tbl>
    <w:p>
      <w:pPr>
        <w:spacing w:after="100"/>
      </w:pPr>
    </w:p>
    <w:p>
      <w:pPr>
        <w:spacing w:after="200" w:before="80"/>
      </w:pPr>
      <w:r>
        <w:rPr>
          <w:i/>
          <w:iCs/>
          <w:color w:val="5B6470"/>
          <w:sz w:val="19"/>
          <w:szCs w:val="19"/>
        </w:rPr>
        <w:t xml:space="preserve">This revision supersedes v0.1 in full. It is a living document — requirements will be refined as each phase begins and real user feedback becomes available, but the phase boundaries and architecture direction below should not be renegotiated mid-phase.</w:t>
      </w:r>
    </w:p>
    <w:p>
      <w:r>
        <w:br w:type="page"/>
      </w:r>
    </w:p>
    <w:p>
      <w:pPr>
        <w:pStyle w:val="Heading1"/>
        <w:spacing w:after="160" w:before="360"/>
      </w:pPr>
      <w:r>
        <w:t xml:space="preserve">Table of Contents</w:t>
      </w:r>
    </w:p>
    <w:p>
      <w:pPr>
        <w:tabs>
          <w:tab w:val="right" w:pos="9026" w:leader="dot"/>
        </w:tabs>
        <w:spacing w:after="140"/>
      </w:pPr>
      <w:r>
        <w:rPr>
          <w:b/>
          <w:bCs/>
          <w:color w:val="1F2A44"/>
          <w:sz w:val="21"/>
          <w:szCs w:val="21"/>
        </w:rPr>
        <w:t xml:space="preserve">Document Control</w:t>
      </w:r>
      <w:r>
        <w:rPr>
          <w:color w:val="1F2A44"/>
          <w:sz w:val="21"/>
          <w:szCs w:val="21"/>
        </w:rPr>
        <w:t xml:space="preserve">	2</w:t>
      </w:r>
    </w:p>
    <w:p>
      <w:pPr>
        <w:tabs>
          <w:tab w:val="right" w:pos="9026" w:leader="dot"/>
        </w:tabs>
        <w:spacing w:after="140"/>
      </w:pPr>
      <w:r>
        <w:rPr>
          <w:b/>
          <w:bCs/>
          <w:color w:val="1F2A44"/>
          <w:sz w:val="21"/>
          <w:szCs w:val="21"/>
        </w:rPr>
        <w:t xml:space="preserve">1. Introduction</w:t>
      </w:r>
      <w:r>
        <w:rPr>
          <w:color w:val="1F2A44"/>
          <w:sz w:val="21"/>
          <w:szCs w:val="21"/>
        </w:rPr>
        <w:t xml:space="preserve">	4</w:t>
      </w:r>
    </w:p>
    <w:p>
      <w:pPr>
        <w:tabs>
          <w:tab w:val="right" w:pos="9026" w:leader="dot"/>
        </w:tabs>
        <w:spacing w:after="140"/>
      </w:pPr>
      <w:r>
        <w:rPr>
          <w:b/>
          <w:bCs/>
          <w:color w:val="1F2A44"/>
          <w:sz w:val="21"/>
          <w:szCs w:val="21"/>
        </w:rPr>
        <w:t xml:space="preserve">2. Scope</w:t>
      </w:r>
      <w:r>
        <w:rPr>
          <w:color w:val="1F2A44"/>
          <w:sz w:val="21"/>
          <w:szCs w:val="21"/>
        </w:rPr>
        <w:t xml:space="preserve">	5</w:t>
      </w:r>
    </w:p>
    <w:p>
      <w:pPr>
        <w:tabs>
          <w:tab w:val="right" w:pos="9026" w:leader="dot"/>
        </w:tabs>
        <w:spacing w:after="140"/>
      </w:pPr>
      <w:r>
        <w:rPr>
          <w:b/>
          <w:bCs/>
          <w:color w:val="1F2A44"/>
          <w:sz w:val="21"/>
          <w:szCs w:val="21"/>
        </w:rPr>
        <w:t xml:space="preserve">3. Overall Description</w:t>
      </w:r>
      <w:r>
        <w:rPr>
          <w:color w:val="1F2A44"/>
          <w:sz w:val="21"/>
          <w:szCs w:val="21"/>
        </w:rPr>
        <w:t xml:space="preserve">	6</w:t>
      </w:r>
    </w:p>
    <w:p>
      <w:pPr>
        <w:tabs>
          <w:tab w:val="right" w:pos="9026" w:leader="dot"/>
        </w:tabs>
        <w:spacing w:after="140"/>
      </w:pPr>
      <w:r>
        <w:rPr>
          <w:b/>
          <w:bCs/>
          <w:color w:val="1F2A44"/>
          <w:sz w:val="21"/>
          <w:szCs w:val="21"/>
        </w:rPr>
        <w:t xml:space="preserve">4. System Architecture Overview</w:t>
      </w:r>
      <w:r>
        <w:rPr>
          <w:color w:val="1F2A44"/>
          <w:sz w:val="21"/>
          <w:szCs w:val="21"/>
        </w:rPr>
        <w:t xml:space="preserve">	7</w:t>
      </w:r>
    </w:p>
    <w:p>
      <w:pPr>
        <w:tabs>
          <w:tab w:val="right" w:pos="9026" w:leader="dot"/>
        </w:tabs>
        <w:spacing w:after="140"/>
      </w:pPr>
      <w:r>
        <w:rPr>
          <w:b/>
          <w:bCs/>
          <w:color w:val="1F2A44"/>
          <w:sz w:val="21"/>
          <w:szCs w:val="21"/>
        </w:rPr>
        <w:t xml:space="preserve">5. User Roles &amp; Permissions</w:t>
      </w:r>
      <w:r>
        <w:rPr>
          <w:color w:val="1F2A44"/>
          <w:sz w:val="21"/>
          <w:szCs w:val="21"/>
        </w:rPr>
        <w:t xml:space="preserve">	8</w:t>
      </w:r>
    </w:p>
    <w:p>
      <w:pPr>
        <w:tabs>
          <w:tab w:val="right" w:pos="9026" w:leader="dot"/>
        </w:tabs>
        <w:spacing w:after="140"/>
      </w:pPr>
      <w:r>
        <w:rPr>
          <w:b/>
          <w:bCs/>
          <w:color w:val="1F2A44"/>
          <w:sz w:val="21"/>
          <w:szCs w:val="21"/>
        </w:rPr>
        <w:t xml:space="preserve">6. Functional Requirements</w:t>
      </w:r>
      <w:r>
        <w:rPr>
          <w:color w:val="1F2A44"/>
          <w:sz w:val="21"/>
          <w:szCs w:val="21"/>
        </w:rPr>
        <w:t xml:space="preserve">	8</w:t>
      </w:r>
    </w:p>
    <w:p>
      <w:pPr>
        <w:tabs>
          <w:tab w:val="right" w:pos="9026" w:leader="dot"/>
        </w:tabs>
        <w:spacing w:after="90"/>
        <w:ind w:left="360"/>
      </w:pPr>
      <w:r>
        <w:rPr>
          <w:b w:val="false"/>
          <w:bCs w:val="false"/>
          <w:color w:val="5B6470"/>
          <w:sz w:val="20"/>
          <w:szCs w:val="20"/>
        </w:rPr>
        <w:t xml:space="preserve">6.1 Identity &amp; Access Management</w:t>
      </w:r>
      <w:r>
        <w:rPr>
          <w:color w:val="5B6470"/>
          <w:sz w:val="20"/>
          <w:szCs w:val="20"/>
        </w:rPr>
        <w:t xml:space="preserve">	8</w:t>
      </w:r>
    </w:p>
    <w:p>
      <w:pPr>
        <w:tabs>
          <w:tab w:val="right" w:pos="9026" w:leader="dot"/>
        </w:tabs>
        <w:spacing w:after="90"/>
        <w:ind w:left="360"/>
      </w:pPr>
      <w:r>
        <w:rPr>
          <w:b w:val="false"/>
          <w:bCs w:val="false"/>
          <w:color w:val="5B6470"/>
          <w:sz w:val="20"/>
          <w:szCs w:val="20"/>
        </w:rPr>
        <w:t xml:space="preserve">6.2 User Profiles &amp; Onboarding</w:t>
      </w:r>
      <w:r>
        <w:rPr>
          <w:color w:val="5B6470"/>
          <w:sz w:val="20"/>
          <w:szCs w:val="20"/>
        </w:rPr>
        <w:t xml:space="preserve">	8</w:t>
      </w:r>
    </w:p>
    <w:p>
      <w:pPr>
        <w:tabs>
          <w:tab w:val="right" w:pos="9026" w:leader="dot"/>
        </w:tabs>
        <w:spacing w:after="90"/>
        <w:ind w:left="360"/>
      </w:pPr>
      <w:r>
        <w:rPr>
          <w:b w:val="false"/>
          <w:bCs w:val="false"/>
          <w:color w:val="5B6470"/>
          <w:sz w:val="20"/>
          <w:szCs w:val="20"/>
        </w:rPr>
        <w:t xml:space="preserve">6.3 Job / Gig Lifecycle Management</w:t>
      </w:r>
      <w:r>
        <w:rPr>
          <w:color w:val="5B6470"/>
          <w:sz w:val="20"/>
          <w:szCs w:val="20"/>
        </w:rPr>
        <w:t xml:space="preserve">	8</w:t>
      </w:r>
    </w:p>
    <w:p>
      <w:pPr>
        <w:tabs>
          <w:tab w:val="right" w:pos="9026" w:leader="dot"/>
        </w:tabs>
        <w:spacing w:after="90"/>
        <w:ind w:left="360"/>
      </w:pPr>
      <w:r>
        <w:rPr>
          <w:b w:val="false"/>
          <w:bCs w:val="false"/>
          <w:color w:val="5B6470"/>
          <w:sz w:val="20"/>
          <w:szCs w:val="20"/>
        </w:rPr>
        <w:t xml:space="preserve">6.4 Proposals &amp; Matching</w:t>
      </w:r>
      <w:r>
        <w:rPr>
          <w:color w:val="5B6470"/>
          <w:sz w:val="20"/>
          <w:szCs w:val="20"/>
        </w:rPr>
        <w:t xml:space="preserve">	9</w:t>
      </w:r>
    </w:p>
    <w:p>
      <w:pPr>
        <w:tabs>
          <w:tab w:val="right" w:pos="9026" w:leader="dot"/>
        </w:tabs>
        <w:spacing w:after="90"/>
        <w:ind w:left="360"/>
      </w:pPr>
      <w:r>
        <w:rPr>
          <w:b w:val="false"/>
          <w:bCs w:val="false"/>
          <w:color w:val="5B6470"/>
          <w:sz w:val="20"/>
          <w:szCs w:val="20"/>
        </w:rPr>
        <w:t xml:space="preserve">6.5 Messaging &amp; Collaboration</w:t>
      </w:r>
      <w:r>
        <w:rPr>
          <w:color w:val="5B6470"/>
          <w:sz w:val="20"/>
          <w:szCs w:val="20"/>
        </w:rPr>
        <w:t xml:space="preserve">	9</w:t>
      </w:r>
    </w:p>
    <w:p>
      <w:pPr>
        <w:tabs>
          <w:tab w:val="right" w:pos="9026" w:leader="dot"/>
        </w:tabs>
        <w:spacing w:after="90"/>
        <w:ind w:left="360"/>
      </w:pPr>
      <w:r>
        <w:rPr>
          <w:b w:val="false"/>
          <w:bCs w:val="false"/>
          <w:color w:val="5B6470"/>
          <w:sz w:val="20"/>
          <w:szCs w:val="20"/>
        </w:rPr>
        <w:t xml:space="preserve">6.6 Payments &amp; Escrow</w:t>
      </w:r>
      <w:r>
        <w:rPr>
          <w:color w:val="5B6470"/>
          <w:sz w:val="20"/>
          <w:szCs w:val="20"/>
        </w:rPr>
        <w:t xml:space="preserve">	9</w:t>
      </w:r>
    </w:p>
    <w:p>
      <w:pPr>
        <w:tabs>
          <w:tab w:val="right" w:pos="9026" w:leader="dot"/>
        </w:tabs>
        <w:spacing w:after="90"/>
        <w:ind w:left="360"/>
      </w:pPr>
      <w:r>
        <w:rPr>
          <w:b w:val="false"/>
          <w:bCs w:val="false"/>
          <w:color w:val="5B6470"/>
          <w:sz w:val="20"/>
          <w:szCs w:val="20"/>
        </w:rPr>
        <w:t xml:space="preserve">6.7 Notifications</w:t>
      </w:r>
      <w:r>
        <w:rPr>
          <w:color w:val="5B6470"/>
          <w:sz w:val="20"/>
          <w:szCs w:val="20"/>
        </w:rPr>
        <w:t xml:space="preserve">	10</w:t>
      </w:r>
    </w:p>
    <w:p>
      <w:pPr>
        <w:tabs>
          <w:tab w:val="right" w:pos="9026" w:leader="dot"/>
        </w:tabs>
        <w:spacing w:after="90"/>
        <w:ind w:left="360"/>
      </w:pPr>
      <w:r>
        <w:rPr>
          <w:b w:val="false"/>
          <w:bCs w:val="false"/>
          <w:color w:val="5B6470"/>
          <w:sz w:val="20"/>
          <w:szCs w:val="20"/>
        </w:rPr>
        <w:t xml:space="preserve">6.8 Search &amp; Discovery</w:t>
      </w:r>
      <w:r>
        <w:rPr>
          <w:color w:val="5B6470"/>
          <w:sz w:val="20"/>
          <w:szCs w:val="20"/>
        </w:rPr>
        <w:t xml:space="preserve">	10</w:t>
      </w:r>
    </w:p>
    <w:p>
      <w:pPr>
        <w:tabs>
          <w:tab w:val="right" w:pos="9026" w:leader="dot"/>
        </w:tabs>
        <w:spacing w:after="90"/>
        <w:ind w:left="360"/>
      </w:pPr>
      <w:r>
        <w:rPr>
          <w:b w:val="false"/>
          <w:bCs w:val="false"/>
          <w:color w:val="5B6470"/>
          <w:sz w:val="20"/>
          <w:szCs w:val="20"/>
        </w:rPr>
        <w:t xml:space="preserve">6.9 Reviews, Ratings &amp; Trust</w:t>
      </w:r>
      <w:r>
        <w:rPr>
          <w:color w:val="5B6470"/>
          <w:sz w:val="20"/>
          <w:szCs w:val="20"/>
        </w:rPr>
        <w:t xml:space="preserve">	10</w:t>
      </w:r>
    </w:p>
    <w:p>
      <w:pPr>
        <w:tabs>
          <w:tab w:val="right" w:pos="9026" w:leader="dot"/>
        </w:tabs>
        <w:spacing w:after="90"/>
        <w:ind w:left="360"/>
      </w:pPr>
      <w:r>
        <w:rPr>
          <w:b w:val="false"/>
          <w:bCs w:val="false"/>
          <w:color w:val="5B6470"/>
          <w:sz w:val="20"/>
          <w:szCs w:val="20"/>
        </w:rPr>
        <w:t xml:space="preserve">6.10 Admin &amp; Moderation</w:t>
      </w:r>
      <w:r>
        <w:rPr>
          <w:color w:val="5B6470"/>
          <w:sz w:val="20"/>
          <w:szCs w:val="20"/>
        </w:rPr>
        <w:t xml:space="preserve">	10</w:t>
      </w:r>
    </w:p>
    <w:p>
      <w:pPr>
        <w:tabs>
          <w:tab w:val="right" w:pos="9026" w:leader="dot"/>
        </w:tabs>
        <w:spacing w:after="90"/>
        <w:ind w:left="360"/>
      </w:pPr>
      <w:r>
        <w:rPr>
          <w:b w:val="false"/>
          <w:bCs w:val="false"/>
          <w:color w:val="5B6470"/>
          <w:sz w:val="20"/>
          <w:szCs w:val="20"/>
        </w:rPr>
        <w:t xml:space="preserve">6.11 Reporting &amp; Analytics</w:t>
      </w:r>
      <w:r>
        <w:rPr>
          <w:color w:val="5B6470"/>
          <w:sz w:val="20"/>
          <w:szCs w:val="20"/>
        </w:rPr>
        <w:t xml:space="preserve">	11</w:t>
      </w:r>
    </w:p>
    <w:p>
      <w:pPr>
        <w:tabs>
          <w:tab w:val="right" w:pos="9026" w:leader="dot"/>
        </w:tabs>
        <w:spacing w:after="140"/>
      </w:pPr>
      <w:r>
        <w:rPr>
          <w:b/>
          <w:bCs/>
          <w:color w:val="1F2A44"/>
          <w:sz w:val="21"/>
          <w:szCs w:val="21"/>
        </w:rPr>
        <w:t xml:space="preserve">7. Non-Functional Requirements</w:t>
      </w:r>
      <w:r>
        <w:rPr>
          <w:color w:val="1F2A44"/>
          <w:sz w:val="21"/>
          <w:szCs w:val="21"/>
        </w:rPr>
        <w:t xml:space="preserve">	11</w:t>
      </w:r>
    </w:p>
    <w:p>
      <w:pPr>
        <w:tabs>
          <w:tab w:val="right" w:pos="9026" w:leader="dot"/>
        </w:tabs>
        <w:spacing w:after="140"/>
      </w:pPr>
      <w:r>
        <w:rPr>
          <w:b/>
          <w:bCs/>
          <w:color w:val="1F2A44"/>
          <w:sz w:val="21"/>
          <w:szCs w:val="21"/>
        </w:rPr>
        <w:t xml:space="preserve">8. Data Requirements</w:t>
      </w:r>
      <w:r>
        <w:rPr>
          <w:color w:val="1F2A44"/>
          <w:sz w:val="21"/>
          <w:szCs w:val="21"/>
        </w:rPr>
        <w:t xml:space="preserve">	12</w:t>
      </w:r>
    </w:p>
    <w:p>
      <w:pPr>
        <w:tabs>
          <w:tab w:val="right" w:pos="9026" w:leader="dot"/>
        </w:tabs>
        <w:spacing w:after="140"/>
      </w:pPr>
      <w:r>
        <w:rPr>
          <w:b/>
          <w:bCs/>
          <w:color w:val="1F2A44"/>
          <w:sz w:val="21"/>
          <w:szCs w:val="21"/>
        </w:rPr>
        <w:t xml:space="preserve">9. External Interface Requirements</w:t>
      </w:r>
      <w:r>
        <w:rPr>
          <w:color w:val="1F2A44"/>
          <w:sz w:val="21"/>
          <w:szCs w:val="21"/>
        </w:rPr>
        <w:t xml:space="preserve">	13</w:t>
      </w:r>
    </w:p>
    <w:p>
      <w:pPr>
        <w:tabs>
          <w:tab w:val="right" w:pos="9026" w:leader="dot"/>
        </w:tabs>
        <w:spacing w:after="140"/>
      </w:pPr>
      <w:r>
        <w:rPr>
          <w:b/>
          <w:bCs/>
          <w:color w:val="1F2A44"/>
          <w:sz w:val="21"/>
          <w:szCs w:val="21"/>
        </w:rPr>
        <w:t xml:space="preserve">10. Risks &amp; Mitigations</w:t>
      </w:r>
      <w:r>
        <w:rPr>
          <w:color w:val="1F2A44"/>
          <w:sz w:val="21"/>
          <w:szCs w:val="21"/>
        </w:rPr>
        <w:t xml:space="preserve">	13</w:t>
      </w:r>
    </w:p>
    <w:p>
      <w:pPr>
        <w:tabs>
          <w:tab w:val="right" w:pos="9026" w:leader="dot"/>
        </w:tabs>
        <w:spacing w:after="140"/>
      </w:pPr>
      <w:r>
        <w:rPr>
          <w:b/>
          <w:bCs/>
          <w:color w:val="1F2A44"/>
          <w:sz w:val="21"/>
          <w:szCs w:val="21"/>
        </w:rPr>
        <w:t xml:space="preserve">11. Glossary</w:t>
      </w:r>
      <w:r>
        <w:rPr>
          <w:color w:val="1F2A44"/>
          <w:sz w:val="21"/>
          <w:szCs w:val="21"/>
        </w:rPr>
        <w:t xml:space="preserve">	13</w:t>
      </w:r>
    </w:p>
    <w:p>
      <w:pPr>
        <w:tabs>
          <w:tab w:val="right" w:pos="9026" w:leader="dot"/>
        </w:tabs>
        <w:spacing w:after="140"/>
      </w:pPr>
      <w:r>
        <w:rPr>
          <w:b/>
          <w:bCs/>
          <w:color w:val="1F2A44"/>
          <w:sz w:val="21"/>
          <w:szCs w:val="21"/>
        </w:rPr>
        <w:t xml:space="preserve">12. Conclusion</w:t>
      </w:r>
      <w:r>
        <w:rPr>
          <w:color w:val="1F2A44"/>
          <w:sz w:val="21"/>
          <w:szCs w:val="21"/>
        </w:rPr>
        <w:t xml:space="preserve">	14</w:t>
      </w:r>
    </w:p>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rPr>
          <w:sz w:val="21"/>
          <w:szCs w:val="21"/>
        </w:rPr>
        <w:t xml:space="preserve">This Software Requirements Specification (SRS) defines the functional and non-functional requirements for Unikly, a web-based marketplace connecting independent professionals (“Freelancers”) with individuals and businesses (“Clients”) who need skilled work done. It supersedes the original Unikly SRS (v0.1), which described a general-purpose e-commerce storefront for physical goods.</w:t>
      </w:r>
    </w:p>
    <w:p>
      <w:pPr>
        <w:spacing w:after="160" w:line="276"/>
      </w:pPr>
      <w:r>
        <w:rPr>
          <w:sz w:val="21"/>
          <w:szCs w:val="21"/>
        </w:rPr>
        <w:t xml:space="preserve">Since that first draft, the product direction has been deliberately narrowed and sharpened: Unikly is now a services marketplace, a model that better fits the founder's engineering background, a clearer initial market opportunity, and a genuine long-term differentiator — AI-assisted matching between clients and freelancers. This revision restates the platform's purpose, realigns the technology stack with the project's actual engineering direction, and — most importantly — introduces a phased delivery roadmap so the platform is built in usable, demonstrable stages rather than as one large release.</w:t>
      </w:r>
    </w:p>
    <w:p>
      <w:pPr>
        <w:pStyle w:val="Heading2"/>
        <w:spacing w:after="120" w:before="260"/>
      </w:pPr>
      <w:r>
        <w:t xml:space="preserve">1.2 Product Vision</w:t>
      </w:r>
    </w:p>
    <w:p>
      <w:pPr>
        <w:spacing w:after="160" w:line="276"/>
      </w:pPr>
      <w:r>
        <w:rPr>
          <w:sz w:val="21"/>
          <w:szCs w:val="21"/>
        </w:rPr>
        <w:t xml:space="preserve">Unikly aims to be a trustworthy, AI-assisted marketplace where a client can describe work they need done, get matched with qualified freelancers faster and more accurately than keyword search alone allows, collaborate and pay securely without leaving the platform, and build a verifiable track record over time. The long-term vision includes a fully event-driven microservices backend, hybrid AI matching, and enterprise-grade reliability — but the platform is deliberately designed to start small, prove that the core loop works (post a job, get matched, hire, pay, review), and add complexity only once real usage justifies it.</w:t>
      </w:r>
    </w:p>
    <w:p>
      <w:pPr>
        <w:pStyle w:val="Heading2"/>
        <w:spacing w:after="120" w:before="260"/>
      </w:pPr>
      <w:r>
        <w:t xml:space="preserve">1.3 Definitions, Acronyms &amp; Abbreviations</w:t>
      </w:r>
    </w:p>
    <w:p>
      <w:pPr>
        <w:pStyle w:val="ListParagraph"/>
        <w:numPr>
          <w:ilvl w:val="0"/>
          <w:numId w:val="1"/>
        </w:numPr>
        <w:spacing w:after="80" w:line="270"/>
      </w:pPr>
      <w:r>
        <w:rPr>
          <w:sz w:val="21"/>
          <w:szCs w:val="21"/>
        </w:rPr>
        <w:t xml:space="preserve">MVP — Minimum Viable Product</w:t>
      </w:r>
    </w:p>
    <w:p>
      <w:pPr>
        <w:pStyle w:val="ListParagraph"/>
        <w:numPr>
          <w:ilvl w:val="0"/>
          <w:numId w:val="1"/>
        </w:numPr>
        <w:spacing w:after="80" w:line="270"/>
      </w:pPr>
      <w:r>
        <w:rPr>
          <w:sz w:val="21"/>
          <w:szCs w:val="21"/>
        </w:rPr>
        <w:t xml:space="preserve">RBAC — Role-Based Access Control</w:t>
      </w:r>
    </w:p>
    <w:p>
      <w:pPr>
        <w:pStyle w:val="ListParagraph"/>
        <w:numPr>
          <w:ilvl w:val="0"/>
          <w:numId w:val="1"/>
        </w:numPr>
        <w:spacing w:after="80" w:line="270"/>
      </w:pPr>
      <w:r>
        <w:rPr>
          <w:sz w:val="21"/>
          <w:szCs w:val="21"/>
        </w:rPr>
        <w:t xml:space="preserve">KYC — Know Your Customer (identity verification)</w:t>
      </w:r>
    </w:p>
    <w:p>
      <w:pPr>
        <w:pStyle w:val="ListParagraph"/>
        <w:numPr>
          <w:ilvl w:val="0"/>
          <w:numId w:val="1"/>
        </w:numPr>
        <w:spacing w:after="80" w:line="270"/>
      </w:pPr>
      <w:r>
        <w:rPr>
          <w:sz w:val="21"/>
          <w:szCs w:val="21"/>
        </w:rPr>
        <w:t xml:space="preserve">DDD — Domain-Driven Design</w:t>
      </w:r>
    </w:p>
    <w:p>
      <w:pPr>
        <w:pStyle w:val="ListParagraph"/>
        <w:numPr>
          <w:ilvl w:val="0"/>
          <w:numId w:val="1"/>
        </w:numPr>
        <w:spacing w:after="80" w:line="270"/>
      </w:pPr>
      <w:r>
        <w:rPr>
          <w:sz w:val="21"/>
          <w:szCs w:val="21"/>
        </w:rPr>
        <w:t xml:space="preserve">PKCE — Proof Key for Code Exchange (OAuth2 extension used for secure browser-based login)</w:t>
      </w:r>
    </w:p>
    <w:p>
      <w:pPr>
        <w:pStyle w:val="ListParagraph"/>
        <w:numPr>
          <w:ilvl w:val="0"/>
          <w:numId w:val="1"/>
        </w:numPr>
        <w:spacing w:after="80" w:line="270"/>
      </w:pPr>
      <w:r>
        <w:rPr>
          <w:sz w:val="21"/>
          <w:szCs w:val="21"/>
        </w:rPr>
        <w:t xml:space="preserve">JWT — JSON Web Token</w:t>
      </w:r>
    </w:p>
    <w:p>
      <w:pPr>
        <w:pStyle w:val="ListParagraph"/>
        <w:numPr>
          <w:ilvl w:val="0"/>
          <w:numId w:val="1"/>
        </w:numPr>
        <w:spacing w:after="80" w:line="270"/>
      </w:pPr>
      <w:r>
        <w:rPr>
          <w:sz w:val="21"/>
          <w:szCs w:val="21"/>
        </w:rPr>
        <w:t xml:space="preserve">IAM — Identity and Access Management</w:t>
      </w:r>
    </w:p>
    <w:p>
      <w:pPr>
        <w:pStyle w:val="ListParagraph"/>
        <w:numPr>
          <w:ilvl w:val="0"/>
          <w:numId w:val="1"/>
        </w:numPr>
        <w:spacing w:after="80" w:line="270"/>
      </w:pPr>
      <w:r>
        <w:rPr>
          <w:sz w:val="21"/>
          <w:szCs w:val="21"/>
        </w:rPr>
        <w:t xml:space="preserve">SLA — Service Level Agreement</w:t>
      </w:r>
    </w:p>
    <w:p>
      <w:pPr>
        <w:pStyle w:val="ListParagraph"/>
        <w:numPr>
          <w:ilvl w:val="0"/>
          <w:numId w:val="1"/>
        </w:numPr>
        <w:spacing w:after="80" w:line="270"/>
      </w:pPr>
      <w:r>
        <w:rPr>
          <w:sz w:val="21"/>
          <w:szCs w:val="21"/>
        </w:rPr>
        <w:t xml:space="preserve">WCAG — Web Content Accessibility Guidelines</w:t>
      </w:r>
    </w:p>
    <w:p>
      <w:pPr>
        <w:pStyle w:val="ListParagraph"/>
        <w:numPr>
          <w:ilvl w:val="0"/>
          <w:numId w:val="1"/>
        </w:numPr>
        <w:spacing w:after="80" w:line="270"/>
      </w:pPr>
      <w:r>
        <w:rPr>
          <w:sz w:val="21"/>
          <w:szCs w:val="21"/>
        </w:rPr>
        <w:t xml:space="preserve">GDPR — General Data Protection Regulation (used here as a benchmark for data-privacy practice, not a claim of legal certification)</w:t>
      </w:r>
    </w:p>
    <w:p>
      <w:pPr>
        <w:pStyle w:val="ListParagraph"/>
        <w:numPr>
          <w:ilvl w:val="0"/>
          <w:numId w:val="1"/>
        </w:numPr>
        <w:spacing w:after="80" w:line="270"/>
      </w:pPr>
      <w:r>
        <w:rPr>
          <w:sz w:val="21"/>
          <w:szCs w:val="21"/>
        </w:rPr>
        <w:t xml:space="preserve">GMV — Gross Merchandise Value (total value of transactions processed)</w:t>
      </w:r>
    </w:p>
    <w:p>
      <w:pPr>
        <w:spacing w:after="100"/>
      </w:pPr>
    </w:p>
    <w:p>
      <w:pPr>
        <w:pStyle w:val="Heading2"/>
        <w:spacing w:after="120" w:before="260"/>
      </w:pPr>
      <w:r>
        <w:t xml:space="preserve">1.4 Document Conventions</w:t>
      </w:r>
    </w:p>
    <w:p>
      <w:pPr>
        <w:spacing w:after="160" w:line="276"/>
      </w:pPr>
      <w:r>
        <w:rPr>
          <w:sz w:val="21"/>
          <w:szCs w:val="21"/>
        </w:rPr>
        <w:t xml:space="preserve">Every functional and non-functional requirement has a unique ID (e.g. FR-JOB-03), a priority using the MoSCoW method (Must, Should, Could), and the delivery phase in which it is first built, cross-referenced against the roadmap in Section 2.2. Requirements marked “Must” in Phase 1 define the minimum bar for the platform's first usable release.</w:t>
      </w:r>
    </w:p>
    <w:p>
      <w:pPr>
        <w:pStyle w:val="Heading1"/>
        <w:spacing w:after="160" w:before="360"/>
      </w:pPr>
      <w:r>
        <w:t xml:space="preserve">2. Scope</w:t>
      </w:r>
    </w:p>
    <w:p>
      <w:pPr>
        <w:pStyle w:val="Heading2"/>
        <w:spacing w:after="120" w:before="260"/>
      </w:pPr>
      <w:r>
        <w:t xml:space="preserve">2.1 Product Scope</w:t>
      </w:r>
    </w:p>
    <w:p>
      <w:pPr>
        <w:spacing w:after="160" w:line="276"/>
      </w:pPr>
      <w:r>
        <w:rPr>
          <w:sz w:val="21"/>
          <w:szCs w:val="21"/>
        </w:rPr>
        <w:t xml:space="preserve">Unikly is a two-sided marketplace. Clients post jobs — short gigs or longer projects — describing the work, budget, and timeline. Freelancers browse open jobs or get matched to relevant ones, submit proposals, and are hired directly or from an AI-recommended shortlist. Work, communication, and payment all happen inside the platform, with funds held in escrow until a milestone or the full job is approved. Administrators oversee trust and safety, dispute resolution, and overall platform health.</w:t>
      </w:r>
    </w:p>
    <w:p>
      <w:pPr>
        <w:spacing w:after="160" w:line="276"/>
      </w:pPr>
      <w:r>
        <w:rPr>
          <w:sz w:val="21"/>
          <w:szCs w:val="21"/>
        </w:rPr>
        <w:t xml:space="preserve">The platform is built and released incrementally. Section 2.2 defines what “small” means at first launch and exactly how scope grows afterward — every later phase builds on the data model and APIs established in earlier ones, rather than being bolted on as an afterthought.</w:t>
      </w:r>
    </w:p>
    <w:p>
      <w:pPr>
        <w:pStyle w:val="Heading2"/>
        <w:spacing w:after="120" w:before="260"/>
      </w:pPr>
      <w:r>
        <w:t xml:space="preserve">2.2 Phased Delivery Roadmap</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5826"/>
      </w:tblGrid>
      <w:tr>
        <w:trPr>
          <w:tblHeader/>
        </w:trPr>
        <w:tc>
          <w:tcPr>
            <w:tcW w:type="dxa" w:w="900"/>
            <w:shd w:fill="1F2A44" w:val="clear"/>
            <w:tcMar>
              <w:top w:type="dxa" w:w="90"/>
              <w:left w:type="dxa" w:w="110"/>
              <w:bottom w:type="dxa" w:w="90"/>
              <w:right w:type="dxa" w:w="110"/>
            </w:tcMar>
            <w:vAlign w:val="center"/>
          </w:tcPr>
          <w:p>
            <w:r>
              <w:rPr>
                <w:b/>
                <w:bCs/>
                <w:color w:val="FFFFFF"/>
                <w:sz w:val="19"/>
                <w:szCs w:val="19"/>
              </w:rPr>
              <w:t xml:space="preserve">Phase</w:t>
            </w:r>
          </w:p>
        </w:tc>
        <w:tc>
          <w:tcPr>
            <w:tcW w:type="dxa" w:w="2100"/>
            <w:shd w:fill="1F2A44" w:val="clear"/>
            <w:tcMar>
              <w:top w:type="dxa" w:w="90"/>
              <w:left w:type="dxa" w:w="110"/>
              <w:bottom w:type="dxa" w:w="90"/>
              <w:right w:type="dxa" w:w="110"/>
            </w:tcMar>
            <w:vAlign w:val="center"/>
          </w:tcPr>
          <w:p>
            <w:r>
              <w:rPr>
                <w:b/>
                <w:bCs/>
                <w:color w:val="FFFFFF"/>
                <w:sz w:val="19"/>
                <w:szCs w:val="19"/>
              </w:rPr>
              <w:t xml:space="preserve">Name</w:t>
            </w:r>
          </w:p>
        </w:tc>
        <w:tc>
          <w:tcPr>
            <w:tcW w:type="dxa" w:w="5826"/>
            <w:shd w:fill="1F2A44" w:val="clear"/>
            <w:tcMar>
              <w:top w:type="dxa" w:w="90"/>
              <w:left w:type="dxa" w:w="110"/>
              <w:bottom w:type="dxa" w:w="90"/>
              <w:right w:type="dxa" w:w="110"/>
            </w:tcMar>
            <w:vAlign w:val="center"/>
          </w:tcPr>
          <w:p>
            <w:r>
              <w:rPr>
                <w:b/>
                <w:bCs/>
                <w:color w:val="FFFFFF"/>
                <w:sz w:val="19"/>
                <w:szCs w:val="19"/>
              </w:rPr>
              <w:t xml:space="preserve">What Ships</w:t>
            </w:r>
          </w:p>
        </w:tc>
      </w:tr>
      <w:tr>
        <w:tc>
          <w:tcPr>
            <w:tcW w:type="dxa" w:w="900"/>
            <w:tcMar>
              <w:top w:type="dxa" w:w="70"/>
              <w:left w:type="dxa" w:w="110"/>
              <w:bottom w:type="dxa" w:w="70"/>
              <w:right w:type="dxa" w:w="110"/>
            </w:tcMar>
            <w:vAlign w:val="center"/>
          </w:tcPr>
          <w:p>
            <w:r>
              <w:rPr>
                <w:sz w:val="19"/>
                <w:szCs w:val="19"/>
              </w:rPr>
              <w:t xml:space="preserve">1</w:t>
            </w:r>
          </w:p>
        </w:tc>
        <w:tc>
          <w:tcPr>
            <w:tcW w:type="dxa" w:w="2100"/>
            <w:tcMar>
              <w:top w:type="dxa" w:w="70"/>
              <w:left w:type="dxa" w:w="110"/>
              <w:bottom w:type="dxa" w:w="70"/>
              <w:right w:type="dxa" w:w="110"/>
            </w:tcMar>
            <w:vAlign w:val="center"/>
          </w:tcPr>
          <w:p>
            <w:r>
              <w:rPr>
                <w:sz w:val="19"/>
                <w:szCs w:val="19"/>
              </w:rPr>
              <w:t xml:space="preserve">Foundation (MVP)</w:t>
            </w:r>
          </w:p>
        </w:tc>
        <w:tc>
          <w:tcPr>
            <w:tcW w:type="dxa" w:w="5826"/>
            <w:tcMar>
              <w:top w:type="dxa" w:w="70"/>
              <w:left w:type="dxa" w:w="110"/>
              <w:bottom w:type="dxa" w:w="70"/>
              <w:right w:type="dxa" w:w="110"/>
            </w:tcMar>
            <w:vAlign w:val="center"/>
          </w:tcPr>
          <w:p>
            <w:r>
              <w:rPr>
                <w:sz w:val="19"/>
                <w:szCs w:val="19"/>
              </w:rPr>
              <w:t xml:space="preserve">Registration &amp; login, client/freelancer profiles, job posting, browsing &amp; keyword search, direct proposals, one-to-one messaging, manual “mark complete” workflow, basic star ratings. Ships as a single modular Spring Boot application.</w:t>
            </w:r>
          </w:p>
        </w:tc>
      </w:tr>
      <w:tr>
        <w:tc>
          <w:tcPr>
            <w:tcW w:type="dxa" w:w="900"/>
            <w:shd w:fill="F2F4F6" w:val="clear"/>
            <w:tcMar>
              <w:top w:type="dxa" w:w="70"/>
              <w:left w:type="dxa" w:w="110"/>
              <w:bottom w:type="dxa" w:w="70"/>
              <w:right w:type="dxa" w:w="110"/>
            </w:tcMar>
            <w:vAlign w:val="center"/>
          </w:tcPr>
          <w:p>
            <w:r>
              <w:rPr>
                <w:sz w:val="19"/>
                <w:szCs w:val="19"/>
              </w:rPr>
              <w:t xml:space="preserve">2</w:t>
            </w:r>
          </w:p>
        </w:tc>
        <w:tc>
          <w:tcPr>
            <w:tcW w:type="dxa" w:w="2100"/>
            <w:shd w:fill="F2F4F6" w:val="clear"/>
            <w:tcMar>
              <w:top w:type="dxa" w:w="70"/>
              <w:left w:type="dxa" w:w="110"/>
              <w:bottom w:type="dxa" w:w="70"/>
              <w:right w:type="dxa" w:w="110"/>
            </w:tcMar>
            <w:vAlign w:val="center"/>
          </w:tcPr>
          <w:p>
            <w:r>
              <w:rPr>
                <w:sz w:val="19"/>
                <w:szCs w:val="19"/>
              </w:rPr>
              <w:t xml:space="preserve">Trusted Transactions</w:t>
            </w:r>
          </w:p>
        </w:tc>
        <w:tc>
          <w:tcPr>
            <w:tcW w:type="dxa" w:w="5826"/>
            <w:shd w:fill="F2F4F6" w:val="clear"/>
            <w:tcMar>
              <w:top w:type="dxa" w:w="70"/>
              <w:left w:type="dxa" w:w="110"/>
              <w:bottom w:type="dxa" w:w="70"/>
              <w:right w:type="dxa" w:w="110"/>
            </w:tcMar>
            <w:vAlign w:val="center"/>
          </w:tcPr>
          <w:p>
            <w:r>
              <w:rPr>
                <w:sz w:val="19"/>
                <w:szCs w:val="19"/>
              </w:rPr>
              <w:t xml:space="preserve">Stripe Connect escrow payments, milestone-based job lifecycle (state machine), written reviews, email notifications, admin moderation console.</w:t>
            </w:r>
          </w:p>
        </w:tc>
      </w:tr>
      <w:tr>
        <w:tc>
          <w:tcPr>
            <w:tcW w:type="dxa" w:w="900"/>
            <w:tcMar>
              <w:top w:type="dxa" w:w="70"/>
              <w:left w:type="dxa" w:w="110"/>
              <w:bottom w:type="dxa" w:w="70"/>
              <w:right w:type="dxa" w:w="110"/>
            </w:tcMar>
            <w:vAlign w:val="center"/>
          </w:tcPr>
          <w:p>
            <w:r>
              <w:rPr>
                <w:sz w:val="19"/>
                <w:szCs w:val="19"/>
              </w:rPr>
              <w:t xml:space="preserve">3</w:t>
            </w:r>
          </w:p>
        </w:tc>
        <w:tc>
          <w:tcPr>
            <w:tcW w:type="dxa" w:w="2100"/>
            <w:tcMar>
              <w:top w:type="dxa" w:w="70"/>
              <w:left w:type="dxa" w:w="110"/>
              <w:bottom w:type="dxa" w:w="70"/>
              <w:right w:type="dxa" w:w="110"/>
            </w:tcMar>
            <w:vAlign w:val="center"/>
          </w:tcPr>
          <w:p>
            <w:r>
              <w:rPr>
                <w:sz w:val="19"/>
                <w:szCs w:val="19"/>
              </w:rPr>
              <w:t xml:space="preserve">Intelligence &amp; Discovery</w:t>
            </w:r>
          </w:p>
        </w:tc>
        <w:tc>
          <w:tcPr>
            <w:tcW w:type="dxa" w:w="5826"/>
            <w:tcMar>
              <w:top w:type="dxa" w:w="70"/>
              <w:left w:type="dxa" w:w="110"/>
              <w:bottom w:type="dxa" w:w="70"/>
              <w:right w:type="dxa" w:w="110"/>
            </w:tcMar>
            <w:vAlign w:val="center"/>
          </w:tcPr>
          <w:p>
            <w:r>
              <w:rPr>
                <w:sz w:val="19"/>
                <w:szCs w:val="19"/>
              </w:rPr>
              <w:t xml:space="preserve">Hybrid AI matching engine, full-text/faceted search, real-time chat (WebSocket), in-app notifications, freelancer &amp; client analytics.</w:t>
            </w:r>
          </w:p>
        </w:tc>
      </w:tr>
      <w:tr>
        <w:tc>
          <w:tcPr>
            <w:tcW w:type="dxa" w:w="900"/>
            <w:shd w:fill="F2F4F6" w:val="clear"/>
            <w:tcMar>
              <w:top w:type="dxa" w:w="70"/>
              <w:left w:type="dxa" w:w="110"/>
              <w:bottom w:type="dxa" w:w="70"/>
              <w:right w:type="dxa" w:w="110"/>
            </w:tcMar>
            <w:vAlign w:val="center"/>
          </w:tcPr>
          <w:p>
            <w:r>
              <w:rPr>
                <w:sz w:val="19"/>
                <w:szCs w:val="19"/>
              </w:rPr>
              <w:t xml:space="preserve">4</w:t>
            </w:r>
          </w:p>
        </w:tc>
        <w:tc>
          <w:tcPr>
            <w:tcW w:type="dxa" w:w="2100"/>
            <w:shd w:fill="F2F4F6" w:val="clear"/>
            <w:tcMar>
              <w:top w:type="dxa" w:w="70"/>
              <w:left w:type="dxa" w:w="110"/>
              <w:bottom w:type="dxa" w:w="70"/>
              <w:right w:type="dxa" w:w="110"/>
            </w:tcMar>
            <w:vAlign w:val="center"/>
          </w:tcPr>
          <w:p>
            <w:r>
              <w:rPr>
                <w:sz w:val="19"/>
                <w:szCs w:val="19"/>
              </w:rPr>
              <w:t xml:space="preserve">Distributed Architecture</w:t>
            </w:r>
          </w:p>
        </w:tc>
        <w:tc>
          <w:tcPr>
            <w:tcW w:type="dxa" w:w="5826"/>
            <w:shd w:fill="F2F4F6" w:val="clear"/>
            <w:tcMar>
              <w:top w:type="dxa" w:w="70"/>
              <w:left w:type="dxa" w:w="110"/>
              <w:bottom w:type="dxa" w:w="70"/>
              <w:right w:type="dxa" w:w="110"/>
            </w:tcMar>
            <w:vAlign w:val="center"/>
          </w:tcPr>
          <w:p>
            <w:r>
              <w:rPr>
                <w:sz w:val="19"/>
                <w:szCs w:val="19"/>
              </w:rPr>
              <w:t xml:space="preserve">Decomposition into bounded-context microservices, Kafka event backbone, API Gateway, service resilience, centralized observability.</w:t>
            </w:r>
          </w:p>
        </w:tc>
      </w:tr>
      <w:tr>
        <w:tc>
          <w:tcPr>
            <w:tcW w:type="dxa" w:w="900"/>
            <w:tcMar>
              <w:top w:type="dxa" w:w="70"/>
              <w:left w:type="dxa" w:w="110"/>
              <w:bottom w:type="dxa" w:w="70"/>
              <w:right w:type="dxa" w:w="110"/>
            </w:tcMar>
            <w:vAlign w:val="center"/>
          </w:tcPr>
          <w:p>
            <w:r>
              <w:rPr>
                <w:sz w:val="19"/>
                <w:szCs w:val="19"/>
              </w:rPr>
              <w:t xml:space="preserve">5</w:t>
            </w:r>
          </w:p>
        </w:tc>
        <w:tc>
          <w:tcPr>
            <w:tcW w:type="dxa" w:w="2100"/>
            <w:tcMar>
              <w:top w:type="dxa" w:w="70"/>
              <w:left w:type="dxa" w:w="110"/>
              <w:bottom w:type="dxa" w:w="70"/>
              <w:right w:type="dxa" w:w="110"/>
            </w:tcMar>
            <w:vAlign w:val="center"/>
          </w:tcPr>
          <w:p>
            <w:r>
              <w:rPr>
                <w:sz w:val="19"/>
                <w:szCs w:val="19"/>
              </w:rPr>
              <w:t xml:space="preserve">Growth &amp; Scale</w:t>
            </w:r>
          </w:p>
        </w:tc>
        <w:tc>
          <w:tcPr>
            <w:tcW w:type="dxa" w:w="5826"/>
            <w:tcMar>
              <w:top w:type="dxa" w:w="70"/>
              <w:left w:type="dxa" w:w="110"/>
              <w:bottom w:type="dxa" w:w="70"/>
              <w:right w:type="dxa" w:w="110"/>
            </w:tcMar>
            <w:vAlign w:val="center"/>
          </w:tcPr>
          <w:p>
            <w:r>
              <w:rPr>
                <w:sz w:val="19"/>
                <w:szCs w:val="19"/>
              </w:rPr>
              <w:t xml:space="preserve">Multi-language/multi-currency support, team/agency accounts, dispute &amp; arbitration workflow, mobile apps, subscription/commission tiers, horizontal scaling.</w:t>
            </w:r>
          </w:p>
        </w:tc>
      </w:tr>
    </w:tbl>
    <w:p>
      <w:pPr>
        <w:spacing w:after="100"/>
      </w:pPr>
    </w:p>
    <w:p>
      <w:pPr>
        <w:spacing w:after="200" w:before="80"/>
      </w:pPr>
      <w:r>
        <w:rPr>
          <w:i/>
          <w:iCs/>
          <w:color w:val="5B6470"/>
          <w:sz w:val="19"/>
          <w:szCs w:val="19"/>
        </w:rPr>
        <w:t xml:space="preserve">The step-by-step engineering build plan for each phase is maintained separately in the Unikly Build &amp; Onboarding Guide, so this SRS stays focused on what the system must do rather than how each sprint is sequenced.</w:t>
      </w:r>
    </w:p>
    <w:p>
      <w:pPr>
        <w:pStyle w:val="Heading2"/>
        <w:spacing w:after="120" w:before="260"/>
      </w:pPr>
      <w:r>
        <w:t xml:space="preserve">2.3 Out of Scope (for now)</w:t>
      </w:r>
    </w:p>
    <w:p>
      <w:pPr>
        <w:pStyle w:val="ListParagraph"/>
        <w:numPr>
          <w:ilvl w:val="0"/>
          <w:numId w:val="1"/>
        </w:numPr>
        <w:spacing w:after="80" w:line="270"/>
      </w:pPr>
      <w:r>
        <w:rPr>
          <w:sz w:val="21"/>
          <w:szCs w:val="21"/>
        </w:rPr>
        <w:t xml:space="preserve">Physical goods, shipping, and inventory management — dropped entirely from the original e-commerce concept.</w:t>
      </w:r>
    </w:p>
    <w:p>
      <w:pPr>
        <w:pStyle w:val="ListParagraph"/>
        <w:numPr>
          <w:ilvl w:val="0"/>
          <w:numId w:val="1"/>
        </w:numPr>
        <w:spacing w:after="80" w:line="270"/>
      </w:pPr>
      <w:r>
        <w:rPr>
          <w:sz w:val="21"/>
          <w:szCs w:val="21"/>
        </w:rPr>
        <w:t xml:space="preserve">Native mobile applications — revisited in Phase 5.</w:t>
      </w:r>
    </w:p>
    <w:p>
      <w:pPr>
        <w:pStyle w:val="ListParagraph"/>
        <w:numPr>
          <w:ilvl w:val="0"/>
          <w:numId w:val="1"/>
        </w:numPr>
        <w:spacing w:after="80" w:line="270"/>
      </w:pPr>
      <w:r>
        <w:rPr>
          <w:sz w:val="21"/>
          <w:szCs w:val="21"/>
        </w:rPr>
        <w:t xml:space="preserve">Support for payment processors other than Stripe.</w:t>
      </w:r>
    </w:p>
    <w:p>
      <w:pPr>
        <w:pStyle w:val="ListParagraph"/>
        <w:numPr>
          <w:ilvl w:val="0"/>
          <w:numId w:val="1"/>
        </w:numPr>
        <w:spacing w:after="80" w:line="270"/>
      </w:pPr>
      <w:r>
        <w:rPr>
          <w:sz w:val="21"/>
          <w:szCs w:val="21"/>
        </w:rPr>
        <w:t xml:space="preserve">Enterprise SSO / SAML integration.</w:t>
      </w:r>
    </w:p>
    <w:p>
      <w:pPr>
        <w:pStyle w:val="ListParagraph"/>
        <w:numPr>
          <w:ilvl w:val="0"/>
          <w:numId w:val="1"/>
        </w:numPr>
        <w:spacing w:after="80" w:line="270"/>
      </w:pPr>
      <w:r>
        <w:rPr>
          <w:sz w:val="21"/>
          <w:szCs w:val="21"/>
        </w:rPr>
        <w:t xml:space="preserve">In-house payment licensing — Unikly relies on Stripe Connect as a licensed payment facilitator rather than becoming one itself.</w:t>
      </w:r>
    </w:p>
    <w:p>
      <w:pPr>
        <w:pStyle w:val="Heading1"/>
        <w:spacing w:after="160" w:before="360"/>
      </w:pPr>
      <w:r>
        <w:t xml:space="preserve">3. Overall Description</w:t>
      </w:r>
    </w:p>
    <w:p>
      <w:pPr>
        <w:pStyle w:val="Heading2"/>
        <w:spacing w:after="120" w:before="260"/>
      </w:pPr>
      <w:r>
        <w:t xml:space="preserve">3.1 Product Perspective</w:t>
      </w:r>
    </w:p>
    <w:p>
      <w:pPr>
        <w:spacing w:after="160" w:line="276"/>
      </w:pPr>
      <w:r>
        <w:rPr>
          <w:sz w:val="21"/>
          <w:szCs w:val="21"/>
        </w:rPr>
        <w:t xml:space="preserve">Unikly enters a market with established players such as Upwork, Fiverr, and Malt. It differentiates on three fronts: AI-assisted matching that reduces the time clients spend screening proposals, a modern event-driven architecture designed for reliability as usage grows, and a design that can serve underserved regional markets — starting with Francophone and Central African freelancers — alongside a global client base.</w:t>
      </w:r>
    </w:p>
    <w:p>
      <w:pPr>
        <w:pStyle w:val="Heading2"/>
        <w:spacing w:after="120" w:before="260"/>
      </w:pPr>
      <w:r>
        <w:t xml:space="preserve">3.2 User Classes and Characteristics</w:t>
      </w:r>
    </w:p>
    <w:p>
      <w:pPr>
        <w:pStyle w:val="ListParagraph"/>
        <w:numPr>
          <w:ilvl w:val="0"/>
          <w:numId w:val="1"/>
        </w:numPr>
        <w:spacing w:after="80" w:line="270"/>
      </w:pPr>
      <w:r>
        <w:rPr>
          <w:sz w:val="21"/>
          <w:szCs w:val="21"/>
        </w:rPr>
        <w:t xml:space="preserve">Client — posts jobs, reviews proposals and matches, messages freelancers, funds escrow, approves work, leaves reviews. Ranges from individuals to small businesses.</w:t>
      </w:r>
    </w:p>
    <w:p>
      <w:pPr>
        <w:pStyle w:val="ListParagraph"/>
        <w:numPr>
          <w:ilvl w:val="0"/>
          <w:numId w:val="1"/>
        </w:numPr>
        <w:spacing w:after="80" w:line="270"/>
      </w:pPr>
      <w:r>
        <w:rPr>
          <w:sz w:val="21"/>
          <w:szCs w:val="21"/>
        </w:rPr>
        <w:t xml:space="preserve">Freelancer — builds a profile and portfolio, browses or receives matched jobs, submits proposals, delivers work, gets paid, receives reviews.</w:t>
      </w:r>
    </w:p>
    <w:p>
      <w:pPr>
        <w:pStyle w:val="ListParagraph"/>
        <w:numPr>
          <w:ilvl w:val="0"/>
          <w:numId w:val="1"/>
        </w:numPr>
        <w:spacing w:after="80" w:line="270"/>
      </w:pPr>
      <w:r>
        <w:rPr>
          <w:sz w:val="21"/>
          <w:szCs w:val="21"/>
        </w:rPr>
        <w:t xml:space="preserve">Administrator — manages users and categories, resolves disputes, monitors platform-wide health and reporting.</w:t>
      </w:r>
    </w:p>
    <w:p>
      <w:pPr>
        <w:pStyle w:val="ListParagraph"/>
        <w:numPr>
          <w:ilvl w:val="0"/>
          <w:numId w:val="1"/>
        </w:numPr>
        <w:spacing w:after="80" w:line="270"/>
      </w:pPr>
      <w:r>
        <w:rPr>
          <w:sz w:val="21"/>
          <w:szCs w:val="21"/>
        </w:rPr>
        <w:t xml:space="preserve">Agency / Team (Phase 5) — a group account allowing several freelancers to operate under one organizational profile.</w:t>
      </w:r>
    </w:p>
    <w:p>
      <w:pPr>
        <w:spacing w:after="100"/>
      </w:pPr>
    </w:p>
    <w:p>
      <w:pPr>
        <w:pStyle w:val="Heading2"/>
        <w:spacing w:after="120" w:before="260"/>
      </w:pPr>
      <w:r>
        <w:t xml:space="preserve">3.3 Operating Environment</w:t>
      </w:r>
    </w:p>
    <w:p>
      <w:pPr>
        <w:spacing w:after="160" w:line="276"/>
      </w:pPr>
      <w:r>
        <w:rPr>
          <w:sz w:val="21"/>
          <w:szCs w:val="21"/>
        </w:rPr>
        <w:t xml:space="preserve">Unikly is a browser-based application (Angular single-page app) served over HTTPS, targeting current versions of Chrome, Firefox, Edge, and Safari on desktop and mobile. Backend services run in containers — Docker Compose for Phases 1–3, Kubernetes-ready from Phase 4 onward — on Linux hosts.</w:t>
      </w:r>
    </w:p>
    <w:p>
      <w:pPr>
        <w:pStyle w:val="Heading2"/>
        <w:spacing w:after="120" w:before="260"/>
      </w:pPr>
      <w:r>
        <w:t xml:space="preserve">3.4 Design &amp; Implementation Constraints</w:t>
      </w:r>
    </w:p>
    <w:p>
      <w:pPr>
        <w:pStyle w:val="ListParagraph"/>
        <w:numPr>
          <w:ilvl w:val="0"/>
          <w:numId w:val="1"/>
        </w:numPr>
        <w:spacing w:after="80" w:line="270"/>
      </w:pPr>
      <w:r>
        <w:rPr>
          <w:sz w:val="21"/>
          <w:szCs w:val="21"/>
        </w:rPr>
        <w:t xml:space="preserve">Backend: Java 21, Spring Boot 3.x, PostgreSQL (one schema per bounded context from Phase 4 onward).</w:t>
      </w:r>
    </w:p>
    <w:p>
      <w:pPr>
        <w:pStyle w:val="ListParagraph"/>
        <w:numPr>
          <w:ilvl w:val="0"/>
          <w:numId w:val="1"/>
        </w:numPr>
        <w:spacing w:after="80" w:line="270"/>
      </w:pPr>
      <w:r>
        <w:rPr>
          <w:sz w:val="21"/>
          <w:szCs w:val="21"/>
        </w:rPr>
        <w:t xml:space="preserve">Frontend: Angular with TypeScript.</w:t>
      </w:r>
    </w:p>
    <w:p>
      <w:pPr>
        <w:pStyle w:val="ListParagraph"/>
        <w:numPr>
          <w:ilvl w:val="0"/>
          <w:numId w:val="1"/>
        </w:numPr>
        <w:spacing w:after="80" w:line="270"/>
      </w:pPr>
      <w:r>
        <w:rPr>
          <w:sz w:val="21"/>
          <w:szCs w:val="21"/>
        </w:rPr>
        <w:t xml:space="preserve">Identity: Keycloak, using OAuth2/OIDC Authorization Code flow with PKCE.</w:t>
      </w:r>
    </w:p>
    <w:p>
      <w:pPr>
        <w:pStyle w:val="ListParagraph"/>
        <w:numPr>
          <w:ilvl w:val="0"/>
          <w:numId w:val="1"/>
        </w:numPr>
        <w:spacing w:after="80" w:line="270"/>
      </w:pPr>
      <w:r>
        <w:rPr>
          <w:sz w:val="21"/>
          <w:szCs w:val="21"/>
        </w:rPr>
        <w:t xml:space="preserve">Payments: Stripe Connect for escrow and split payouts.</w:t>
      </w:r>
    </w:p>
    <w:p>
      <w:pPr>
        <w:pStyle w:val="ListParagraph"/>
        <w:numPr>
          <w:ilvl w:val="0"/>
          <w:numId w:val="1"/>
        </w:numPr>
        <w:spacing w:after="80" w:line="270"/>
      </w:pPr>
      <w:r>
        <w:rPr>
          <w:sz w:val="21"/>
          <w:szCs w:val="21"/>
        </w:rPr>
        <w:t xml:space="preserve">Event backbone (Phase 4+): Apache Kafka in KRaft mode.</w:t>
      </w:r>
    </w:p>
    <w:p>
      <w:pPr>
        <w:pStyle w:val="ListParagraph"/>
        <w:numPr>
          <w:ilvl w:val="0"/>
          <w:numId w:val="1"/>
        </w:numPr>
        <w:spacing w:after="80" w:line="270"/>
      </w:pPr>
      <w:r>
        <w:rPr>
          <w:sz w:val="21"/>
          <w:szCs w:val="21"/>
        </w:rPr>
        <w:t xml:space="preserve">Object storage: MinIO, for portfolio media and message attachments.</w:t>
      </w:r>
    </w:p>
    <w:p>
      <w:pPr>
        <w:pStyle w:val="ListParagraph"/>
        <w:numPr>
          <w:ilvl w:val="0"/>
          <w:numId w:val="1"/>
        </w:numPr>
        <w:spacing w:after="80" w:line="270"/>
      </w:pPr>
      <w:r>
        <w:rPr>
          <w:sz w:val="21"/>
          <w:szCs w:val="21"/>
        </w:rPr>
        <w:t xml:space="preserve">The system is initially built and operated by a small engineering team. Architecture choices favor clear module boundaries over premature infrastructure complexity, so the codebase stays approachable for contributors who join later.</w:t>
      </w:r>
    </w:p>
    <w:p>
      <w:pPr>
        <w:spacing w:after="100"/>
      </w:pPr>
    </w:p>
    <w:p>
      <w:pPr>
        <w:pStyle w:val="Heading2"/>
        <w:spacing w:after="120" w:before="260"/>
      </w:pPr>
      <w:r>
        <w:t xml:space="preserve">3.5 Assumptions &amp; Dependencies</w:t>
      </w:r>
    </w:p>
    <w:p>
      <w:pPr>
        <w:pStyle w:val="ListParagraph"/>
        <w:numPr>
          <w:ilvl w:val="0"/>
          <w:numId w:val="1"/>
        </w:numPr>
        <w:spacing w:after="80" w:line="270"/>
      </w:pPr>
      <w:r>
        <w:rPr>
          <w:sz w:val="21"/>
          <w:szCs w:val="21"/>
        </w:rPr>
        <w:t xml:space="preserve">Stripe Connect is available and compliant in the target launch market(s) at the time Phase 2 begins.</w:t>
      </w:r>
    </w:p>
    <w:p>
      <w:pPr>
        <w:pStyle w:val="ListParagraph"/>
        <w:numPr>
          <w:ilvl w:val="0"/>
          <w:numId w:val="1"/>
        </w:numPr>
        <w:spacing w:after="80" w:line="270"/>
      </w:pPr>
      <w:r>
        <w:rPr>
          <w:sz w:val="21"/>
          <w:szCs w:val="21"/>
        </w:rPr>
        <w:t xml:space="preserve">Initial traffic volumes are modest enough that a modular monolith (Phases 1–3) meets performance needs before microservice decomposition (Phase 4) is justified.</w:t>
      </w:r>
    </w:p>
    <w:p>
      <w:pPr>
        <w:pStyle w:val="ListParagraph"/>
        <w:numPr>
          <w:ilvl w:val="0"/>
          <w:numId w:val="1"/>
        </w:numPr>
        <w:spacing w:after="80" w:line="270"/>
      </w:pPr>
      <w:r>
        <w:rPr>
          <w:sz w:val="21"/>
          <w:szCs w:val="21"/>
        </w:rPr>
        <w:t xml:space="preserve">Keycloak is self-hosted or managed independently; no dependency on a specific cloud provider is assumed at this stage.</w:t>
      </w:r>
    </w:p>
    <w:p>
      <w:pPr>
        <w:pStyle w:val="Heading1"/>
        <w:spacing w:after="160" w:before="360"/>
      </w:pPr>
      <w:r>
        <w:t xml:space="preserve">4. System Architecture Overview</w:t>
      </w:r>
    </w:p>
    <w:p>
      <w:pPr>
        <w:pStyle w:val="Heading2"/>
        <w:spacing w:after="120" w:before="260"/>
      </w:pPr>
      <w:r>
        <w:t xml:space="preserve">4.1 Target End-State Architecture</w:t>
      </w:r>
    </w:p>
    <w:p>
      <w:pPr>
        <w:spacing w:after="160" w:line="276"/>
      </w:pPr>
      <w:r>
        <w:rPr>
          <w:sz w:val="21"/>
          <w:szCs w:val="21"/>
        </w:rPr>
        <w:t xml:space="preserve">At full maturity, Unikly is composed of independently deployable services aligned to bounded contexts: User Profile, Job, Matching, Payment, Messaging, Notification, and Search, sitting behind an API Gateway. Services communicate asynchronously through Kafka for cross-service events — job state changes, payment events, match results — and synchronously over REST for direct queries. Angular remains the single frontend client for both client- and freelancer-facing experiences, differentiated by role-based UI.</w:t>
      </w:r>
    </w:p>
    <w:p>
      <w:pPr>
        <w:pStyle w:val="Heading2"/>
        <w:spacing w:after="120" w:before="260"/>
      </w:pPr>
      <w:r>
        <w:t xml:space="preserve">4.2 Architecture Evolution by Phase</w:t>
      </w:r>
    </w:p>
    <w:p>
      <w:pPr>
        <w:pStyle w:val="ListParagraph"/>
        <w:numPr>
          <w:ilvl w:val="0"/>
          <w:numId w:val="1"/>
        </w:numPr>
        <w:spacing w:after="80" w:line="270"/>
      </w:pPr>
      <w:r>
        <w:rPr>
          <w:sz w:val="21"/>
          <w:szCs w:val="21"/>
        </w:rPr>
        <w:t xml:space="preserve">Phases 1–3 — Modular monolith: one Spring Boot application, internally organized by the same bounded contexts the later microservices will use (package-per-domain, no cross-domain data access except through defined service interfaces). This keeps Phase 4's decomposition a refactor, not a rewrite.</w:t>
      </w:r>
    </w:p>
    <w:p>
      <w:pPr>
        <w:pStyle w:val="ListParagraph"/>
        <w:numPr>
          <w:ilvl w:val="0"/>
          <w:numId w:val="1"/>
        </w:numPr>
        <w:spacing w:after="80" w:line="270"/>
      </w:pPr>
      <w:r>
        <w:rPr>
          <w:sz w:val="21"/>
          <w:szCs w:val="21"/>
        </w:rPr>
        <w:t xml:space="preserve">Phase 4 — Contexts are extracted into standalone services one at a time, each gaining its own database and the Kafka producers/consumers for the events it owns.</w:t>
      </w:r>
    </w:p>
    <w:p>
      <w:pPr>
        <w:pStyle w:val="ListParagraph"/>
        <w:numPr>
          <w:ilvl w:val="0"/>
          <w:numId w:val="1"/>
        </w:numPr>
        <w:spacing w:after="80" w:line="270"/>
      </w:pPr>
      <w:r>
        <w:rPr>
          <w:sz w:val="21"/>
          <w:szCs w:val="21"/>
        </w:rPr>
        <w:t xml:space="preserve">Phase 5 — Services scale horizontally behind the gateway; observability and resilience patterns are hardened for higher traffic and, eventually, mobile clients.</w:t>
      </w:r>
    </w:p>
    <w:p>
      <w:pPr>
        <w:spacing w:after="100"/>
      </w:pPr>
    </w:p>
    <w:p>
      <w:pPr>
        <w:pStyle w:val="Heading2"/>
        <w:spacing w:after="120" w:before="260"/>
      </w:pPr>
      <w:r>
        <w:t xml:space="preserve">4.3 Core Technology Stack</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1926"/>
      </w:tblGrid>
      <w:tr>
        <w:trPr>
          <w:tblHeader/>
        </w:trPr>
        <w:tc>
          <w:tcPr>
            <w:tcW w:type="dxa" w:w="2400"/>
            <w:shd w:fill="1F2A44" w:val="clear"/>
            <w:tcMar>
              <w:top w:type="dxa" w:w="90"/>
              <w:left w:type="dxa" w:w="110"/>
              <w:bottom w:type="dxa" w:w="90"/>
              <w:right w:type="dxa" w:w="110"/>
            </w:tcMar>
            <w:vAlign w:val="center"/>
          </w:tcPr>
          <w:p>
            <w:r>
              <w:rPr>
                <w:b/>
                <w:bCs/>
                <w:color w:val="FFFFFF"/>
                <w:sz w:val="19"/>
                <w:szCs w:val="19"/>
              </w:rPr>
              <w:t xml:space="preserve">Layer</w:t>
            </w:r>
          </w:p>
        </w:tc>
        <w:tc>
          <w:tcPr>
            <w:tcW w:type="dxa" w:w="4500"/>
            <w:shd w:fill="1F2A44" w:val="clear"/>
            <w:tcMar>
              <w:top w:type="dxa" w:w="90"/>
              <w:left w:type="dxa" w:w="110"/>
              <w:bottom w:type="dxa" w:w="90"/>
              <w:right w:type="dxa" w:w="110"/>
            </w:tcMar>
            <w:vAlign w:val="center"/>
          </w:tcPr>
          <w:p>
            <w:r>
              <w:rPr>
                <w:b/>
                <w:bCs/>
                <w:color w:val="FFFFFF"/>
                <w:sz w:val="19"/>
                <w:szCs w:val="19"/>
              </w:rPr>
              <w:t xml:space="preserve">Technology</w:t>
            </w:r>
          </w:p>
        </w:tc>
        <w:tc>
          <w:tcPr>
            <w:tcW w:type="dxa" w:w="1926"/>
            <w:shd w:fill="1F2A44" w:val="clear"/>
            <w:tcMar>
              <w:top w:type="dxa" w:w="90"/>
              <w:left w:type="dxa" w:w="110"/>
              <w:bottom w:type="dxa" w:w="90"/>
              <w:right w:type="dxa" w:w="110"/>
            </w:tcMar>
            <w:vAlign w:val="center"/>
          </w:tcPr>
          <w:p>
            <w:r>
              <w:rPr>
                <w:b/>
                <w:bCs/>
                <w:color w:val="FFFFFF"/>
                <w:sz w:val="19"/>
                <w:szCs w:val="19"/>
              </w:rPr>
              <w:t xml:space="preserve">Introduced</w:t>
            </w:r>
          </w:p>
        </w:tc>
      </w:tr>
      <w:tr>
        <w:tc>
          <w:tcPr>
            <w:tcW w:type="dxa" w:w="2400"/>
            <w:tcMar>
              <w:top w:type="dxa" w:w="70"/>
              <w:left w:type="dxa" w:w="110"/>
              <w:bottom w:type="dxa" w:w="70"/>
              <w:right w:type="dxa" w:w="110"/>
            </w:tcMar>
            <w:vAlign w:val="center"/>
          </w:tcPr>
          <w:p>
            <w:r>
              <w:rPr>
                <w:sz w:val="19"/>
                <w:szCs w:val="19"/>
              </w:rPr>
              <w:t xml:space="preserve">Frontend</w:t>
            </w:r>
          </w:p>
        </w:tc>
        <w:tc>
          <w:tcPr>
            <w:tcW w:type="dxa" w:w="4500"/>
            <w:tcMar>
              <w:top w:type="dxa" w:w="70"/>
              <w:left w:type="dxa" w:w="110"/>
              <w:bottom w:type="dxa" w:w="70"/>
              <w:right w:type="dxa" w:w="110"/>
            </w:tcMar>
            <w:vAlign w:val="center"/>
          </w:tcPr>
          <w:p>
            <w:r>
              <w:rPr>
                <w:sz w:val="19"/>
                <w:szCs w:val="19"/>
              </w:rPr>
              <w:t xml:space="preserve">Angular, TypeScript, ngx-translate</w:t>
            </w:r>
          </w:p>
        </w:tc>
        <w:tc>
          <w:tcPr>
            <w:tcW w:type="dxa" w:w="1926"/>
            <w:tcMar>
              <w:top w:type="dxa" w:w="70"/>
              <w:left w:type="dxa" w:w="110"/>
              <w:bottom w:type="dxa" w:w="70"/>
              <w:right w:type="dxa" w:w="110"/>
            </w:tcMar>
            <w:vAlign w:val="center"/>
          </w:tcPr>
          <w:p>
            <w:r>
              <w:rPr>
                <w:sz w:val="19"/>
                <w:szCs w:val="19"/>
              </w:rPr>
              <w:t xml:space="preserve">Phase 1</w:t>
            </w:r>
          </w:p>
        </w:tc>
      </w:tr>
      <w:tr>
        <w:tc>
          <w:tcPr>
            <w:tcW w:type="dxa" w:w="2400"/>
            <w:shd w:fill="F2F4F6" w:val="clear"/>
            <w:tcMar>
              <w:top w:type="dxa" w:w="70"/>
              <w:left w:type="dxa" w:w="110"/>
              <w:bottom w:type="dxa" w:w="70"/>
              <w:right w:type="dxa" w:w="110"/>
            </w:tcMar>
            <w:vAlign w:val="center"/>
          </w:tcPr>
          <w:p>
            <w:r>
              <w:rPr>
                <w:sz w:val="19"/>
                <w:szCs w:val="19"/>
              </w:rPr>
              <w:t xml:space="preserve">Backend</w:t>
            </w:r>
          </w:p>
        </w:tc>
        <w:tc>
          <w:tcPr>
            <w:tcW w:type="dxa" w:w="4500"/>
            <w:shd w:fill="F2F4F6" w:val="clear"/>
            <w:tcMar>
              <w:top w:type="dxa" w:w="70"/>
              <w:left w:type="dxa" w:w="110"/>
              <w:bottom w:type="dxa" w:w="70"/>
              <w:right w:type="dxa" w:w="110"/>
            </w:tcMar>
            <w:vAlign w:val="center"/>
          </w:tcPr>
          <w:p>
            <w:r>
              <w:rPr>
                <w:sz w:val="19"/>
                <w:szCs w:val="19"/>
              </w:rPr>
              <w:t xml:space="preserve">Java 21, Spring Boot 3.x</w:t>
            </w:r>
          </w:p>
        </w:tc>
        <w:tc>
          <w:tcPr>
            <w:tcW w:type="dxa" w:w="1926"/>
            <w:shd w:fill="F2F4F6" w:val="clear"/>
            <w:tcMar>
              <w:top w:type="dxa" w:w="70"/>
              <w:left w:type="dxa" w:w="110"/>
              <w:bottom w:type="dxa" w:w="70"/>
              <w:right w:type="dxa" w:w="110"/>
            </w:tcMar>
            <w:vAlign w:val="center"/>
          </w:tcPr>
          <w:p>
            <w:r>
              <w:rPr>
                <w:sz w:val="19"/>
                <w:szCs w:val="19"/>
              </w:rPr>
              <w:t xml:space="preserve">Phase 1</w:t>
            </w:r>
          </w:p>
        </w:tc>
      </w:tr>
      <w:tr>
        <w:tc>
          <w:tcPr>
            <w:tcW w:type="dxa" w:w="2400"/>
            <w:tcMar>
              <w:top w:type="dxa" w:w="70"/>
              <w:left w:type="dxa" w:w="110"/>
              <w:bottom w:type="dxa" w:w="70"/>
              <w:right w:type="dxa" w:w="110"/>
            </w:tcMar>
            <w:vAlign w:val="center"/>
          </w:tcPr>
          <w:p>
            <w:r>
              <w:rPr>
                <w:sz w:val="19"/>
                <w:szCs w:val="19"/>
              </w:rPr>
              <w:t xml:space="preserve">Database</w:t>
            </w:r>
          </w:p>
        </w:tc>
        <w:tc>
          <w:tcPr>
            <w:tcW w:type="dxa" w:w="4500"/>
            <w:tcMar>
              <w:top w:type="dxa" w:w="70"/>
              <w:left w:type="dxa" w:w="110"/>
              <w:bottom w:type="dxa" w:w="70"/>
              <w:right w:type="dxa" w:w="110"/>
            </w:tcMar>
            <w:vAlign w:val="center"/>
          </w:tcPr>
          <w:p>
            <w:r>
              <w:rPr>
                <w:sz w:val="19"/>
                <w:szCs w:val="19"/>
              </w:rPr>
              <w:t xml:space="preserve">PostgreSQL</w:t>
            </w:r>
          </w:p>
        </w:tc>
        <w:tc>
          <w:tcPr>
            <w:tcW w:type="dxa" w:w="1926"/>
            <w:tcMar>
              <w:top w:type="dxa" w:w="70"/>
              <w:left w:type="dxa" w:w="110"/>
              <w:bottom w:type="dxa" w:w="70"/>
              <w:right w:type="dxa" w:w="110"/>
            </w:tcMar>
            <w:vAlign w:val="center"/>
          </w:tcPr>
          <w:p>
            <w:r>
              <w:rPr>
                <w:sz w:val="19"/>
                <w:szCs w:val="19"/>
              </w:rPr>
              <w:t xml:space="preserve">Phase 1</w:t>
            </w:r>
          </w:p>
        </w:tc>
      </w:tr>
      <w:tr>
        <w:tc>
          <w:tcPr>
            <w:tcW w:type="dxa" w:w="2400"/>
            <w:shd w:fill="F2F4F6" w:val="clear"/>
            <w:tcMar>
              <w:top w:type="dxa" w:w="70"/>
              <w:left w:type="dxa" w:w="110"/>
              <w:bottom w:type="dxa" w:w="70"/>
              <w:right w:type="dxa" w:w="110"/>
            </w:tcMar>
            <w:vAlign w:val="center"/>
          </w:tcPr>
          <w:p>
            <w:r>
              <w:rPr>
                <w:sz w:val="19"/>
                <w:szCs w:val="19"/>
              </w:rPr>
              <w:t xml:space="preserve">Identity</w:t>
            </w:r>
          </w:p>
        </w:tc>
        <w:tc>
          <w:tcPr>
            <w:tcW w:type="dxa" w:w="4500"/>
            <w:shd w:fill="F2F4F6" w:val="clear"/>
            <w:tcMar>
              <w:top w:type="dxa" w:w="70"/>
              <w:left w:type="dxa" w:w="110"/>
              <w:bottom w:type="dxa" w:w="70"/>
              <w:right w:type="dxa" w:w="110"/>
            </w:tcMar>
            <w:vAlign w:val="center"/>
          </w:tcPr>
          <w:p>
            <w:r>
              <w:rPr>
                <w:sz w:val="19"/>
                <w:szCs w:val="19"/>
              </w:rPr>
              <w:t xml:space="preserve">Keycloak (OIDC, PKCE)</w:t>
            </w:r>
          </w:p>
        </w:tc>
        <w:tc>
          <w:tcPr>
            <w:tcW w:type="dxa" w:w="1926"/>
            <w:shd w:fill="F2F4F6" w:val="clear"/>
            <w:tcMar>
              <w:top w:type="dxa" w:w="70"/>
              <w:left w:type="dxa" w:w="110"/>
              <w:bottom w:type="dxa" w:w="70"/>
              <w:right w:type="dxa" w:w="110"/>
            </w:tcMar>
            <w:vAlign w:val="center"/>
          </w:tcPr>
          <w:p>
            <w:r>
              <w:rPr>
                <w:sz w:val="19"/>
                <w:szCs w:val="19"/>
              </w:rPr>
              <w:t xml:space="preserve">Phase 1</w:t>
            </w:r>
          </w:p>
        </w:tc>
      </w:tr>
      <w:tr>
        <w:tc>
          <w:tcPr>
            <w:tcW w:type="dxa" w:w="2400"/>
            <w:tcMar>
              <w:top w:type="dxa" w:w="70"/>
              <w:left w:type="dxa" w:w="110"/>
              <w:bottom w:type="dxa" w:w="70"/>
              <w:right w:type="dxa" w:w="110"/>
            </w:tcMar>
            <w:vAlign w:val="center"/>
          </w:tcPr>
          <w:p>
            <w:r>
              <w:rPr>
                <w:sz w:val="19"/>
                <w:szCs w:val="19"/>
              </w:rPr>
              <w:t xml:space="preserve">Object storage</w:t>
            </w:r>
          </w:p>
        </w:tc>
        <w:tc>
          <w:tcPr>
            <w:tcW w:type="dxa" w:w="4500"/>
            <w:tcMar>
              <w:top w:type="dxa" w:w="70"/>
              <w:left w:type="dxa" w:w="110"/>
              <w:bottom w:type="dxa" w:w="70"/>
              <w:right w:type="dxa" w:w="110"/>
            </w:tcMar>
            <w:vAlign w:val="center"/>
          </w:tcPr>
          <w:p>
            <w:r>
              <w:rPr>
                <w:sz w:val="19"/>
                <w:szCs w:val="19"/>
              </w:rPr>
              <w:t xml:space="preserve">MinIO</w:t>
            </w:r>
          </w:p>
        </w:tc>
        <w:tc>
          <w:tcPr>
            <w:tcW w:type="dxa" w:w="1926"/>
            <w:tcMar>
              <w:top w:type="dxa" w:w="70"/>
              <w:left w:type="dxa" w:w="110"/>
              <w:bottom w:type="dxa" w:w="70"/>
              <w:right w:type="dxa" w:w="110"/>
            </w:tcMar>
            <w:vAlign w:val="center"/>
          </w:tcPr>
          <w:p>
            <w:r>
              <w:rPr>
                <w:sz w:val="19"/>
                <w:szCs w:val="19"/>
              </w:rPr>
              <w:t xml:space="preserve">Phase 1</w:t>
            </w:r>
          </w:p>
        </w:tc>
      </w:tr>
      <w:tr>
        <w:tc>
          <w:tcPr>
            <w:tcW w:type="dxa" w:w="2400"/>
            <w:shd w:fill="F2F4F6" w:val="clear"/>
            <w:tcMar>
              <w:top w:type="dxa" w:w="70"/>
              <w:left w:type="dxa" w:w="110"/>
              <w:bottom w:type="dxa" w:w="70"/>
              <w:right w:type="dxa" w:w="110"/>
            </w:tcMar>
            <w:vAlign w:val="center"/>
          </w:tcPr>
          <w:p>
            <w:r>
              <w:rPr>
                <w:sz w:val="19"/>
                <w:szCs w:val="19"/>
              </w:rPr>
              <w:t xml:space="preserve">Payments</w:t>
            </w:r>
          </w:p>
        </w:tc>
        <w:tc>
          <w:tcPr>
            <w:tcW w:type="dxa" w:w="4500"/>
            <w:shd w:fill="F2F4F6" w:val="clear"/>
            <w:tcMar>
              <w:top w:type="dxa" w:w="70"/>
              <w:left w:type="dxa" w:w="110"/>
              <w:bottom w:type="dxa" w:w="70"/>
              <w:right w:type="dxa" w:w="110"/>
            </w:tcMar>
            <w:vAlign w:val="center"/>
          </w:tcPr>
          <w:p>
            <w:r>
              <w:rPr>
                <w:sz w:val="19"/>
                <w:szCs w:val="19"/>
              </w:rPr>
              <w:t xml:space="preserve">Stripe Connect</w:t>
            </w:r>
          </w:p>
        </w:tc>
        <w:tc>
          <w:tcPr>
            <w:tcW w:type="dxa" w:w="1926"/>
            <w:shd w:fill="F2F4F6" w:val="clear"/>
            <w:tcMar>
              <w:top w:type="dxa" w:w="70"/>
              <w:left w:type="dxa" w:w="110"/>
              <w:bottom w:type="dxa" w:w="70"/>
              <w:right w:type="dxa" w:w="110"/>
            </w:tcMar>
            <w:vAlign w:val="center"/>
          </w:tcPr>
          <w:p>
            <w:r>
              <w:rPr>
                <w:sz w:val="19"/>
                <w:szCs w:val="19"/>
              </w:rPr>
              <w:t xml:space="preserve">Phase 2</w:t>
            </w:r>
          </w:p>
        </w:tc>
      </w:tr>
      <w:tr>
        <w:tc>
          <w:tcPr>
            <w:tcW w:type="dxa" w:w="2400"/>
            <w:tcMar>
              <w:top w:type="dxa" w:w="70"/>
              <w:left w:type="dxa" w:w="110"/>
              <w:bottom w:type="dxa" w:w="70"/>
              <w:right w:type="dxa" w:w="110"/>
            </w:tcMar>
            <w:vAlign w:val="center"/>
          </w:tcPr>
          <w:p>
            <w:r>
              <w:rPr>
                <w:sz w:val="19"/>
                <w:szCs w:val="19"/>
              </w:rPr>
              <w:t xml:space="preserve">Search index</w:t>
            </w:r>
          </w:p>
        </w:tc>
        <w:tc>
          <w:tcPr>
            <w:tcW w:type="dxa" w:w="4500"/>
            <w:tcMar>
              <w:top w:type="dxa" w:w="70"/>
              <w:left w:type="dxa" w:w="110"/>
              <w:bottom w:type="dxa" w:w="70"/>
              <w:right w:type="dxa" w:w="110"/>
            </w:tcMar>
            <w:vAlign w:val="center"/>
          </w:tcPr>
          <w:p>
            <w:r>
              <w:rPr>
                <w:sz w:val="19"/>
                <w:szCs w:val="19"/>
              </w:rPr>
              <w:t xml:space="preserve">OpenSearch / Elasticsearch</w:t>
            </w:r>
          </w:p>
        </w:tc>
        <w:tc>
          <w:tcPr>
            <w:tcW w:type="dxa" w:w="1926"/>
            <w:tcMar>
              <w:top w:type="dxa" w:w="70"/>
              <w:left w:type="dxa" w:w="110"/>
              <w:bottom w:type="dxa" w:w="70"/>
              <w:right w:type="dxa" w:w="110"/>
            </w:tcMar>
            <w:vAlign w:val="center"/>
          </w:tcPr>
          <w:p>
            <w:r>
              <w:rPr>
                <w:sz w:val="19"/>
                <w:szCs w:val="19"/>
              </w:rPr>
              <w:t xml:space="preserve">Phase 3</w:t>
            </w:r>
          </w:p>
        </w:tc>
      </w:tr>
      <w:tr>
        <w:tc>
          <w:tcPr>
            <w:tcW w:type="dxa" w:w="2400"/>
            <w:shd w:fill="F2F4F6" w:val="clear"/>
            <w:tcMar>
              <w:top w:type="dxa" w:w="70"/>
              <w:left w:type="dxa" w:w="110"/>
              <w:bottom w:type="dxa" w:w="70"/>
              <w:right w:type="dxa" w:w="110"/>
            </w:tcMar>
            <w:vAlign w:val="center"/>
          </w:tcPr>
          <w:p>
            <w:r>
              <w:rPr>
                <w:sz w:val="19"/>
                <w:szCs w:val="19"/>
              </w:rPr>
              <w:t xml:space="preserve">Real-time</w:t>
            </w:r>
          </w:p>
        </w:tc>
        <w:tc>
          <w:tcPr>
            <w:tcW w:type="dxa" w:w="4500"/>
            <w:shd w:fill="F2F4F6" w:val="clear"/>
            <w:tcMar>
              <w:top w:type="dxa" w:w="70"/>
              <w:left w:type="dxa" w:w="110"/>
              <w:bottom w:type="dxa" w:w="70"/>
              <w:right w:type="dxa" w:w="110"/>
            </w:tcMar>
            <w:vAlign w:val="center"/>
          </w:tcPr>
          <w:p>
            <w:r>
              <w:rPr>
                <w:sz w:val="19"/>
                <w:szCs w:val="19"/>
              </w:rPr>
              <w:t xml:space="preserve">WebSocket / STOMP</w:t>
            </w:r>
          </w:p>
        </w:tc>
        <w:tc>
          <w:tcPr>
            <w:tcW w:type="dxa" w:w="1926"/>
            <w:shd w:fill="F2F4F6" w:val="clear"/>
            <w:tcMar>
              <w:top w:type="dxa" w:w="70"/>
              <w:left w:type="dxa" w:w="110"/>
              <w:bottom w:type="dxa" w:w="70"/>
              <w:right w:type="dxa" w:w="110"/>
            </w:tcMar>
            <w:vAlign w:val="center"/>
          </w:tcPr>
          <w:p>
            <w:r>
              <w:rPr>
                <w:sz w:val="19"/>
                <w:szCs w:val="19"/>
              </w:rPr>
              <w:t xml:space="preserve">Phase 3</w:t>
            </w:r>
          </w:p>
        </w:tc>
      </w:tr>
      <w:tr>
        <w:tc>
          <w:tcPr>
            <w:tcW w:type="dxa" w:w="2400"/>
            <w:tcMar>
              <w:top w:type="dxa" w:w="70"/>
              <w:left w:type="dxa" w:w="110"/>
              <w:bottom w:type="dxa" w:w="70"/>
              <w:right w:type="dxa" w:w="110"/>
            </w:tcMar>
            <w:vAlign w:val="center"/>
          </w:tcPr>
          <w:p>
            <w:r>
              <w:rPr>
                <w:sz w:val="19"/>
                <w:szCs w:val="19"/>
              </w:rPr>
              <w:t xml:space="preserve">Event backbone</w:t>
            </w:r>
          </w:p>
        </w:tc>
        <w:tc>
          <w:tcPr>
            <w:tcW w:type="dxa" w:w="4500"/>
            <w:tcMar>
              <w:top w:type="dxa" w:w="70"/>
              <w:left w:type="dxa" w:w="110"/>
              <w:bottom w:type="dxa" w:w="70"/>
              <w:right w:type="dxa" w:w="110"/>
            </w:tcMar>
            <w:vAlign w:val="center"/>
          </w:tcPr>
          <w:p>
            <w:r>
              <w:rPr>
                <w:sz w:val="19"/>
                <w:szCs w:val="19"/>
              </w:rPr>
              <w:t xml:space="preserve">Apache Kafka (KRaft)</w:t>
            </w:r>
          </w:p>
        </w:tc>
        <w:tc>
          <w:tcPr>
            <w:tcW w:type="dxa" w:w="1926"/>
            <w:tcMar>
              <w:top w:type="dxa" w:w="70"/>
              <w:left w:type="dxa" w:w="110"/>
              <w:bottom w:type="dxa" w:w="70"/>
              <w:right w:type="dxa" w:w="110"/>
            </w:tcMar>
            <w:vAlign w:val="center"/>
          </w:tcPr>
          <w:p>
            <w:r>
              <w:rPr>
                <w:sz w:val="19"/>
                <w:szCs w:val="19"/>
              </w:rPr>
              <w:t xml:space="preserve">Phase 4</w:t>
            </w:r>
          </w:p>
        </w:tc>
      </w:tr>
      <w:tr>
        <w:tc>
          <w:tcPr>
            <w:tcW w:type="dxa" w:w="2400"/>
            <w:shd w:fill="F2F4F6" w:val="clear"/>
            <w:tcMar>
              <w:top w:type="dxa" w:w="70"/>
              <w:left w:type="dxa" w:w="110"/>
              <w:bottom w:type="dxa" w:w="70"/>
              <w:right w:type="dxa" w:w="110"/>
            </w:tcMar>
            <w:vAlign w:val="center"/>
          </w:tcPr>
          <w:p>
            <w:r>
              <w:rPr>
                <w:sz w:val="19"/>
                <w:szCs w:val="19"/>
              </w:rPr>
              <w:t xml:space="preserve">Resilience</w:t>
            </w:r>
          </w:p>
        </w:tc>
        <w:tc>
          <w:tcPr>
            <w:tcW w:type="dxa" w:w="4500"/>
            <w:shd w:fill="F2F4F6" w:val="clear"/>
            <w:tcMar>
              <w:top w:type="dxa" w:w="70"/>
              <w:left w:type="dxa" w:w="110"/>
              <w:bottom w:type="dxa" w:w="70"/>
              <w:right w:type="dxa" w:w="110"/>
            </w:tcMar>
            <w:vAlign w:val="center"/>
          </w:tcPr>
          <w:p>
            <w:r>
              <w:rPr>
                <w:sz w:val="19"/>
                <w:szCs w:val="19"/>
              </w:rPr>
              <w:t xml:space="preserve">Resilience4j (circuit breakers, retries)</w:t>
            </w:r>
          </w:p>
        </w:tc>
        <w:tc>
          <w:tcPr>
            <w:tcW w:type="dxa" w:w="1926"/>
            <w:shd w:fill="F2F4F6" w:val="clear"/>
            <w:tcMar>
              <w:top w:type="dxa" w:w="70"/>
              <w:left w:type="dxa" w:w="110"/>
              <w:bottom w:type="dxa" w:w="70"/>
              <w:right w:type="dxa" w:w="110"/>
            </w:tcMar>
            <w:vAlign w:val="center"/>
          </w:tcPr>
          <w:p>
            <w:r>
              <w:rPr>
                <w:sz w:val="19"/>
                <w:szCs w:val="19"/>
              </w:rPr>
              <w:t xml:space="preserve">Phase 4</w:t>
            </w:r>
          </w:p>
        </w:tc>
      </w:tr>
      <w:tr>
        <w:tc>
          <w:tcPr>
            <w:tcW w:type="dxa" w:w="2400"/>
            <w:tcMar>
              <w:top w:type="dxa" w:w="70"/>
              <w:left w:type="dxa" w:w="110"/>
              <w:bottom w:type="dxa" w:w="70"/>
              <w:right w:type="dxa" w:w="110"/>
            </w:tcMar>
            <w:vAlign w:val="center"/>
          </w:tcPr>
          <w:p>
            <w:r>
              <w:rPr>
                <w:sz w:val="19"/>
                <w:szCs w:val="19"/>
              </w:rPr>
              <w:t xml:space="preserve">Observability</w:t>
            </w:r>
          </w:p>
        </w:tc>
        <w:tc>
          <w:tcPr>
            <w:tcW w:type="dxa" w:w="4500"/>
            <w:tcMar>
              <w:top w:type="dxa" w:w="70"/>
              <w:left w:type="dxa" w:w="110"/>
              <w:bottom w:type="dxa" w:w="70"/>
              <w:right w:type="dxa" w:w="110"/>
            </w:tcMar>
            <w:vAlign w:val="center"/>
          </w:tcPr>
          <w:p>
            <w:r>
              <w:rPr>
                <w:sz w:val="19"/>
                <w:szCs w:val="19"/>
              </w:rPr>
              <w:t xml:space="preserve">Prometheus, Grafana, Sentry</w:t>
            </w:r>
          </w:p>
        </w:tc>
        <w:tc>
          <w:tcPr>
            <w:tcW w:type="dxa" w:w="1926"/>
            <w:tcMar>
              <w:top w:type="dxa" w:w="70"/>
              <w:left w:type="dxa" w:w="110"/>
              <w:bottom w:type="dxa" w:w="70"/>
              <w:right w:type="dxa" w:w="110"/>
            </w:tcMar>
            <w:vAlign w:val="center"/>
          </w:tcPr>
          <w:p>
            <w:r>
              <w:rPr>
                <w:sz w:val="19"/>
                <w:szCs w:val="19"/>
              </w:rPr>
              <w:t xml:space="preserve">Phase 4</w:t>
            </w:r>
          </w:p>
        </w:tc>
      </w:tr>
      <w:tr>
        <w:tc>
          <w:tcPr>
            <w:tcW w:type="dxa" w:w="2400"/>
            <w:shd w:fill="F2F4F6" w:val="clear"/>
            <w:tcMar>
              <w:top w:type="dxa" w:w="70"/>
              <w:left w:type="dxa" w:w="110"/>
              <w:bottom w:type="dxa" w:w="70"/>
              <w:right w:type="dxa" w:w="110"/>
            </w:tcMar>
            <w:vAlign w:val="center"/>
          </w:tcPr>
          <w:p>
            <w:r>
              <w:rPr>
                <w:sz w:val="19"/>
                <w:szCs w:val="19"/>
              </w:rPr>
              <w:t xml:space="preserve">Orchestration</w:t>
            </w:r>
          </w:p>
        </w:tc>
        <w:tc>
          <w:tcPr>
            <w:tcW w:type="dxa" w:w="4500"/>
            <w:shd w:fill="F2F4F6" w:val="clear"/>
            <w:tcMar>
              <w:top w:type="dxa" w:w="70"/>
              <w:left w:type="dxa" w:w="110"/>
              <w:bottom w:type="dxa" w:w="70"/>
              <w:right w:type="dxa" w:w="110"/>
            </w:tcMar>
            <w:vAlign w:val="center"/>
          </w:tcPr>
          <w:p>
            <w:r>
              <w:rPr>
                <w:sz w:val="19"/>
                <w:szCs w:val="19"/>
              </w:rPr>
              <w:t xml:space="preserve">Docker Compose → Kubernetes</w:t>
            </w:r>
          </w:p>
        </w:tc>
        <w:tc>
          <w:tcPr>
            <w:tcW w:type="dxa" w:w="1926"/>
            <w:shd w:fill="F2F4F6" w:val="clear"/>
            <w:tcMar>
              <w:top w:type="dxa" w:w="70"/>
              <w:left w:type="dxa" w:w="110"/>
              <w:bottom w:type="dxa" w:w="70"/>
              <w:right w:type="dxa" w:w="110"/>
            </w:tcMar>
            <w:vAlign w:val="center"/>
          </w:tcPr>
          <w:p>
            <w:r>
              <w:rPr>
                <w:sz w:val="19"/>
                <w:szCs w:val="19"/>
              </w:rPr>
              <w:t xml:space="preserve">Phase 1 → Phase 5</w:t>
            </w:r>
          </w:p>
        </w:tc>
      </w:tr>
    </w:tbl>
    <w:p>
      <w:pPr>
        <w:pStyle w:val="Heading1"/>
        <w:spacing w:after="160" w:before="360"/>
      </w:pPr>
      <w:r>
        <w:t xml:space="preserve">5. User Roles &amp; Permissions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026"/>
      </w:tblGrid>
      <w:tr>
        <w:trPr>
          <w:tblHeader/>
        </w:trPr>
        <w:tc>
          <w:tcPr>
            <w:tcW w:type="dxa" w:w="1600"/>
            <w:shd w:fill="1F2A44" w:val="clear"/>
            <w:tcMar>
              <w:top w:type="dxa" w:w="90"/>
              <w:left w:type="dxa" w:w="110"/>
              <w:bottom w:type="dxa" w:w="90"/>
              <w:right w:type="dxa" w:w="110"/>
            </w:tcMar>
            <w:vAlign w:val="center"/>
          </w:tcPr>
          <w:p>
            <w:r>
              <w:rPr>
                <w:b/>
                <w:bCs/>
                <w:color w:val="FFFFFF"/>
                <w:sz w:val="19"/>
                <w:szCs w:val="19"/>
              </w:rPr>
              <w:t xml:space="preserve">Role</w:t>
            </w:r>
          </w:p>
        </w:tc>
        <w:tc>
          <w:tcPr>
            <w:tcW w:type="dxa" w:w="3200"/>
            <w:shd w:fill="1F2A44" w:val="clear"/>
            <w:tcMar>
              <w:top w:type="dxa" w:w="90"/>
              <w:left w:type="dxa" w:w="110"/>
              <w:bottom w:type="dxa" w:w="90"/>
              <w:right w:type="dxa" w:w="110"/>
            </w:tcMar>
            <w:vAlign w:val="center"/>
          </w:tcPr>
          <w:p>
            <w:r>
              <w:rPr>
                <w:b/>
                <w:bCs/>
                <w:color w:val="FFFFFF"/>
                <w:sz w:val="19"/>
                <w:szCs w:val="19"/>
              </w:rPr>
              <w:t xml:space="preserve">Description</w:t>
            </w:r>
          </w:p>
        </w:tc>
        <w:tc>
          <w:tcPr>
            <w:tcW w:type="dxa" w:w="4026"/>
            <w:shd w:fill="1F2A44" w:val="clear"/>
            <w:tcMar>
              <w:top w:type="dxa" w:w="90"/>
              <w:left w:type="dxa" w:w="110"/>
              <w:bottom w:type="dxa" w:w="90"/>
              <w:right w:type="dxa" w:w="110"/>
            </w:tcMar>
            <w:vAlign w:val="center"/>
          </w:tcPr>
          <w:p>
            <w:r>
              <w:rPr>
                <w:b/>
                <w:bCs/>
                <w:color w:val="FFFFFF"/>
                <w:sz w:val="19"/>
                <w:szCs w:val="19"/>
              </w:rPr>
              <w:t xml:space="preserve">Key Permissions</w:t>
            </w:r>
          </w:p>
        </w:tc>
      </w:tr>
      <w:tr>
        <w:tc>
          <w:tcPr>
            <w:tcW w:type="dxa" w:w="1600"/>
            <w:tcMar>
              <w:top w:type="dxa" w:w="70"/>
              <w:left w:type="dxa" w:w="110"/>
              <w:bottom w:type="dxa" w:w="70"/>
              <w:right w:type="dxa" w:w="110"/>
            </w:tcMar>
            <w:vAlign w:val="center"/>
          </w:tcPr>
          <w:p>
            <w:r>
              <w:rPr>
                <w:sz w:val="19"/>
                <w:szCs w:val="19"/>
              </w:rPr>
              <w:t xml:space="preserve">Client</w:t>
            </w:r>
          </w:p>
        </w:tc>
        <w:tc>
          <w:tcPr>
            <w:tcW w:type="dxa" w:w="3200"/>
            <w:tcMar>
              <w:top w:type="dxa" w:w="70"/>
              <w:left w:type="dxa" w:w="110"/>
              <w:bottom w:type="dxa" w:w="70"/>
              <w:right w:type="dxa" w:w="110"/>
            </w:tcMar>
            <w:vAlign w:val="center"/>
          </w:tcPr>
          <w:p>
            <w:r>
              <w:rPr>
                <w:sz w:val="19"/>
                <w:szCs w:val="19"/>
              </w:rPr>
              <w:t xml:space="preserve">Individual or business seeking work to be done.</w:t>
            </w:r>
          </w:p>
        </w:tc>
        <w:tc>
          <w:tcPr>
            <w:tcW w:type="dxa" w:w="4026"/>
            <w:tcMar>
              <w:top w:type="dxa" w:w="70"/>
              <w:left w:type="dxa" w:w="110"/>
              <w:bottom w:type="dxa" w:w="70"/>
              <w:right w:type="dxa" w:w="110"/>
            </w:tcMar>
            <w:vAlign w:val="center"/>
          </w:tcPr>
          <w:p>
            <w:r>
              <w:rPr>
                <w:sz w:val="19"/>
                <w:szCs w:val="19"/>
              </w:rPr>
              <w:t xml:space="preserve">Post/edit/close jobs, review proposals, hire freelancers, fund escrow, approve work, message, leave reviews.</w:t>
            </w:r>
          </w:p>
        </w:tc>
      </w:tr>
      <w:tr>
        <w:tc>
          <w:tcPr>
            <w:tcW w:type="dxa" w:w="1600"/>
            <w:shd w:fill="F2F4F6" w:val="clear"/>
            <w:tcMar>
              <w:top w:type="dxa" w:w="70"/>
              <w:left w:type="dxa" w:w="110"/>
              <w:bottom w:type="dxa" w:w="70"/>
              <w:right w:type="dxa" w:w="110"/>
            </w:tcMar>
            <w:vAlign w:val="center"/>
          </w:tcPr>
          <w:p>
            <w:r>
              <w:rPr>
                <w:sz w:val="19"/>
                <w:szCs w:val="19"/>
              </w:rPr>
              <w:t xml:space="preserve">Freelancer</w:t>
            </w:r>
          </w:p>
        </w:tc>
        <w:tc>
          <w:tcPr>
            <w:tcW w:type="dxa" w:w="3200"/>
            <w:shd w:fill="F2F4F6" w:val="clear"/>
            <w:tcMar>
              <w:top w:type="dxa" w:w="70"/>
              <w:left w:type="dxa" w:w="110"/>
              <w:bottom w:type="dxa" w:w="70"/>
              <w:right w:type="dxa" w:w="110"/>
            </w:tcMar>
            <w:vAlign w:val="center"/>
          </w:tcPr>
          <w:p>
            <w:r>
              <w:rPr>
                <w:sz w:val="19"/>
                <w:szCs w:val="19"/>
              </w:rPr>
              <w:t xml:space="preserve">Independent professional offering services.</w:t>
            </w:r>
          </w:p>
        </w:tc>
        <w:tc>
          <w:tcPr>
            <w:tcW w:type="dxa" w:w="4026"/>
            <w:shd w:fill="F2F4F6" w:val="clear"/>
            <w:tcMar>
              <w:top w:type="dxa" w:w="70"/>
              <w:left w:type="dxa" w:w="110"/>
              <w:bottom w:type="dxa" w:w="70"/>
              <w:right w:type="dxa" w:w="110"/>
            </w:tcMar>
            <w:vAlign w:val="center"/>
          </w:tcPr>
          <w:p>
            <w:r>
              <w:rPr>
                <w:sz w:val="19"/>
                <w:szCs w:val="19"/>
              </w:rPr>
              <w:t xml:space="preserve">Build profile, browse/search jobs, submit proposals, deliver work, receive payouts, message, leave reviews.</w:t>
            </w:r>
          </w:p>
        </w:tc>
      </w:tr>
      <w:tr>
        <w:tc>
          <w:tcPr>
            <w:tcW w:type="dxa" w:w="1600"/>
            <w:tcMar>
              <w:top w:type="dxa" w:w="70"/>
              <w:left w:type="dxa" w:w="110"/>
              <w:bottom w:type="dxa" w:w="70"/>
              <w:right w:type="dxa" w:w="110"/>
            </w:tcMar>
            <w:vAlign w:val="center"/>
          </w:tcPr>
          <w:p>
            <w:r>
              <w:rPr>
                <w:sz w:val="19"/>
                <w:szCs w:val="19"/>
              </w:rPr>
              <w:t xml:space="preserve">Administrator</w:t>
            </w:r>
          </w:p>
        </w:tc>
        <w:tc>
          <w:tcPr>
            <w:tcW w:type="dxa" w:w="3200"/>
            <w:tcMar>
              <w:top w:type="dxa" w:w="70"/>
              <w:left w:type="dxa" w:w="110"/>
              <w:bottom w:type="dxa" w:w="70"/>
              <w:right w:type="dxa" w:w="110"/>
            </w:tcMar>
            <w:vAlign w:val="center"/>
          </w:tcPr>
          <w:p>
            <w:r>
              <w:rPr>
                <w:sz w:val="19"/>
                <w:szCs w:val="19"/>
              </w:rPr>
              <w:t xml:space="preserve">Platform operator.</w:t>
            </w:r>
          </w:p>
        </w:tc>
        <w:tc>
          <w:tcPr>
            <w:tcW w:type="dxa" w:w="4026"/>
            <w:tcMar>
              <w:top w:type="dxa" w:w="70"/>
              <w:left w:type="dxa" w:w="110"/>
              <w:bottom w:type="dxa" w:w="70"/>
              <w:right w:type="dxa" w:w="110"/>
            </w:tcMar>
            <w:vAlign w:val="center"/>
          </w:tcPr>
          <w:p>
            <w:r>
              <w:rPr>
                <w:sz w:val="19"/>
                <w:szCs w:val="19"/>
              </w:rPr>
              <w:t xml:space="preserve">Manage accounts and categories, moderate content, resolve disputes, view platform-wide analytics.</w:t>
            </w:r>
          </w:p>
        </w:tc>
      </w:tr>
      <w:tr>
        <w:tc>
          <w:tcPr>
            <w:tcW w:type="dxa" w:w="1600"/>
            <w:shd w:fill="F2F4F6" w:val="clear"/>
            <w:tcMar>
              <w:top w:type="dxa" w:w="70"/>
              <w:left w:type="dxa" w:w="110"/>
              <w:bottom w:type="dxa" w:w="70"/>
              <w:right w:type="dxa" w:w="110"/>
            </w:tcMar>
            <w:vAlign w:val="center"/>
          </w:tcPr>
          <w:p>
            <w:r>
              <w:rPr>
                <w:sz w:val="19"/>
                <w:szCs w:val="19"/>
              </w:rPr>
              <w:t xml:space="preserve">Agency / Team (Phase 5)</w:t>
            </w:r>
          </w:p>
        </w:tc>
        <w:tc>
          <w:tcPr>
            <w:tcW w:type="dxa" w:w="3200"/>
            <w:shd w:fill="F2F4F6" w:val="clear"/>
            <w:tcMar>
              <w:top w:type="dxa" w:w="70"/>
              <w:left w:type="dxa" w:w="110"/>
              <w:bottom w:type="dxa" w:w="70"/>
              <w:right w:type="dxa" w:w="110"/>
            </w:tcMar>
            <w:vAlign w:val="center"/>
          </w:tcPr>
          <w:p>
            <w:r>
              <w:rPr>
                <w:sz w:val="19"/>
                <w:szCs w:val="19"/>
              </w:rPr>
              <w:t xml:space="preserve">Group of freelancers under one organizational account.</w:t>
            </w:r>
          </w:p>
        </w:tc>
        <w:tc>
          <w:tcPr>
            <w:tcW w:type="dxa" w:w="4026"/>
            <w:shd w:fill="F2F4F6" w:val="clear"/>
            <w:tcMar>
              <w:top w:type="dxa" w:w="70"/>
              <w:left w:type="dxa" w:w="110"/>
              <w:bottom w:type="dxa" w:w="70"/>
              <w:right w:type="dxa" w:w="110"/>
            </w:tcMar>
            <w:vAlign w:val="center"/>
          </w:tcPr>
          <w:p>
            <w:r>
              <w:rPr>
                <w:sz w:val="19"/>
                <w:szCs w:val="19"/>
              </w:rPr>
              <w:t xml:space="preserve">All freelancer permissions, plus manage member roster and route jobs among members.</w:t>
            </w:r>
          </w:p>
        </w:tc>
      </w:tr>
    </w:tbl>
    <w:p>
      <w:pPr>
        <w:pStyle w:val="Heading1"/>
        <w:spacing w:after="160" w:before="360"/>
      </w:pPr>
      <w:r>
        <w:t xml:space="preserve">6. Functional Requirements</w:t>
      </w:r>
    </w:p>
    <w:p>
      <w:pPr>
        <w:pStyle w:val="Heading2"/>
        <w:spacing w:after="120" w:before="260"/>
      </w:pPr>
      <w:r>
        <w:t xml:space="preserve">6.1 Identity &amp; Access Management</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FR-AUTH-01</w:t>
            </w:r>
          </w:p>
        </w:tc>
        <w:tc>
          <w:tcPr>
            <w:tcW w:type="dxa" w:w="5600"/>
            <w:tcMar>
              <w:top w:type="dxa" w:w="70"/>
              <w:left w:type="dxa" w:w="110"/>
              <w:bottom w:type="dxa" w:w="70"/>
              <w:right w:type="dxa" w:w="110"/>
            </w:tcMar>
            <w:vAlign w:val="center"/>
          </w:tcPr>
          <w:p>
            <w:r>
              <w:rPr>
                <w:sz w:val="19"/>
                <w:szCs w:val="19"/>
              </w:rPr>
              <w:t xml:space="preserve">Users can register as a Client or Freelancer with email and password.</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FR-AUTH-02</w:t>
            </w:r>
          </w:p>
        </w:tc>
        <w:tc>
          <w:tcPr>
            <w:tcW w:type="dxa" w:w="5600"/>
            <w:shd w:fill="F2F4F6" w:val="clear"/>
            <w:tcMar>
              <w:top w:type="dxa" w:w="70"/>
              <w:left w:type="dxa" w:w="110"/>
              <w:bottom w:type="dxa" w:w="70"/>
              <w:right w:type="dxa" w:w="110"/>
            </w:tcMar>
            <w:vAlign w:val="center"/>
          </w:tcPr>
          <w:p>
            <w:r>
              <w:rPr>
                <w:sz w:val="19"/>
                <w:szCs w:val="19"/>
              </w:rPr>
              <w:t xml:space="preserve">Users can log in and maintain a session via a Keycloak-issued JWT.</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FR-AUTH-03</w:t>
            </w:r>
          </w:p>
        </w:tc>
        <w:tc>
          <w:tcPr>
            <w:tcW w:type="dxa" w:w="5600"/>
            <w:tcMar>
              <w:top w:type="dxa" w:w="70"/>
              <w:left w:type="dxa" w:w="110"/>
              <w:bottom w:type="dxa" w:w="70"/>
              <w:right w:type="dxa" w:w="110"/>
            </w:tcMar>
            <w:vAlign w:val="center"/>
          </w:tcPr>
          <w:p>
            <w:r>
              <w:rPr>
                <w:sz w:val="19"/>
                <w:szCs w:val="19"/>
              </w:rPr>
              <w:t xml:space="preserve">Users can reset a forgotten password via an emailed link.</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FR-AUTH-04</w:t>
            </w:r>
          </w:p>
        </w:tc>
        <w:tc>
          <w:tcPr>
            <w:tcW w:type="dxa" w:w="5600"/>
            <w:shd w:fill="F2F4F6" w:val="clear"/>
            <w:tcMar>
              <w:top w:type="dxa" w:w="70"/>
              <w:left w:type="dxa" w:w="110"/>
              <w:bottom w:type="dxa" w:w="70"/>
              <w:right w:type="dxa" w:w="110"/>
            </w:tcMar>
            <w:vAlign w:val="center"/>
          </w:tcPr>
          <w:p>
            <w:r>
              <w:rPr>
                <w:sz w:val="19"/>
                <w:szCs w:val="19"/>
              </w:rPr>
              <w:t xml:space="preserve">Role-based access control restricts API endpoints and UI views by role.</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FR-AUTH-05</w:t>
            </w:r>
          </w:p>
        </w:tc>
        <w:tc>
          <w:tcPr>
            <w:tcW w:type="dxa" w:w="5600"/>
            <w:tcMar>
              <w:top w:type="dxa" w:w="70"/>
              <w:left w:type="dxa" w:w="110"/>
              <w:bottom w:type="dxa" w:w="70"/>
              <w:right w:type="dxa" w:w="110"/>
            </w:tcMar>
            <w:vAlign w:val="center"/>
          </w:tcPr>
          <w:p>
            <w:r>
              <w:rPr>
                <w:sz w:val="19"/>
                <w:szCs w:val="19"/>
              </w:rPr>
              <w:t xml:space="preserve">Users can log in via a social identity provider (Google) brokered through Keycloak.</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FR-AUTH-06</w:t>
            </w:r>
          </w:p>
        </w:tc>
        <w:tc>
          <w:tcPr>
            <w:tcW w:type="dxa" w:w="5600"/>
            <w:shd w:fill="F2F4F6" w:val="clear"/>
            <w:tcMar>
              <w:top w:type="dxa" w:w="70"/>
              <w:left w:type="dxa" w:w="110"/>
              <w:bottom w:type="dxa" w:w="70"/>
              <w:right w:type="dxa" w:w="110"/>
            </w:tcMar>
            <w:vAlign w:val="center"/>
          </w:tcPr>
          <w:p>
            <w:r>
              <w:rPr>
                <w:sz w:val="19"/>
                <w:szCs w:val="19"/>
              </w:rPr>
              <w:t xml:space="preserve">High-value accounts can enable multi-factor authentication.</w:t>
            </w:r>
          </w:p>
        </w:tc>
        <w:tc>
          <w:tcPr>
            <w:tcW w:type="dxa" w:w="1300"/>
            <w:shd w:fill="F2F4F6" w:val="clear"/>
            <w:tcMar>
              <w:top w:type="dxa" w:w="70"/>
              <w:left w:type="dxa" w:w="110"/>
              <w:bottom w:type="dxa" w:w="70"/>
              <w:right w:type="dxa" w:w="110"/>
            </w:tcMar>
            <w:vAlign w:val="center"/>
          </w:tcPr>
          <w:p>
            <w:r>
              <w:rPr>
                <w:sz w:val="19"/>
                <w:szCs w:val="19"/>
              </w:rPr>
              <w:t xml:space="preserve">Could</w:t>
            </w:r>
          </w:p>
        </w:tc>
        <w:tc>
          <w:tcPr>
            <w:tcW w:type="dxa" w:w="1226"/>
            <w:shd w:fill="F2F4F6" w:val="clear"/>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6.2 User Profiles &amp; Onboarding</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FR-PROF-01</w:t>
            </w:r>
          </w:p>
        </w:tc>
        <w:tc>
          <w:tcPr>
            <w:tcW w:type="dxa" w:w="5600"/>
            <w:tcMar>
              <w:top w:type="dxa" w:w="70"/>
              <w:left w:type="dxa" w:w="110"/>
              <w:bottom w:type="dxa" w:w="70"/>
              <w:right w:type="dxa" w:w="110"/>
            </w:tcMar>
            <w:vAlign w:val="center"/>
          </w:tcPr>
          <w:p>
            <w:r>
              <w:rPr>
                <w:sz w:val="19"/>
                <w:szCs w:val="19"/>
              </w:rPr>
              <w:t xml:space="preserve">Freelancers create a profile with skills, bio, rate, and portfolio samples.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FR-PROF-02</w:t>
            </w:r>
          </w:p>
        </w:tc>
        <w:tc>
          <w:tcPr>
            <w:tcW w:type="dxa" w:w="5600"/>
            <w:shd w:fill="F2F4F6" w:val="clear"/>
            <w:tcMar>
              <w:top w:type="dxa" w:w="70"/>
              <w:left w:type="dxa" w:w="110"/>
              <w:bottom w:type="dxa" w:w="70"/>
              <w:right w:type="dxa" w:w="110"/>
            </w:tcMar>
            <w:vAlign w:val="center"/>
          </w:tcPr>
          <w:p>
            <w:r>
              <w:rPr>
                <w:sz w:val="19"/>
                <w:szCs w:val="19"/>
              </w:rPr>
              <w:t xml:space="preserve">Clients create a profile with a name/company and description.</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FR-PROF-03</w:t>
            </w:r>
          </w:p>
        </w:tc>
        <w:tc>
          <w:tcPr>
            <w:tcW w:type="dxa" w:w="5600"/>
            <w:tcMar>
              <w:top w:type="dxa" w:w="70"/>
              <w:left w:type="dxa" w:w="110"/>
              <w:bottom w:type="dxa" w:w="70"/>
              <w:right w:type="dxa" w:w="110"/>
            </w:tcMar>
            <w:vAlign w:val="center"/>
          </w:tcPr>
          <w:p>
            <w:r>
              <w:rPr>
                <w:sz w:val="19"/>
                <w:szCs w:val="19"/>
              </w:rPr>
              <w:t xml:space="preserve">Freelancers can optionally submit identity documents for verification, shown as a “Verified” badge.</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FR-PROF-04</w:t>
            </w:r>
          </w:p>
        </w:tc>
        <w:tc>
          <w:tcPr>
            <w:tcW w:type="dxa" w:w="5600"/>
            <w:shd w:fill="F2F4F6" w:val="clear"/>
            <w:tcMar>
              <w:top w:type="dxa" w:w="70"/>
              <w:left w:type="dxa" w:w="110"/>
              <w:bottom w:type="dxa" w:w="70"/>
              <w:right w:type="dxa" w:w="110"/>
            </w:tcMar>
            <w:vAlign w:val="center"/>
          </w:tcPr>
          <w:p>
            <w:r>
              <w:rPr>
                <w:sz w:val="19"/>
                <w:szCs w:val="19"/>
              </w:rPr>
              <w:t xml:space="preserve">A profile-completeness indicator encourages richer profiles, which improves match quality.</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3</w:t>
            </w:r>
          </w:p>
        </w:tc>
      </w:tr>
    </w:tbl>
    <w:p>
      <w:pPr>
        <w:pStyle w:val="Heading2"/>
        <w:spacing w:after="120" w:before="260"/>
      </w:pPr>
      <w:r>
        <w:t xml:space="preserve">6.3 Job / Gig Lifecycle Management</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FR-JOB-01</w:t>
            </w:r>
          </w:p>
        </w:tc>
        <w:tc>
          <w:tcPr>
            <w:tcW w:type="dxa" w:w="5600"/>
            <w:tcMar>
              <w:top w:type="dxa" w:w="70"/>
              <w:left w:type="dxa" w:w="110"/>
              <w:bottom w:type="dxa" w:w="70"/>
              <w:right w:type="dxa" w:w="110"/>
            </w:tcMar>
            <w:vAlign w:val="center"/>
          </w:tcPr>
          <w:p>
            <w:r>
              <w:rPr>
                <w:sz w:val="19"/>
                <w:szCs w:val="19"/>
              </w:rPr>
              <w:t xml:space="preserve">Clients create a job posting with title, description, category, budget, and deadline.</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FR-JOB-02</w:t>
            </w:r>
          </w:p>
        </w:tc>
        <w:tc>
          <w:tcPr>
            <w:tcW w:type="dxa" w:w="5600"/>
            <w:shd w:fill="F2F4F6" w:val="clear"/>
            <w:tcMar>
              <w:top w:type="dxa" w:w="70"/>
              <w:left w:type="dxa" w:w="110"/>
              <w:bottom w:type="dxa" w:w="70"/>
              <w:right w:type="dxa" w:w="110"/>
            </w:tcMar>
            <w:vAlign w:val="center"/>
          </w:tcPr>
          <w:p>
            <w:r>
              <w:rPr>
                <w:sz w:val="19"/>
                <w:szCs w:val="19"/>
              </w:rPr>
              <w:t xml:space="preserve">Clients can edit or close a job before it is assigned.</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FR-JOB-03</w:t>
            </w:r>
          </w:p>
        </w:tc>
        <w:tc>
          <w:tcPr>
            <w:tcW w:type="dxa" w:w="5600"/>
            <w:tcMar>
              <w:top w:type="dxa" w:w="70"/>
              <w:left w:type="dxa" w:w="110"/>
              <w:bottom w:type="dxa" w:w="70"/>
              <w:right w:type="dxa" w:w="110"/>
            </w:tcMar>
            <w:vAlign w:val="center"/>
          </w:tcPr>
          <w:p>
            <w:r>
              <w:rPr>
                <w:sz w:val="19"/>
                <w:szCs w:val="19"/>
              </w:rPr>
              <w:t xml:space="preserve">Freelancers can browse and filter open jobs by category, budget, and post date.</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FR-JOB-04</w:t>
            </w:r>
          </w:p>
        </w:tc>
        <w:tc>
          <w:tcPr>
            <w:tcW w:type="dxa" w:w="5600"/>
            <w:shd w:fill="F2F4F6" w:val="clear"/>
            <w:tcMar>
              <w:top w:type="dxa" w:w="70"/>
              <w:left w:type="dxa" w:w="110"/>
              <w:bottom w:type="dxa" w:w="70"/>
              <w:right w:type="dxa" w:w="110"/>
            </w:tcMar>
            <w:vAlign w:val="center"/>
          </w:tcPr>
          <w:p>
            <w:r>
              <w:rPr>
                <w:sz w:val="19"/>
                <w:szCs w:val="19"/>
              </w:rPr>
              <w:t xml:space="preserve">A job follows a defined state machine: DRAFT → OPEN → IN_REVIEW → IN_PROGRESS → COMPLETED → CLOSED, with CANCELLED, DISPUTED, and REFUNDED branch states.</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FR-JOB-05</w:t>
            </w:r>
          </w:p>
        </w:tc>
        <w:tc>
          <w:tcPr>
            <w:tcW w:type="dxa" w:w="5600"/>
            <w:tcMar>
              <w:top w:type="dxa" w:w="70"/>
              <w:left w:type="dxa" w:w="110"/>
              <w:bottom w:type="dxa" w:w="70"/>
              <w:right w:type="dxa" w:w="110"/>
            </w:tcMar>
            <w:vAlign w:val="center"/>
          </w:tcPr>
          <w:p>
            <w:r>
              <w:rPr>
                <w:sz w:val="19"/>
                <w:szCs w:val="19"/>
              </w:rPr>
              <w:t xml:space="preserve">Longer jobs can be broken into milestones, each with its own budget and due date.</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FR-JOB-06</w:t>
            </w:r>
          </w:p>
        </w:tc>
        <w:tc>
          <w:tcPr>
            <w:tcW w:type="dxa" w:w="5600"/>
            <w:shd w:fill="F2F4F6" w:val="clear"/>
            <w:tcMar>
              <w:top w:type="dxa" w:w="70"/>
              <w:left w:type="dxa" w:w="110"/>
              <w:bottom w:type="dxa" w:w="70"/>
              <w:right w:type="dxa" w:w="110"/>
            </w:tcMar>
            <w:vAlign w:val="center"/>
          </w:tcPr>
          <w:p>
            <w:r>
              <w:rPr>
                <w:sz w:val="19"/>
                <w:szCs w:val="19"/>
              </w:rPr>
              <w:t xml:space="preserve">Edits to an in-progress job require confirmation from both parties before taking effect.</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2</w:t>
            </w:r>
          </w:p>
        </w:tc>
      </w:tr>
    </w:tbl>
    <w:p>
      <w:pPr>
        <w:pStyle w:val="Heading2"/>
        <w:spacing w:after="120" w:before="260"/>
      </w:pPr>
      <w:r>
        <w:t xml:space="preserve">6.4 Proposals &amp; Matching</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FR-MATCH-01</w:t>
            </w:r>
          </w:p>
        </w:tc>
        <w:tc>
          <w:tcPr>
            <w:tcW w:type="dxa" w:w="5600"/>
            <w:tcMar>
              <w:top w:type="dxa" w:w="70"/>
              <w:left w:type="dxa" w:w="110"/>
              <w:bottom w:type="dxa" w:w="70"/>
              <w:right w:type="dxa" w:w="110"/>
            </w:tcMar>
            <w:vAlign w:val="center"/>
          </w:tcPr>
          <w:p>
            <w:r>
              <w:rPr>
                <w:sz w:val="19"/>
                <w:szCs w:val="19"/>
              </w:rPr>
              <w:t xml:space="preserve">Freelancers submit a proposal (cover letter, bid, delivery estimate) to an open job.</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FR-MATCH-02</w:t>
            </w:r>
          </w:p>
        </w:tc>
        <w:tc>
          <w:tcPr>
            <w:tcW w:type="dxa" w:w="5600"/>
            <w:shd w:fill="F2F4F6" w:val="clear"/>
            <w:tcMar>
              <w:top w:type="dxa" w:w="70"/>
              <w:left w:type="dxa" w:w="110"/>
              <w:bottom w:type="dxa" w:w="70"/>
              <w:right w:type="dxa" w:w="110"/>
            </w:tcMar>
            <w:vAlign w:val="center"/>
          </w:tcPr>
          <w:p>
            <w:r>
              <w:rPr>
                <w:sz w:val="19"/>
                <w:szCs w:val="19"/>
              </w:rPr>
              <w:t xml:space="preserve">Clients view, compare, and accept a proposal, assigning the job to a freelancer.</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FR-MATCH-03</w:t>
            </w:r>
          </w:p>
        </w:tc>
        <w:tc>
          <w:tcPr>
            <w:tcW w:type="dxa" w:w="5600"/>
            <w:tcMar>
              <w:top w:type="dxa" w:w="70"/>
              <w:left w:type="dxa" w:w="110"/>
              <w:bottom w:type="dxa" w:w="70"/>
              <w:right w:type="dxa" w:w="110"/>
            </w:tcMar>
            <w:vAlign w:val="center"/>
          </w:tcPr>
          <w:p>
            <w:r>
              <w:rPr>
                <w:sz w:val="19"/>
                <w:szCs w:val="19"/>
              </w:rPr>
              <w:t xml:space="preserve">The platform surfaces a ranked shortlist of freelancers for a new job using a hybrid model combining skill/category match with performance history.</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3</w:t>
            </w:r>
          </w:p>
        </w:tc>
      </w:tr>
      <w:tr>
        <w:tc>
          <w:tcPr>
            <w:tcW w:type="dxa" w:w="1500"/>
            <w:shd w:fill="F2F4F6" w:val="clear"/>
            <w:tcMar>
              <w:top w:type="dxa" w:w="70"/>
              <w:left w:type="dxa" w:w="110"/>
              <w:bottom w:type="dxa" w:w="70"/>
              <w:right w:type="dxa" w:w="110"/>
            </w:tcMar>
            <w:vAlign w:val="center"/>
          </w:tcPr>
          <w:p>
            <w:r>
              <w:rPr>
                <w:sz w:val="19"/>
                <w:szCs w:val="19"/>
              </w:rPr>
              <w:t xml:space="preserve">FR-MATCH-04</w:t>
            </w:r>
          </w:p>
        </w:tc>
        <w:tc>
          <w:tcPr>
            <w:tcW w:type="dxa" w:w="5600"/>
            <w:shd w:fill="F2F4F6" w:val="clear"/>
            <w:tcMar>
              <w:top w:type="dxa" w:w="70"/>
              <w:left w:type="dxa" w:w="110"/>
              <w:bottom w:type="dxa" w:w="70"/>
              <w:right w:type="dxa" w:w="110"/>
            </w:tcMar>
            <w:vAlign w:val="center"/>
          </w:tcPr>
          <w:p>
            <w:r>
              <w:rPr>
                <w:sz w:val="19"/>
                <w:szCs w:val="19"/>
              </w:rPr>
              <w:t xml:space="preserve">Freelancers receive proactive alerts for jobs matching their profile above a relevance threshold.</w:t>
            </w:r>
          </w:p>
        </w:tc>
        <w:tc>
          <w:tcPr>
            <w:tcW w:type="dxa" w:w="1300"/>
            <w:shd w:fill="F2F4F6" w:val="clear"/>
            <w:tcMar>
              <w:top w:type="dxa" w:w="70"/>
              <w:left w:type="dxa" w:w="110"/>
              <w:bottom w:type="dxa" w:w="70"/>
              <w:right w:type="dxa" w:w="110"/>
            </w:tcMar>
            <w:vAlign w:val="center"/>
          </w:tcPr>
          <w:p>
            <w:r>
              <w:rPr>
                <w:sz w:val="19"/>
                <w:szCs w:val="19"/>
              </w:rPr>
              <w:t xml:space="preserve">Could</w:t>
            </w:r>
          </w:p>
        </w:tc>
        <w:tc>
          <w:tcPr>
            <w:tcW w:type="dxa" w:w="1226"/>
            <w:shd w:fill="F2F4F6" w:val="clear"/>
            <w:tcMar>
              <w:top w:type="dxa" w:w="70"/>
              <w:left w:type="dxa" w:w="110"/>
              <w:bottom w:type="dxa" w:w="70"/>
              <w:right w:type="dxa" w:w="110"/>
            </w:tcMar>
            <w:vAlign w:val="center"/>
          </w:tcPr>
          <w:p>
            <w:r>
              <w:rPr>
                <w:sz w:val="19"/>
                <w:szCs w:val="19"/>
              </w:rPr>
              <w:t xml:space="preserve">3</w:t>
            </w:r>
          </w:p>
        </w:tc>
      </w:tr>
      <w:tr>
        <w:tc>
          <w:tcPr>
            <w:tcW w:type="dxa" w:w="1500"/>
            <w:tcMar>
              <w:top w:type="dxa" w:w="70"/>
              <w:left w:type="dxa" w:w="110"/>
              <w:bottom w:type="dxa" w:w="70"/>
              <w:right w:type="dxa" w:w="110"/>
            </w:tcMar>
            <w:vAlign w:val="center"/>
          </w:tcPr>
          <w:p>
            <w:r>
              <w:rPr>
                <w:sz w:val="19"/>
                <w:szCs w:val="19"/>
              </w:rPr>
              <w:t xml:space="preserve">FR-MATCH-05</w:t>
            </w:r>
          </w:p>
        </w:tc>
        <w:tc>
          <w:tcPr>
            <w:tcW w:type="dxa" w:w="5600"/>
            <w:tcMar>
              <w:top w:type="dxa" w:w="70"/>
              <w:left w:type="dxa" w:w="110"/>
              <w:bottom w:type="dxa" w:w="70"/>
              <w:right w:type="dxa" w:w="110"/>
            </w:tcMar>
            <w:vAlign w:val="center"/>
          </w:tcPr>
          <w:p>
            <w:r>
              <w:rPr>
                <w:sz w:val="19"/>
                <w:szCs w:val="19"/>
              </w:rPr>
              <w:t xml:space="preserve">Freelancers receive AI-assisted proposal drafting suggestions.</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6.5 Messaging &amp; Collaboration</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FR-MSG-01</w:t>
            </w:r>
          </w:p>
        </w:tc>
        <w:tc>
          <w:tcPr>
            <w:tcW w:type="dxa" w:w="5600"/>
            <w:tcMar>
              <w:top w:type="dxa" w:w="70"/>
              <w:left w:type="dxa" w:w="110"/>
              <w:bottom w:type="dxa" w:w="70"/>
              <w:right w:type="dxa" w:w="110"/>
            </w:tcMar>
            <w:vAlign w:val="center"/>
          </w:tcPr>
          <w:p>
            <w:r>
              <w:rPr>
                <w:sz w:val="19"/>
                <w:szCs w:val="19"/>
              </w:rPr>
              <w:t xml:space="preserve">Clients and freelancers exchange direct messages tied to a specific job.</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FR-MSG-02</w:t>
            </w:r>
          </w:p>
        </w:tc>
        <w:tc>
          <w:tcPr>
            <w:tcW w:type="dxa" w:w="5600"/>
            <w:shd w:fill="F2F4F6" w:val="clear"/>
            <w:tcMar>
              <w:top w:type="dxa" w:w="70"/>
              <w:left w:type="dxa" w:w="110"/>
              <w:bottom w:type="dxa" w:w="70"/>
              <w:right w:type="dxa" w:w="110"/>
            </w:tcMar>
            <w:vAlign w:val="center"/>
          </w:tcPr>
          <w:p>
            <w:r>
              <w:rPr>
                <w:sz w:val="19"/>
                <w:szCs w:val="19"/>
              </w:rPr>
              <w:t xml:space="preserve">Message threads support file attachments.</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FR-MSG-03</w:t>
            </w:r>
          </w:p>
        </w:tc>
        <w:tc>
          <w:tcPr>
            <w:tcW w:type="dxa" w:w="5600"/>
            <w:tcMar>
              <w:top w:type="dxa" w:w="70"/>
              <w:left w:type="dxa" w:w="110"/>
              <w:bottom w:type="dxa" w:w="70"/>
              <w:right w:type="dxa" w:w="110"/>
            </w:tcMar>
            <w:vAlign w:val="center"/>
          </w:tcPr>
          <w:p>
            <w:r>
              <w:rPr>
                <w:sz w:val="19"/>
                <w:szCs w:val="19"/>
              </w:rPr>
              <w:t xml:space="preserve">Messages deliver in real time over WebSocket (STOMP) instead of polling.</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3</w:t>
            </w:r>
          </w:p>
        </w:tc>
      </w:tr>
      <w:tr>
        <w:tc>
          <w:tcPr>
            <w:tcW w:type="dxa" w:w="1500"/>
            <w:shd w:fill="F2F4F6" w:val="clear"/>
            <w:tcMar>
              <w:top w:type="dxa" w:w="70"/>
              <w:left w:type="dxa" w:w="110"/>
              <w:bottom w:type="dxa" w:w="70"/>
              <w:right w:type="dxa" w:w="110"/>
            </w:tcMar>
            <w:vAlign w:val="center"/>
          </w:tcPr>
          <w:p>
            <w:r>
              <w:rPr>
                <w:sz w:val="19"/>
                <w:szCs w:val="19"/>
              </w:rPr>
              <w:t xml:space="preserve">FR-MSG-04</w:t>
            </w:r>
          </w:p>
        </w:tc>
        <w:tc>
          <w:tcPr>
            <w:tcW w:type="dxa" w:w="5600"/>
            <w:shd w:fill="F2F4F6" w:val="clear"/>
            <w:tcMar>
              <w:top w:type="dxa" w:w="70"/>
              <w:left w:type="dxa" w:w="110"/>
              <w:bottom w:type="dxa" w:w="70"/>
              <w:right w:type="dxa" w:w="110"/>
            </w:tcMar>
            <w:vAlign w:val="center"/>
          </w:tcPr>
          <w:p>
            <w:r>
              <w:rPr>
                <w:sz w:val="19"/>
                <w:szCs w:val="19"/>
              </w:rPr>
              <w:t xml:space="preserve">Threads show read receipts and typing indicators.</w:t>
            </w:r>
          </w:p>
        </w:tc>
        <w:tc>
          <w:tcPr>
            <w:tcW w:type="dxa" w:w="1300"/>
            <w:shd w:fill="F2F4F6" w:val="clear"/>
            <w:tcMar>
              <w:top w:type="dxa" w:w="70"/>
              <w:left w:type="dxa" w:w="110"/>
              <w:bottom w:type="dxa" w:w="70"/>
              <w:right w:type="dxa" w:w="110"/>
            </w:tcMar>
            <w:vAlign w:val="center"/>
          </w:tcPr>
          <w:p>
            <w:r>
              <w:rPr>
                <w:sz w:val="19"/>
                <w:szCs w:val="19"/>
              </w:rPr>
              <w:t xml:space="preserve">Could</w:t>
            </w:r>
          </w:p>
        </w:tc>
        <w:tc>
          <w:tcPr>
            <w:tcW w:type="dxa" w:w="1226"/>
            <w:shd w:fill="F2F4F6" w:val="clear"/>
            <w:tcMar>
              <w:top w:type="dxa" w:w="70"/>
              <w:left w:type="dxa" w:w="110"/>
              <w:bottom w:type="dxa" w:w="70"/>
              <w:right w:type="dxa" w:w="110"/>
            </w:tcMar>
            <w:vAlign w:val="center"/>
          </w:tcPr>
          <w:p>
            <w:r>
              <w:rPr>
                <w:sz w:val="19"/>
                <w:szCs w:val="19"/>
              </w:rPr>
              <w:t xml:space="preserve">3</w:t>
            </w:r>
          </w:p>
        </w:tc>
      </w:tr>
    </w:tbl>
    <w:p>
      <w:pPr>
        <w:pStyle w:val="Heading2"/>
        <w:spacing w:after="120" w:before="260"/>
      </w:pPr>
      <w:r>
        <w:t xml:space="preserve">6.6 Payments &amp; Escrow</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FR-PAY-01</w:t>
            </w:r>
          </w:p>
        </w:tc>
        <w:tc>
          <w:tcPr>
            <w:tcW w:type="dxa" w:w="5600"/>
            <w:tcMar>
              <w:top w:type="dxa" w:w="70"/>
              <w:left w:type="dxa" w:w="110"/>
              <w:bottom w:type="dxa" w:w="70"/>
              <w:right w:type="dxa" w:w="110"/>
            </w:tcMar>
            <w:vAlign w:val="center"/>
          </w:tcPr>
          <w:p>
            <w:r>
              <w:rPr>
                <w:sz w:val="19"/>
                <w:szCs w:val="19"/>
              </w:rPr>
              <w:t xml:space="preserve">Clients fund a job or milestone into escrow via Stripe before work begins.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FR-PAY-02</w:t>
            </w:r>
          </w:p>
        </w:tc>
        <w:tc>
          <w:tcPr>
            <w:tcW w:type="dxa" w:w="5600"/>
            <w:shd w:fill="F2F4F6" w:val="clear"/>
            <w:tcMar>
              <w:top w:type="dxa" w:w="70"/>
              <w:left w:type="dxa" w:w="110"/>
              <w:bottom w:type="dxa" w:w="70"/>
              <w:right w:type="dxa" w:w="110"/>
            </w:tcMar>
            <w:vAlign w:val="center"/>
          </w:tcPr>
          <w:p>
            <w:r>
              <w:rPr>
                <w:sz w:val="19"/>
                <w:szCs w:val="19"/>
              </w:rPr>
              <w:t xml:space="preserve">Funds release to the freelancer, minus platform fee, when the client approves the work or milestone.</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FR-PAY-03</w:t>
            </w:r>
          </w:p>
        </w:tc>
        <w:tc>
          <w:tcPr>
            <w:tcW w:type="dxa" w:w="5600"/>
            <w:tcMar>
              <w:top w:type="dxa" w:w="70"/>
              <w:left w:type="dxa" w:w="110"/>
              <w:bottom w:type="dxa" w:w="70"/>
              <w:right w:type="dxa" w:w="110"/>
            </w:tcMar>
            <w:vAlign w:val="center"/>
          </w:tcPr>
          <w:p>
            <w:r>
              <w:rPr>
                <w:sz w:val="19"/>
                <w:szCs w:val="19"/>
              </w:rPr>
              <w:t xml:space="preserve">Freelancers connect a Stripe Connect account to receive payouts.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FR-PAY-04</w:t>
            </w:r>
          </w:p>
        </w:tc>
        <w:tc>
          <w:tcPr>
            <w:tcW w:type="dxa" w:w="5600"/>
            <w:shd w:fill="F2F4F6" w:val="clear"/>
            <w:tcMar>
              <w:top w:type="dxa" w:w="70"/>
              <w:left w:type="dxa" w:w="110"/>
              <w:bottom w:type="dxa" w:w="70"/>
              <w:right w:type="dxa" w:w="110"/>
            </w:tcMar>
            <w:vAlign w:val="center"/>
          </w:tcPr>
          <w:p>
            <w:r>
              <w:rPr>
                <w:sz w:val="19"/>
                <w:szCs w:val="19"/>
              </w:rPr>
              <w:t xml:space="preserve">Either party can raise a dispute, which freezes escrow release pending admin review.</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FR-PAY-05</w:t>
            </w:r>
          </w:p>
        </w:tc>
        <w:tc>
          <w:tcPr>
            <w:tcW w:type="dxa" w:w="5600"/>
            <w:tcMar>
              <w:top w:type="dxa" w:w="70"/>
              <w:left w:type="dxa" w:w="110"/>
              <w:bottom w:type="dxa" w:w="70"/>
              <w:right w:type="dxa" w:w="110"/>
            </w:tcMar>
            <w:vAlign w:val="center"/>
          </w:tcPr>
          <w:p>
            <w:r>
              <w:rPr>
                <w:sz w:val="19"/>
                <w:szCs w:val="19"/>
              </w:rPr>
              <w:t xml:space="preserve">Platform commission is calculated and deducted automatically per transaction.</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FR-PAY-06</w:t>
            </w:r>
          </w:p>
        </w:tc>
        <w:tc>
          <w:tcPr>
            <w:tcW w:type="dxa" w:w="5600"/>
            <w:shd w:fill="F2F4F6" w:val="clear"/>
            <w:tcMar>
              <w:top w:type="dxa" w:w="70"/>
              <w:left w:type="dxa" w:w="110"/>
              <w:bottom w:type="dxa" w:w="70"/>
              <w:right w:type="dxa" w:w="110"/>
            </w:tcMar>
            <w:vAlign w:val="center"/>
          </w:tcPr>
          <w:p>
            <w:r>
              <w:rPr>
                <w:sz w:val="19"/>
                <w:szCs w:val="19"/>
              </w:rPr>
              <w:t xml:space="preserve">The platform supports multiple currencies, converted at time of transaction.</w:t>
            </w:r>
          </w:p>
        </w:tc>
        <w:tc>
          <w:tcPr>
            <w:tcW w:type="dxa" w:w="1300"/>
            <w:shd w:fill="F2F4F6" w:val="clear"/>
            <w:tcMar>
              <w:top w:type="dxa" w:w="70"/>
              <w:left w:type="dxa" w:w="110"/>
              <w:bottom w:type="dxa" w:w="70"/>
              <w:right w:type="dxa" w:w="110"/>
            </w:tcMar>
            <w:vAlign w:val="center"/>
          </w:tcPr>
          <w:p>
            <w:r>
              <w:rPr>
                <w:sz w:val="19"/>
                <w:szCs w:val="19"/>
              </w:rPr>
              <w:t xml:space="preserve">Could</w:t>
            </w:r>
          </w:p>
        </w:tc>
        <w:tc>
          <w:tcPr>
            <w:tcW w:type="dxa" w:w="1226"/>
            <w:shd w:fill="F2F4F6" w:val="clear"/>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6.7 Notifications</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FR-NOTIF-01</w:t>
            </w:r>
          </w:p>
        </w:tc>
        <w:tc>
          <w:tcPr>
            <w:tcW w:type="dxa" w:w="5600"/>
            <w:tcMar>
              <w:top w:type="dxa" w:w="70"/>
              <w:left w:type="dxa" w:w="110"/>
              <w:bottom w:type="dxa" w:w="70"/>
              <w:right w:type="dxa" w:w="110"/>
            </w:tcMar>
            <w:vAlign w:val="center"/>
          </w:tcPr>
          <w:p>
            <w:r>
              <w:rPr>
                <w:sz w:val="19"/>
                <w:szCs w:val="19"/>
              </w:rPr>
              <w:t xml:space="preserve">Email notifications fire for key events: proposal received, job assigned, payment released, new message.</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FR-NOTIF-02</w:t>
            </w:r>
          </w:p>
        </w:tc>
        <w:tc>
          <w:tcPr>
            <w:tcW w:type="dxa" w:w="5600"/>
            <w:shd w:fill="F2F4F6" w:val="clear"/>
            <w:tcMar>
              <w:top w:type="dxa" w:w="70"/>
              <w:left w:type="dxa" w:w="110"/>
              <w:bottom w:type="dxa" w:w="70"/>
              <w:right w:type="dxa" w:w="110"/>
            </w:tcMar>
            <w:vAlign w:val="center"/>
          </w:tcPr>
          <w:p>
            <w:r>
              <w:rPr>
                <w:sz w:val="19"/>
                <w:szCs w:val="19"/>
              </w:rPr>
              <w:t xml:space="preserve">An in-app notification center shows unread activity with a badge count.</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3</w:t>
            </w:r>
          </w:p>
        </w:tc>
      </w:tr>
      <w:tr>
        <w:tc>
          <w:tcPr>
            <w:tcW w:type="dxa" w:w="1500"/>
            <w:tcMar>
              <w:top w:type="dxa" w:w="70"/>
              <w:left w:type="dxa" w:w="110"/>
              <w:bottom w:type="dxa" w:w="70"/>
              <w:right w:type="dxa" w:w="110"/>
            </w:tcMar>
            <w:vAlign w:val="center"/>
          </w:tcPr>
          <w:p>
            <w:r>
              <w:rPr>
                <w:sz w:val="19"/>
                <w:szCs w:val="19"/>
              </w:rPr>
              <w:t xml:space="preserve">FR-NOTIF-03</w:t>
            </w:r>
          </w:p>
        </w:tc>
        <w:tc>
          <w:tcPr>
            <w:tcW w:type="dxa" w:w="5600"/>
            <w:tcMar>
              <w:top w:type="dxa" w:w="70"/>
              <w:left w:type="dxa" w:w="110"/>
              <w:bottom w:type="dxa" w:w="70"/>
              <w:right w:type="dxa" w:w="110"/>
            </w:tcMar>
            <w:vAlign w:val="center"/>
          </w:tcPr>
          <w:p>
            <w:r>
              <w:rPr>
                <w:sz w:val="19"/>
                <w:szCs w:val="19"/>
              </w:rPr>
              <w:t xml:space="preserve">Push notifications reach mobile devices.</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6.8 Search &amp; Discovery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FR-SEARCH-01</w:t>
            </w:r>
          </w:p>
        </w:tc>
        <w:tc>
          <w:tcPr>
            <w:tcW w:type="dxa" w:w="5600"/>
            <w:tcMar>
              <w:top w:type="dxa" w:w="70"/>
              <w:left w:type="dxa" w:w="110"/>
              <w:bottom w:type="dxa" w:w="70"/>
              <w:right w:type="dxa" w:w="110"/>
            </w:tcMar>
            <w:vAlign w:val="center"/>
          </w:tcPr>
          <w:p>
            <w:r>
              <w:rPr>
                <w:sz w:val="19"/>
                <w:szCs w:val="19"/>
              </w:rPr>
              <w:t xml:space="preserve">Keyword search covers job titles and descriptions.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FR-SEARCH-02</w:t>
            </w:r>
          </w:p>
        </w:tc>
        <w:tc>
          <w:tcPr>
            <w:tcW w:type="dxa" w:w="5600"/>
            <w:shd w:fill="F2F4F6" w:val="clear"/>
            <w:tcMar>
              <w:top w:type="dxa" w:w="70"/>
              <w:left w:type="dxa" w:w="110"/>
              <w:bottom w:type="dxa" w:w="70"/>
              <w:right w:type="dxa" w:w="110"/>
            </w:tcMar>
            <w:vAlign w:val="center"/>
          </w:tcPr>
          <w:p>
            <w:r>
              <w:rPr>
                <w:sz w:val="19"/>
                <w:szCs w:val="19"/>
              </w:rPr>
              <w:t xml:space="preserve">Full-text and faceted search (category, budget, rating, delivery time) runs on a dedicated search index.</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3</w:t>
            </w:r>
          </w:p>
        </w:tc>
      </w:tr>
      <w:tr>
        <w:tc>
          <w:tcPr>
            <w:tcW w:type="dxa" w:w="1500"/>
            <w:tcMar>
              <w:top w:type="dxa" w:w="70"/>
              <w:left w:type="dxa" w:w="110"/>
              <w:bottom w:type="dxa" w:w="70"/>
              <w:right w:type="dxa" w:w="110"/>
            </w:tcMar>
            <w:vAlign w:val="center"/>
          </w:tcPr>
          <w:p>
            <w:r>
              <w:rPr>
                <w:sz w:val="19"/>
                <w:szCs w:val="19"/>
              </w:rPr>
              <w:t xml:space="preserve">FR-SEARCH-03</w:t>
            </w:r>
          </w:p>
        </w:tc>
        <w:tc>
          <w:tcPr>
            <w:tcW w:type="dxa" w:w="5600"/>
            <w:tcMar>
              <w:top w:type="dxa" w:w="70"/>
              <w:left w:type="dxa" w:w="110"/>
              <w:bottom w:type="dxa" w:w="70"/>
              <w:right w:type="dxa" w:w="110"/>
            </w:tcMar>
            <w:vAlign w:val="center"/>
          </w:tcPr>
          <w:p>
            <w:r>
              <w:rPr>
                <w:sz w:val="19"/>
                <w:szCs w:val="19"/>
              </w:rPr>
              <w:t xml:space="preserve">Clients can search and browse freelancer profiles directly, not only via job matching.</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3</w:t>
            </w:r>
          </w:p>
        </w:tc>
      </w:tr>
    </w:tbl>
    <w:p>
      <w:pPr>
        <w:pStyle w:val="Heading2"/>
        <w:spacing w:after="120" w:before="260"/>
      </w:pPr>
      <w:r>
        <w:t xml:space="preserve">6.9 Reviews, Ratings &amp; Trust</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FR-REV-01</w:t>
            </w:r>
          </w:p>
        </w:tc>
        <w:tc>
          <w:tcPr>
            <w:tcW w:type="dxa" w:w="5600"/>
            <w:tcMar>
              <w:top w:type="dxa" w:w="70"/>
              <w:left w:type="dxa" w:w="110"/>
              <w:bottom w:type="dxa" w:w="70"/>
              <w:right w:type="dxa" w:w="110"/>
            </w:tcMar>
            <w:vAlign w:val="center"/>
          </w:tcPr>
          <w:p>
            <w:r>
              <w:rPr>
                <w:sz w:val="19"/>
                <w:szCs w:val="19"/>
              </w:rPr>
              <w:t xml:space="preserve">Both parties leave a star rating and written review after job completion.</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FR-REV-02</w:t>
            </w:r>
          </w:p>
        </w:tc>
        <w:tc>
          <w:tcPr>
            <w:tcW w:type="dxa" w:w="5600"/>
            <w:shd w:fill="F2F4F6" w:val="clear"/>
            <w:tcMar>
              <w:top w:type="dxa" w:w="70"/>
              <w:left w:type="dxa" w:w="110"/>
              <w:bottom w:type="dxa" w:w="70"/>
              <w:right w:type="dxa" w:w="110"/>
            </w:tcMar>
            <w:vAlign w:val="center"/>
          </w:tcPr>
          <w:p>
            <w:r>
              <w:rPr>
                <w:sz w:val="19"/>
                <w:szCs w:val="19"/>
              </w:rPr>
              <w:t xml:space="preserve">Reviews appear on public profiles and roll up into an average rating.</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FR-REV-03</w:t>
            </w:r>
          </w:p>
        </w:tc>
        <w:tc>
          <w:tcPr>
            <w:tcW w:type="dxa" w:w="5600"/>
            <w:tcMar>
              <w:top w:type="dxa" w:w="70"/>
              <w:left w:type="dxa" w:w="110"/>
              <w:bottom w:type="dxa" w:w="70"/>
              <w:right w:type="dxa" w:w="110"/>
            </w:tcMar>
            <w:vAlign w:val="center"/>
          </w:tcPr>
          <w:p>
            <w:r>
              <w:rPr>
                <w:sz w:val="19"/>
                <w:szCs w:val="19"/>
              </w:rPr>
              <w:t xml:space="preserve">Review history feeds into the matching algorithm as a quality signal.</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3</w:t>
            </w:r>
          </w:p>
        </w:tc>
      </w:tr>
    </w:tbl>
    <w:p>
      <w:pPr>
        <w:pStyle w:val="Heading2"/>
        <w:spacing w:after="120" w:before="260"/>
      </w:pPr>
      <w:r>
        <w:t xml:space="preserve">6.10 Admin &amp; Moderation</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FR-ADMIN-01</w:t>
            </w:r>
          </w:p>
        </w:tc>
        <w:tc>
          <w:tcPr>
            <w:tcW w:type="dxa" w:w="5600"/>
            <w:tcMar>
              <w:top w:type="dxa" w:w="70"/>
              <w:left w:type="dxa" w:w="110"/>
              <w:bottom w:type="dxa" w:w="70"/>
              <w:right w:type="dxa" w:w="110"/>
            </w:tcMar>
            <w:vAlign w:val="center"/>
          </w:tcPr>
          <w:p>
            <w:r>
              <w:rPr>
                <w:sz w:val="19"/>
                <w:szCs w:val="19"/>
              </w:rPr>
              <w:t xml:space="preserve">Admins can view, suspend, or ban user accounts.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FR-ADMIN-02</w:t>
            </w:r>
          </w:p>
        </w:tc>
        <w:tc>
          <w:tcPr>
            <w:tcW w:type="dxa" w:w="5600"/>
            <w:shd w:fill="F2F4F6" w:val="clear"/>
            <w:tcMar>
              <w:top w:type="dxa" w:w="70"/>
              <w:left w:type="dxa" w:w="110"/>
              <w:bottom w:type="dxa" w:w="70"/>
              <w:right w:type="dxa" w:w="110"/>
            </w:tcMar>
            <w:vAlign w:val="center"/>
          </w:tcPr>
          <w:p>
            <w:r>
              <w:rPr>
                <w:sz w:val="19"/>
                <w:szCs w:val="19"/>
              </w:rPr>
              <w:t xml:space="preserve">Admins can manage job and skill categories.</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FR-ADMIN-03</w:t>
            </w:r>
          </w:p>
        </w:tc>
        <w:tc>
          <w:tcPr>
            <w:tcW w:type="dxa" w:w="5600"/>
            <w:tcMar>
              <w:top w:type="dxa" w:w="70"/>
              <w:left w:type="dxa" w:w="110"/>
              <w:bottom w:type="dxa" w:w="70"/>
              <w:right w:type="dxa" w:w="110"/>
            </w:tcMar>
            <w:vAlign w:val="center"/>
          </w:tcPr>
          <w:p>
            <w:r>
              <w:rPr>
                <w:sz w:val="19"/>
                <w:szCs w:val="19"/>
              </w:rPr>
              <w:t xml:space="preserve">Admins can review and resolve disputes, including manual escrow release or refund.</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FR-ADMIN-04</w:t>
            </w:r>
          </w:p>
        </w:tc>
        <w:tc>
          <w:tcPr>
            <w:tcW w:type="dxa" w:w="5600"/>
            <w:shd w:fill="F2F4F6" w:val="clear"/>
            <w:tcMar>
              <w:top w:type="dxa" w:w="70"/>
              <w:left w:type="dxa" w:w="110"/>
              <w:bottom w:type="dxa" w:w="70"/>
              <w:right w:type="dxa" w:w="110"/>
            </w:tcMar>
            <w:vAlign w:val="center"/>
          </w:tcPr>
          <w:p>
            <w:r>
              <w:rPr>
                <w:sz w:val="19"/>
                <w:szCs w:val="19"/>
              </w:rPr>
              <w:t xml:space="preserve">Admins can view platform-wide health metrics: GMV, active users, dispute rate.</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3</w:t>
            </w:r>
          </w:p>
        </w:tc>
      </w:tr>
    </w:tbl>
    <w:p>
      <w:pPr>
        <w:pStyle w:val="Heading2"/>
        <w:spacing w:after="120" w:before="260"/>
      </w:pPr>
      <w:r>
        <w:t xml:space="preserve">6.11 Reporting &amp; Analytics</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FR-REPORT-01</w:t>
            </w:r>
          </w:p>
        </w:tc>
        <w:tc>
          <w:tcPr>
            <w:tcW w:type="dxa" w:w="5600"/>
            <w:tcMar>
              <w:top w:type="dxa" w:w="70"/>
              <w:left w:type="dxa" w:w="110"/>
              <w:bottom w:type="dxa" w:w="70"/>
              <w:right w:type="dxa" w:w="110"/>
            </w:tcMar>
            <w:vAlign w:val="center"/>
          </w:tcPr>
          <w:p>
            <w:r>
              <w:rPr>
                <w:sz w:val="19"/>
                <w:szCs w:val="19"/>
              </w:rPr>
              <w:t xml:space="preserve">Freelancers see personal earnings and job-completion analytics.</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3</w:t>
            </w:r>
          </w:p>
        </w:tc>
      </w:tr>
      <w:tr>
        <w:tc>
          <w:tcPr>
            <w:tcW w:type="dxa" w:w="1500"/>
            <w:shd w:fill="F2F4F6" w:val="clear"/>
            <w:tcMar>
              <w:top w:type="dxa" w:w="70"/>
              <w:left w:type="dxa" w:w="110"/>
              <w:bottom w:type="dxa" w:w="70"/>
              <w:right w:type="dxa" w:w="110"/>
            </w:tcMar>
            <w:vAlign w:val="center"/>
          </w:tcPr>
          <w:p>
            <w:r>
              <w:rPr>
                <w:sz w:val="19"/>
                <w:szCs w:val="19"/>
              </w:rPr>
              <w:t xml:space="preserve">FR-REPORT-02</w:t>
            </w:r>
          </w:p>
        </w:tc>
        <w:tc>
          <w:tcPr>
            <w:tcW w:type="dxa" w:w="5600"/>
            <w:shd w:fill="F2F4F6" w:val="clear"/>
            <w:tcMar>
              <w:top w:type="dxa" w:w="70"/>
              <w:left w:type="dxa" w:w="110"/>
              <w:bottom w:type="dxa" w:w="70"/>
              <w:right w:type="dxa" w:w="110"/>
            </w:tcMar>
            <w:vAlign w:val="center"/>
          </w:tcPr>
          <w:p>
            <w:r>
              <w:rPr>
                <w:sz w:val="19"/>
                <w:szCs w:val="19"/>
              </w:rPr>
              <w:t xml:space="preserve">Clients see spend history and hiring analytics.</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3</w:t>
            </w:r>
          </w:p>
        </w:tc>
      </w:tr>
      <w:tr>
        <w:tc>
          <w:tcPr>
            <w:tcW w:type="dxa" w:w="1500"/>
            <w:tcMar>
              <w:top w:type="dxa" w:w="70"/>
              <w:left w:type="dxa" w:w="110"/>
              <w:bottom w:type="dxa" w:w="70"/>
              <w:right w:type="dxa" w:w="110"/>
            </w:tcMar>
            <w:vAlign w:val="center"/>
          </w:tcPr>
          <w:p>
            <w:r>
              <w:rPr>
                <w:sz w:val="19"/>
                <w:szCs w:val="19"/>
              </w:rPr>
              <w:t xml:space="preserve">FR-REPORT-03</w:t>
            </w:r>
          </w:p>
        </w:tc>
        <w:tc>
          <w:tcPr>
            <w:tcW w:type="dxa" w:w="5600"/>
            <w:tcMar>
              <w:top w:type="dxa" w:w="70"/>
              <w:left w:type="dxa" w:w="110"/>
              <w:bottom w:type="dxa" w:w="70"/>
              <w:right w:type="dxa" w:w="110"/>
            </w:tcMar>
            <w:vAlign w:val="center"/>
          </w:tcPr>
          <w:p>
            <w:r>
              <w:rPr>
                <w:sz w:val="19"/>
                <w:szCs w:val="19"/>
              </w:rPr>
              <w:t xml:space="preserve">Admins can export platform reports as CSV.</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3</w:t>
            </w:r>
          </w:p>
        </w:tc>
      </w:tr>
    </w:tbl>
    <w:p>
      <w:pPr>
        <w:pStyle w:val="Heading1"/>
        <w:spacing w:after="160" w:before="360"/>
      </w:pPr>
      <w:r>
        <w:t xml:space="preserve">7. Non-Functional Requirements</w:t>
      </w:r>
    </w:p>
    <w:p>
      <w:pPr>
        <w:pStyle w:val="Heading2"/>
        <w:spacing w:after="120" w:before="260"/>
      </w:pPr>
      <w:r>
        <w:t xml:space="preserve">7.1 Performance &amp; Scalability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NFR-PERF-01</w:t>
            </w:r>
          </w:p>
        </w:tc>
        <w:tc>
          <w:tcPr>
            <w:tcW w:type="dxa" w:w="5600"/>
            <w:tcMar>
              <w:top w:type="dxa" w:w="70"/>
              <w:left w:type="dxa" w:w="110"/>
              <w:bottom w:type="dxa" w:w="70"/>
              <w:right w:type="dxa" w:w="110"/>
            </w:tcMar>
            <w:vAlign w:val="center"/>
          </w:tcPr>
          <w:p>
            <w:r>
              <w:rPr>
                <w:sz w:val="19"/>
                <w:szCs w:val="19"/>
              </w:rPr>
              <w:t xml:space="preserve">95th-percentile API response time stays under 500ms for standard read endpoints at expected launch load.</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NFR-PERF-02</w:t>
            </w:r>
          </w:p>
        </w:tc>
        <w:tc>
          <w:tcPr>
            <w:tcW w:type="dxa" w:w="5600"/>
            <w:shd w:fill="F2F4F6" w:val="clear"/>
            <w:tcMar>
              <w:top w:type="dxa" w:w="70"/>
              <w:left w:type="dxa" w:w="110"/>
              <w:bottom w:type="dxa" w:w="70"/>
              <w:right w:type="dxa" w:w="110"/>
            </w:tcMar>
            <w:vAlign w:val="center"/>
          </w:tcPr>
          <w:p>
            <w:r>
              <w:rPr>
                <w:sz w:val="19"/>
                <w:szCs w:val="19"/>
              </w:rPr>
              <w:t xml:space="preserve">Once decomposed, each service can scale horizontally and independently of the others.</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4</w:t>
            </w:r>
          </w:p>
        </w:tc>
      </w:tr>
      <w:tr>
        <w:tc>
          <w:tcPr>
            <w:tcW w:type="dxa" w:w="1500"/>
            <w:tcMar>
              <w:top w:type="dxa" w:w="70"/>
              <w:left w:type="dxa" w:w="110"/>
              <w:bottom w:type="dxa" w:w="70"/>
              <w:right w:type="dxa" w:w="110"/>
            </w:tcMar>
            <w:vAlign w:val="center"/>
          </w:tcPr>
          <w:p>
            <w:r>
              <w:rPr>
                <w:sz w:val="19"/>
                <w:szCs w:val="19"/>
              </w:rPr>
              <w:t xml:space="preserve">NFR-PERF-03</w:t>
            </w:r>
          </w:p>
        </w:tc>
        <w:tc>
          <w:tcPr>
            <w:tcW w:type="dxa" w:w="5600"/>
            <w:tcMar>
              <w:top w:type="dxa" w:w="70"/>
              <w:left w:type="dxa" w:w="110"/>
              <w:bottom w:type="dxa" w:w="70"/>
              <w:right w:type="dxa" w:w="110"/>
            </w:tcMar>
            <w:vAlign w:val="center"/>
          </w:tcPr>
          <w:p>
            <w:r>
              <w:rPr>
                <w:sz w:val="19"/>
                <w:szCs w:val="19"/>
              </w:rPr>
              <w:t xml:space="preserve">The platform supports at least 10,000 concurrent users without material response-time degradation.</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7.2 Reliability &amp; Availability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NFR-REL-01</w:t>
            </w:r>
          </w:p>
        </w:tc>
        <w:tc>
          <w:tcPr>
            <w:tcW w:type="dxa" w:w="5600"/>
            <w:tcMar>
              <w:top w:type="dxa" w:w="70"/>
              <w:left w:type="dxa" w:w="110"/>
              <w:bottom w:type="dxa" w:w="70"/>
              <w:right w:type="dxa" w:w="110"/>
            </w:tcMar>
            <w:vAlign w:val="center"/>
          </w:tcPr>
          <w:p>
            <w:r>
              <w:rPr>
                <w:sz w:val="19"/>
                <w:szCs w:val="19"/>
              </w:rPr>
              <w:t xml:space="preserve">Core transactional flows (login, job posting, payment) target 99.5% uptime.</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NFR-REL-02</w:t>
            </w:r>
          </w:p>
        </w:tc>
        <w:tc>
          <w:tcPr>
            <w:tcW w:type="dxa" w:w="5600"/>
            <w:shd w:fill="F2F4F6" w:val="clear"/>
            <w:tcMar>
              <w:top w:type="dxa" w:w="70"/>
              <w:left w:type="dxa" w:w="110"/>
              <w:bottom w:type="dxa" w:w="70"/>
              <w:right w:type="dxa" w:w="110"/>
            </w:tcMar>
            <w:vAlign w:val="center"/>
          </w:tcPr>
          <w:p>
            <w:r>
              <w:rPr>
                <w:sz w:val="19"/>
                <w:szCs w:val="19"/>
              </w:rPr>
              <w:t xml:space="preserve">Circuit breakers and retry policies protect against cascading failures between services.</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4</w:t>
            </w:r>
          </w:p>
        </w:tc>
      </w:tr>
      <w:tr>
        <w:tc>
          <w:tcPr>
            <w:tcW w:type="dxa" w:w="1500"/>
            <w:tcMar>
              <w:top w:type="dxa" w:w="70"/>
              <w:left w:type="dxa" w:w="110"/>
              <w:bottom w:type="dxa" w:w="70"/>
              <w:right w:type="dxa" w:w="110"/>
            </w:tcMar>
            <w:vAlign w:val="center"/>
          </w:tcPr>
          <w:p>
            <w:r>
              <w:rPr>
                <w:sz w:val="19"/>
                <w:szCs w:val="19"/>
              </w:rPr>
              <w:t xml:space="preserve">NFR-REL-03</w:t>
            </w:r>
          </w:p>
        </w:tc>
        <w:tc>
          <w:tcPr>
            <w:tcW w:type="dxa" w:w="5600"/>
            <w:tcMar>
              <w:top w:type="dxa" w:w="70"/>
              <w:left w:type="dxa" w:w="110"/>
              <w:bottom w:type="dxa" w:w="70"/>
              <w:right w:type="dxa" w:w="110"/>
            </w:tcMar>
            <w:vAlign w:val="center"/>
          </w:tcPr>
          <w:p>
            <w:r>
              <w:rPr>
                <w:sz w:val="19"/>
                <w:szCs w:val="19"/>
              </w:rPr>
              <w:t xml:space="preserve">Databases are backed up automatically on a daily schedule.</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bl>
    <w:p>
      <w:pPr>
        <w:pStyle w:val="Heading2"/>
        <w:spacing w:after="120" w:before="260"/>
      </w:pPr>
      <w:r>
        <w:t xml:space="preserve">7.3 Security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NFR-SEC-01</w:t>
            </w:r>
          </w:p>
        </w:tc>
        <w:tc>
          <w:tcPr>
            <w:tcW w:type="dxa" w:w="5600"/>
            <w:tcMar>
              <w:top w:type="dxa" w:w="70"/>
              <w:left w:type="dxa" w:w="110"/>
              <w:bottom w:type="dxa" w:w="70"/>
              <w:right w:type="dxa" w:w="110"/>
            </w:tcMar>
            <w:vAlign w:val="center"/>
          </w:tcPr>
          <w:p>
            <w:r>
              <w:rPr>
                <w:sz w:val="19"/>
                <w:szCs w:val="19"/>
              </w:rPr>
              <w:t xml:space="preserve">All traffic is served over HTTPS/TLS.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NFR-SEC-02</w:t>
            </w:r>
          </w:p>
        </w:tc>
        <w:tc>
          <w:tcPr>
            <w:tcW w:type="dxa" w:w="5600"/>
            <w:shd w:fill="F2F4F6" w:val="clear"/>
            <w:tcMar>
              <w:top w:type="dxa" w:w="70"/>
              <w:left w:type="dxa" w:w="110"/>
              <w:bottom w:type="dxa" w:w="70"/>
              <w:right w:type="dxa" w:w="110"/>
            </w:tcMar>
            <w:vAlign w:val="center"/>
          </w:tcPr>
          <w:p>
            <w:r>
              <w:rPr>
                <w:sz w:val="19"/>
                <w:szCs w:val="19"/>
              </w:rPr>
              <w:t xml:space="preserve">Passwords are never stored in plaintext; authentication is delegated to Keycloak.</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NFR-SEC-03</w:t>
            </w:r>
          </w:p>
        </w:tc>
        <w:tc>
          <w:tcPr>
            <w:tcW w:type="dxa" w:w="5600"/>
            <w:tcMar>
              <w:top w:type="dxa" w:w="70"/>
              <w:left w:type="dxa" w:w="110"/>
              <w:bottom w:type="dxa" w:w="70"/>
              <w:right w:type="dxa" w:w="110"/>
            </w:tcMar>
            <w:vAlign w:val="center"/>
          </w:tcPr>
          <w:p>
            <w:r>
              <w:rPr>
                <w:sz w:val="19"/>
                <w:szCs w:val="19"/>
              </w:rPr>
              <w:t xml:space="preserve">Input validation and parameterized queries guard against SQL injection and XSS.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NFR-SEC-04</w:t>
            </w:r>
          </w:p>
        </w:tc>
        <w:tc>
          <w:tcPr>
            <w:tcW w:type="dxa" w:w="5600"/>
            <w:shd w:fill="F2F4F6" w:val="clear"/>
            <w:tcMar>
              <w:top w:type="dxa" w:w="70"/>
              <w:left w:type="dxa" w:w="110"/>
              <w:bottom w:type="dxa" w:w="70"/>
              <w:right w:type="dxa" w:w="110"/>
            </w:tcMar>
            <w:vAlign w:val="center"/>
          </w:tcPr>
          <w:p>
            <w:r>
              <w:rPr>
                <w:sz w:val="19"/>
                <w:szCs w:val="19"/>
              </w:rPr>
              <w:t xml:space="preserve">Raw card data is never handled directly — PCI-DSS scope is minimized via Stripe Elements/Checkout.</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NFR-SEC-05</w:t>
            </w:r>
          </w:p>
        </w:tc>
        <w:tc>
          <w:tcPr>
            <w:tcW w:type="dxa" w:w="5600"/>
            <w:tcMar>
              <w:top w:type="dxa" w:w="70"/>
              <w:left w:type="dxa" w:w="110"/>
              <w:bottom w:type="dxa" w:w="70"/>
              <w:right w:type="dxa" w:w="110"/>
            </w:tcMar>
            <w:vAlign w:val="center"/>
          </w:tcPr>
          <w:p>
            <w:r>
              <w:rPr>
                <w:sz w:val="19"/>
                <w:szCs w:val="19"/>
              </w:rPr>
              <w:t xml:space="preserve">Role-based authorization is enforced at both the API and UI layers.</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NFR-SEC-06</w:t>
            </w:r>
          </w:p>
        </w:tc>
        <w:tc>
          <w:tcPr>
            <w:tcW w:type="dxa" w:w="5600"/>
            <w:shd w:fill="F2F4F6" w:val="clear"/>
            <w:tcMar>
              <w:top w:type="dxa" w:w="70"/>
              <w:left w:type="dxa" w:w="110"/>
              <w:bottom w:type="dxa" w:w="70"/>
              <w:right w:type="dxa" w:w="110"/>
            </w:tcMar>
            <w:vAlign w:val="center"/>
          </w:tcPr>
          <w:p>
            <w:r>
              <w:rPr>
                <w:sz w:val="19"/>
                <w:szCs w:val="19"/>
              </w:rPr>
              <w:t xml:space="preserve">An independent security review or penetration test is completed before onboarding enterprise clients.</w:t>
            </w:r>
          </w:p>
        </w:tc>
        <w:tc>
          <w:tcPr>
            <w:tcW w:type="dxa" w:w="1300"/>
            <w:shd w:fill="F2F4F6" w:val="clear"/>
            <w:tcMar>
              <w:top w:type="dxa" w:w="70"/>
              <w:left w:type="dxa" w:w="110"/>
              <w:bottom w:type="dxa" w:w="70"/>
              <w:right w:type="dxa" w:w="110"/>
            </w:tcMar>
            <w:vAlign w:val="center"/>
          </w:tcPr>
          <w:p>
            <w:r>
              <w:rPr>
                <w:sz w:val="19"/>
                <w:szCs w:val="19"/>
              </w:rPr>
              <w:t xml:space="preserve">Could</w:t>
            </w:r>
          </w:p>
        </w:tc>
        <w:tc>
          <w:tcPr>
            <w:tcW w:type="dxa" w:w="1226"/>
            <w:shd w:fill="F2F4F6" w:val="clear"/>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7.4 Observability &amp; Maintainability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NFR-OBS-01</w:t>
            </w:r>
          </w:p>
        </w:tc>
        <w:tc>
          <w:tcPr>
            <w:tcW w:type="dxa" w:w="5600"/>
            <w:tcMar>
              <w:top w:type="dxa" w:w="70"/>
              <w:left w:type="dxa" w:w="110"/>
              <w:bottom w:type="dxa" w:w="70"/>
              <w:right w:type="dxa" w:w="110"/>
            </w:tcMar>
            <w:vAlign w:val="center"/>
          </w:tcPr>
          <w:p>
            <w:r>
              <w:rPr>
                <w:sz w:val="19"/>
                <w:szCs w:val="19"/>
              </w:rPr>
              <w:t xml:space="preserve">Logging is structured and centralized across services.</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3</w:t>
            </w:r>
          </w:p>
        </w:tc>
      </w:tr>
      <w:tr>
        <w:tc>
          <w:tcPr>
            <w:tcW w:type="dxa" w:w="1500"/>
            <w:shd w:fill="F2F4F6" w:val="clear"/>
            <w:tcMar>
              <w:top w:type="dxa" w:w="70"/>
              <w:left w:type="dxa" w:w="110"/>
              <w:bottom w:type="dxa" w:w="70"/>
              <w:right w:type="dxa" w:w="110"/>
            </w:tcMar>
            <w:vAlign w:val="center"/>
          </w:tcPr>
          <w:p>
            <w:r>
              <w:rPr>
                <w:sz w:val="19"/>
                <w:szCs w:val="19"/>
              </w:rPr>
              <w:t xml:space="preserve">NFR-OBS-02</w:t>
            </w:r>
          </w:p>
        </w:tc>
        <w:tc>
          <w:tcPr>
            <w:tcW w:type="dxa" w:w="5600"/>
            <w:shd w:fill="F2F4F6" w:val="clear"/>
            <w:tcMar>
              <w:top w:type="dxa" w:w="70"/>
              <w:left w:type="dxa" w:w="110"/>
              <w:bottom w:type="dxa" w:w="70"/>
              <w:right w:type="dxa" w:w="110"/>
            </w:tcMar>
            <w:vAlign w:val="center"/>
          </w:tcPr>
          <w:p>
            <w:r>
              <w:rPr>
                <w:sz w:val="19"/>
                <w:szCs w:val="19"/>
              </w:rPr>
              <w:t xml:space="preserve">Metrics dashboards (Prometheus/Grafana) track key business and system indicators.</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4</w:t>
            </w:r>
          </w:p>
        </w:tc>
      </w:tr>
      <w:tr>
        <w:tc>
          <w:tcPr>
            <w:tcW w:type="dxa" w:w="1500"/>
            <w:tcMar>
              <w:top w:type="dxa" w:w="70"/>
              <w:left w:type="dxa" w:w="110"/>
              <w:bottom w:type="dxa" w:w="70"/>
              <w:right w:type="dxa" w:w="110"/>
            </w:tcMar>
            <w:vAlign w:val="center"/>
          </w:tcPr>
          <w:p>
            <w:r>
              <w:rPr>
                <w:sz w:val="19"/>
                <w:szCs w:val="19"/>
              </w:rPr>
              <w:t xml:space="preserve">NFR-OBS-03</w:t>
            </w:r>
          </w:p>
        </w:tc>
        <w:tc>
          <w:tcPr>
            <w:tcW w:type="dxa" w:w="5600"/>
            <w:tcMar>
              <w:top w:type="dxa" w:w="70"/>
              <w:left w:type="dxa" w:w="110"/>
              <w:bottom w:type="dxa" w:w="70"/>
              <w:right w:type="dxa" w:w="110"/>
            </w:tcMar>
            <w:vAlign w:val="center"/>
          </w:tcPr>
          <w:p>
            <w:r>
              <w:rPr>
                <w:sz w:val="19"/>
                <w:szCs w:val="19"/>
              </w:rPr>
              <w:t xml:space="preserve">Error tracking (Sentry) alerts on elevated error rates.</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4</w:t>
            </w:r>
          </w:p>
        </w:tc>
      </w:tr>
      <w:tr>
        <w:tc>
          <w:tcPr>
            <w:tcW w:type="dxa" w:w="1500"/>
            <w:shd w:fill="F2F4F6" w:val="clear"/>
            <w:tcMar>
              <w:top w:type="dxa" w:w="70"/>
              <w:left w:type="dxa" w:w="110"/>
              <w:bottom w:type="dxa" w:w="70"/>
              <w:right w:type="dxa" w:w="110"/>
            </w:tcMar>
            <w:vAlign w:val="center"/>
          </w:tcPr>
          <w:p>
            <w:r>
              <w:rPr>
                <w:sz w:val="19"/>
                <w:szCs w:val="19"/>
              </w:rPr>
              <w:t xml:space="preserve">NFR-MAINT-01</w:t>
            </w:r>
          </w:p>
        </w:tc>
        <w:tc>
          <w:tcPr>
            <w:tcW w:type="dxa" w:w="5600"/>
            <w:shd w:fill="F2F4F6" w:val="clear"/>
            <w:tcMar>
              <w:top w:type="dxa" w:w="70"/>
              <w:left w:type="dxa" w:w="110"/>
              <w:bottom w:type="dxa" w:w="70"/>
              <w:right w:type="dxa" w:w="110"/>
            </w:tcMar>
            <w:vAlign w:val="center"/>
          </w:tcPr>
          <w:p>
            <w:r>
              <w:rPr>
                <w:sz w:val="19"/>
                <w:szCs w:val="19"/>
              </w:rPr>
              <w:t xml:space="preserve">The codebase follows consistent, documented architecture conventions so new contributors can ramp up quickly (see the companion Build &amp; Onboarding Guide).</w:t>
            </w:r>
          </w:p>
        </w:tc>
        <w:tc>
          <w:tcPr>
            <w:tcW w:type="dxa" w:w="1300"/>
            <w:shd w:fill="F2F4F6" w:val="clear"/>
            <w:tcMar>
              <w:top w:type="dxa" w:w="70"/>
              <w:left w:type="dxa" w:w="110"/>
              <w:bottom w:type="dxa" w:w="70"/>
              <w:right w:type="dxa" w:w="110"/>
            </w:tcMar>
            <w:vAlign w:val="center"/>
          </w:tcPr>
          <w:p>
            <w:r>
              <w:rPr>
                <w:sz w:val="19"/>
                <w:szCs w:val="19"/>
              </w:rPr>
              <w:t xml:space="preserve">Must</w:t>
            </w:r>
          </w:p>
        </w:tc>
        <w:tc>
          <w:tcPr>
            <w:tcW w:type="dxa" w:w="1226"/>
            <w:shd w:fill="F2F4F6" w:val="clear"/>
            <w:tcMar>
              <w:top w:type="dxa" w:w="70"/>
              <w:left w:type="dxa" w:w="110"/>
              <w:bottom w:type="dxa" w:w="70"/>
              <w:right w:type="dxa" w:w="110"/>
            </w:tcMar>
            <w:vAlign w:val="center"/>
          </w:tcPr>
          <w:p>
            <w:r>
              <w:rPr>
                <w:sz w:val="19"/>
                <w:szCs w:val="19"/>
              </w:rPr>
              <w:t xml:space="preserve">1</w:t>
            </w:r>
          </w:p>
        </w:tc>
      </w:tr>
      <w:tr>
        <w:tc>
          <w:tcPr>
            <w:tcW w:type="dxa" w:w="1500"/>
            <w:tcMar>
              <w:top w:type="dxa" w:w="70"/>
              <w:left w:type="dxa" w:w="110"/>
              <w:bottom w:type="dxa" w:w="70"/>
              <w:right w:type="dxa" w:w="110"/>
            </w:tcMar>
            <w:vAlign w:val="center"/>
          </w:tcPr>
          <w:p>
            <w:r>
              <w:rPr>
                <w:sz w:val="19"/>
                <w:szCs w:val="19"/>
              </w:rPr>
              <w:t xml:space="preserve">NFR-MAINT-02</w:t>
            </w:r>
          </w:p>
        </w:tc>
        <w:tc>
          <w:tcPr>
            <w:tcW w:type="dxa" w:w="5600"/>
            <w:tcMar>
              <w:top w:type="dxa" w:w="70"/>
              <w:left w:type="dxa" w:w="110"/>
              <w:bottom w:type="dxa" w:w="70"/>
              <w:right w:type="dxa" w:w="110"/>
            </w:tcMar>
            <w:vAlign w:val="center"/>
          </w:tcPr>
          <w:p>
            <w:r>
              <w:rPr>
                <w:sz w:val="19"/>
                <w:szCs w:val="19"/>
              </w:rPr>
              <w:t xml:space="preserve">Core domain logic — job lifecycle, payment calculations — carries automated test coverage.</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1</w:t>
            </w:r>
          </w:p>
        </w:tc>
      </w:tr>
    </w:tbl>
    <w:p>
      <w:pPr>
        <w:pStyle w:val="Heading2"/>
        <w:spacing w:after="120" w:before="260"/>
      </w:pPr>
      <w:r>
        <w:t xml:space="preserve">7.5 Usability &amp; Accessibility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NFR-UX-01</w:t>
            </w:r>
          </w:p>
        </w:tc>
        <w:tc>
          <w:tcPr>
            <w:tcW w:type="dxa" w:w="5600"/>
            <w:tcMar>
              <w:top w:type="dxa" w:w="70"/>
              <w:left w:type="dxa" w:w="110"/>
              <w:bottom w:type="dxa" w:w="70"/>
              <w:right w:type="dxa" w:w="110"/>
            </w:tcMar>
            <w:vAlign w:val="center"/>
          </w:tcPr>
          <w:p>
            <w:r>
              <w:rPr>
                <w:sz w:val="19"/>
                <w:szCs w:val="19"/>
              </w:rPr>
              <w:t xml:space="preserve">The layout is responsive and usable on both desktop and mobile browsers.</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1</w:t>
            </w:r>
          </w:p>
        </w:tc>
      </w:tr>
      <w:tr>
        <w:tc>
          <w:tcPr>
            <w:tcW w:type="dxa" w:w="1500"/>
            <w:shd w:fill="F2F4F6" w:val="clear"/>
            <w:tcMar>
              <w:top w:type="dxa" w:w="70"/>
              <w:left w:type="dxa" w:w="110"/>
              <w:bottom w:type="dxa" w:w="70"/>
              <w:right w:type="dxa" w:w="110"/>
            </w:tcMar>
            <w:vAlign w:val="center"/>
          </w:tcPr>
          <w:p>
            <w:r>
              <w:rPr>
                <w:sz w:val="19"/>
                <w:szCs w:val="19"/>
              </w:rPr>
              <w:t xml:space="preserve">NFR-UX-02</w:t>
            </w:r>
          </w:p>
        </w:tc>
        <w:tc>
          <w:tcPr>
            <w:tcW w:type="dxa" w:w="5600"/>
            <w:shd w:fill="F2F4F6" w:val="clear"/>
            <w:tcMar>
              <w:top w:type="dxa" w:w="70"/>
              <w:left w:type="dxa" w:w="110"/>
              <w:bottom w:type="dxa" w:w="70"/>
              <w:right w:type="dxa" w:w="110"/>
            </w:tcMar>
            <w:vAlign w:val="center"/>
          </w:tcPr>
          <w:p>
            <w:r>
              <w:rPr>
                <w:sz w:val="19"/>
                <w:szCs w:val="19"/>
              </w:rPr>
              <w:t xml:space="preserve">Core flows meet WCAG 2.1 AA accessibility guidelines.</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NFR-UX-03</w:t>
            </w:r>
          </w:p>
        </w:tc>
        <w:tc>
          <w:tcPr>
            <w:tcW w:type="dxa" w:w="5600"/>
            <w:tcMar>
              <w:top w:type="dxa" w:w="70"/>
              <w:left w:type="dxa" w:w="110"/>
              <w:bottom w:type="dxa" w:w="70"/>
              <w:right w:type="dxa" w:w="110"/>
            </w:tcMar>
            <w:vAlign w:val="center"/>
          </w:tcPr>
          <w:p>
            <w:r>
              <w:rPr>
                <w:sz w:val="19"/>
                <w:szCs w:val="19"/>
              </w:rPr>
              <w:t xml:space="preserve">UI copy is clear and jargon-free for first-time freelance-marketplace users.</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1</w:t>
            </w:r>
          </w:p>
        </w:tc>
      </w:tr>
    </w:tbl>
    <w:p>
      <w:pPr>
        <w:pStyle w:val="Heading2"/>
        <w:spacing w:after="120" w:before="260"/>
      </w:pPr>
      <w:r>
        <w:t xml:space="preserve">7.6 Compliance &amp; Data Privacy</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NFR-COMP-01</w:t>
            </w:r>
          </w:p>
        </w:tc>
        <w:tc>
          <w:tcPr>
            <w:tcW w:type="dxa" w:w="5600"/>
            <w:tcMar>
              <w:top w:type="dxa" w:w="70"/>
              <w:left w:type="dxa" w:w="110"/>
              <w:bottom w:type="dxa" w:w="70"/>
              <w:right w:type="dxa" w:w="110"/>
            </w:tcMar>
            <w:vAlign w:val="center"/>
          </w:tcPr>
          <w:p>
            <w:r>
              <w:rPr>
                <w:sz w:val="19"/>
                <w:szCs w:val="19"/>
              </w:rPr>
              <w:t xml:space="preserve">User data handling follows GDPR-equivalent principles: informed consent, and the right to access or delete personal data.</w:t>
            </w:r>
          </w:p>
        </w:tc>
        <w:tc>
          <w:tcPr>
            <w:tcW w:type="dxa" w:w="1300"/>
            <w:tcMar>
              <w:top w:type="dxa" w:w="70"/>
              <w:left w:type="dxa" w:w="110"/>
              <w:bottom w:type="dxa" w:w="70"/>
              <w:right w:type="dxa" w:w="110"/>
            </w:tcMar>
            <w:vAlign w:val="center"/>
          </w:tcPr>
          <w:p>
            <w:r>
              <w:rPr>
                <w:sz w:val="19"/>
                <w:szCs w:val="19"/>
              </w:rPr>
              <w:t xml:space="preserve">Must</w:t>
            </w:r>
          </w:p>
        </w:tc>
        <w:tc>
          <w:tcPr>
            <w:tcW w:type="dxa" w:w="1226"/>
            <w:tcMar>
              <w:top w:type="dxa" w:w="70"/>
              <w:left w:type="dxa" w:w="110"/>
              <w:bottom w:type="dxa" w:w="70"/>
              <w:right w:type="dxa" w:w="110"/>
            </w:tcMar>
            <w:vAlign w:val="center"/>
          </w:tcPr>
          <w:p>
            <w:r>
              <w:rPr>
                <w:sz w:val="19"/>
                <w:szCs w:val="19"/>
              </w:rPr>
              <w:t xml:space="preserve">2</w:t>
            </w:r>
          </w:p>
        </w:tc>
      </w:tr>
      <w:tr>
        <w:tc>
          <w:tcPr>
            <w:tcW w:type="dxa" w:w="1500"/>
            <w:shd w:fill="F2F4F6" w:val="clear"/>
            <w:tcMar>
              <w:top w:type="dxa" w:w="70"/>
              <w:left w:type="dxa" w:w="110"/>
              <w:bottom w:type="dxa" w:w="70"/>
              <w:right w:type="dxa" w:w="110"/>
            </w:tcMar>
            <w:vAlign w:val="center"/>
          </w:tcPr>
          <w:p>
            <w:r>
              <w:rPr>
                <w:sz w:val="19"/>
                <w:szCs w:val="19"/>
              </w:rPr>
              <w:t xml:space="preserve">NFR-COMP-02</w:t>
            </w:r>
          </w:p>
        </w:tc>
        <w:tc>
          <w:tcPr>
            <w:tcW w:type="dxa" w:w="5600"/>
            <w:shd w:fill="F2F4F6" w:val="clear"/>
            <w:tcMar>
              <w:top w:type="dxa" w:w="70"/>
              <w:left w:type="dxa" w:w="110"/>
              <w:bottom w:type="dxa" w:w="70"/>
              <w:right w:type="dxa" w:w="110"/>
            </w:tcMar>
            <w:vAlign w:val="center"/>
          </w:tcPr>
          <w:p>
            <w:r>
              <w:rPr>
                <w:sz w:val="19"/>
                <w:szCs w:val="19"/>
              </w:rPr>
              <w:t xml:space="preserve">Terms of Service and a Privacy Policy are presented clearly at signup.</w:t>
            </w:r>
          </w:p>
        </w:tc>
        <w:tc>
          <w:tcPr>
            <w:tcW w:type="dxa" w:w="1300"/>
            <w:shd w:fill="F2F4F6" w:val="clear"/>
            <w:tcMar>
              <w:top w:type="dxa" w:w="70"/>
              <w:left w:type="dxa" w:w="110"/>
              <w:bottom w:type="dxa" w:w="70"/>
              <w:right w:type="dxa" w:w="110"/>
            </w:tcMar>
            <w:vAlign w:val="center"/>
          </w:tcPr>
          <w:p>
            <w:r>
              <w:rPr>
                <w:sz w:val="19"/>
                <w:szCs w:val="19"/>
              </w:rPr>
              <w:t xml:space="preserve">Should</w:t>
            </w:r>
          </w:p>
        </w:tc>
        <w:tc>
          <w:tcPr>
            <w:tcW w:type="dxa" w:w="1226"/>
            <w:shd w:fill="F2F4F6" w:val="clear"/>
            <w:tcMar>
              <w:top w:type="dxa" w:w="70"/>
              <w:left w:type="dxa" w:w="110"/>
              <w:bottom w:type="dxa" w:w="70"/>
              <w:right w:type="dxa" w:w="110"/>
            </w:tcMar>
            <w:vAlign w:val="center"/>
          </w:tcPr>
          <w:p>
            <w:r>
              <w:rPr>
                <w:sz w:val="19"/>
                <w:szCs w:val="19"/>
              </w:rPr>
              <w:t xml:space="preserve">2</w:t>
            </w:r>
          </w:p>
        </w:tc>
      </w:tr>
      <w:tr>
        <w:tc>
          <w:tcPr>
            <w:tcW w:type="dxa" w:w="1500"/>
            <w:tcMar>
              <w:top w:type="dxa" w:w="70"/>
              <w:left w:type="dxa" w:w="110"/>
              <w:bottom w:type="dxa" w:w="70"/>
              <w:right w:type="dxa" w:w="110"/>
            </w:tcMar>
            <w:vAlign w:val="center"/>
          </w:tcPr>
          <w:p>
            <w:r>
              <w:rPr>
                <w:sz w:val="19"/>
                <w:szCs w:val="19"/>
              </w:rPr>
              <w:t xml:space="preserve">NFR-COMP-03</w:t>
            </w:r>
          </w:p>
        </w:tc>
        <w:tc>
          <w:tcPr>
            <w:tcW w:type="dxa" w:w="5600"/>
            <w:tcMar>
              <w:top w:type="dxa" w:w="70"/>
              <w:left w:type="dxa" w:w="110"/>
              <w:bottom w:type="dxa" w:w="70"/>
              <w:right w:type="dxa" w:w="110"/>
            </w:tcMar>
            <w:vAlign w:val="center"/>
          </w:tcPr>
          <w:p>
            <w:r>
              <w:rPr>
                <w:sz w:val="19"/>
                <w:szCs w:val="19"/>
              </w:rPr>
              <w:t xml:space="preserve">A formal compliance review (e.g. SOC 2 or equivalent) is completed before pursuing enterprise clients.</w:t>
            </w:r>
          </w:p>
        </w:tc>
        <w:tc>
          <w:tcPr>
            <w:tcW w:type="dxa" w:w="1300"/>
            <w:tcMar>
              <w:top w:type="dxa" w:w="70"/>
              <w:left w:type="dxa" w:w="110"/>
              <w:bottom w:type="dxa" w:w="70"/>
              <w:right w:type="dxa" w:w="110"/>
            </w:tcMar>
            <w:vAlign w:val="center"/>
          </w:tcPr>
          <w:p>
            <w:r>
              <w:rPr>
                <w:sz w:val="19"/>
                <w:szCs w:val="19"/>
              </w:rPr>
              <w:t xml:space="preserve">Could</w:t>
            </w:r>
          </w:p>
        </w:tc>
        <w:tc>
          <w:tcPr>
            <w:tcW w:type="dxa" w:w="1226"/>
            <w:tcMar>
              <w:top w:type="dxa" w:w="70"/>
              <w:left w:type="dxa" w:w="110"/>
              <w:bottom w:type="dxa" w:w="70"/>
              <w:right w:type="dxa" w:w="110"/>
            </w:tcMar>
            <w:vAlign w:val="center"/>
          </w:tcPr>
          <w:p>
            <w:r>
              <w:rPr>
                <w:sz w:val="19"/>
                <w:szCs w:val="19"/>
              </w:rPr>
              <w:t xml:space="preserve">5</w:t>
            </w:r>
          </w:p>
        </w:tc>
      </w:tr>
    </w:tbl>
    <w:p>
      <w:pPr>
        <w:pStyle w:val="Heading2"/>
        <w:spacing w:after="120" w:before="260"/>
      </w:pPr>
      <w:r>
        <w:t xml:space="preserve">7.7 Internationalization</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1500"/>
        <w:gridCol w:w="5600"/>
        <w:gridCol w:w="1300"/>
        <w:gridCol w:w="1226"/>
      </w:tblGrid>
      <w:tr>
        <w:trPr>
          <w:tblHeader/>
        </w:trPr>
        <w:tc>
          <w:tcPr>
            <w:tcW w:type="dxa" w:w="1500"/>
            <w:shd w:fill="1F2A44" w:val="clear"/>
            <w:tcMar>
              <w:top w:type="dxa" w:w="90"/>
              <w:left w:type="dxa" w:w="110"/>
              <w:bottom w:type="dxa" w:w="90"/>
              <w:right w:type="dxa" w:w="110"/>
            </w:tcMar>
            <w:vAlign w:val="center"/>
          </w:tcPr>
          <w:p>
            <w:r>
              <w:rPr>
                <w:b/>
                <w:bCs/>
                <w:color w:val="FFFFFF"/>
                <w:sz w:val="19"/>
                <w:szCs w:val="19"/>
              </w:rPr>
              <w:t xml:space="preserve">ID</w:t>
            </w:r>
          </w:p>
        </w:tc>
        <w:tc>
          <w:tcPr>
            <w:tcW w:type="dxa" w:w="5600"/>
            <w:shd w:fill="1F2A44" w:val="clear"/>
            <w:tcMar>
              <w:top w:type="dxa" w:w="90"/>
              <w:left w:type="dxa" w:w="110"/>
              <w:bottom w:type="dxa" w:w="90"/>
              <w:right w:type="dxa" w:w="110"/>
            </w:tcMar>
            <w:vAlign w:val="center"/>
          </w:tcPr>
          <w:p>
            <w:r>
              <w:rPr>
                <w:b/>
                <w:bCs/>
                <w:color w:val="FFFFFF"/>
                <w:sz w:val="19"/>
                <w:szCs w:val="19"/>
              </w:rPr>
              <w:t xml:space="preserve">Requirement</w:t>
            </w:r>
          </w:p>
        </w:tc>
        <w:tc>
          <w:tcPr>
            <w:tcW w:type="dxa" w:w="1300"/>
            <w:shd w:fill="1F2A44" w:val="clear"/>
            <w:tcMar>
              <w:top w:type="dxa" w:w="90"/>
              <w:left w:type="dxa" w:w="110"/>
              <w:bottom w:type="dxa" w:w="90"/>
              <w:right w:type="dxa" w:w="110"/>
            </w:tcMar>
            <w:vAlign w:val="center"/>
          </w:tcPr>
          <w:p>
            <w:r>
              <w:rPr>
                <w:b/>
                <w:bCs/>
                <w:color w:val="FFFFFF"/>
                <w:sz w:val="19"/>
                <w:szCs w:val="19"/>
              </w:rPr>
              <w:t xml:space="preserve">Priority</w:t>
            </w:r>
          </w:p>
        </w:tc>
        <w:tc>
          <w:tcPr>
            <w:tcW w:type="dxa" w:w="1226"/>
            <w:shd w:fill="1F2A44" w:val="clear"/>
            <w:tcMar>
              <w:top w:type="dxa" w:w="90"/>
              <w:left w:type="dxa" w:w="110"/>
              <w:bottom w:type="dxa" w:w="90"/>
              <w:right w:type="dxa" w:w="110"/>
            </w:tcMar>
            <w:vAlign w:val="center"/>
          </w:tcPr>
          <w:p>
            <w:r>
              <w:rPr>
                <w:b/>
                <w:bCs/>
                <w:color w:val="FFFFFF"/>
                <w:sz w:val="19"/>
                <w:szCs w:val="19"/>
              </w:rPr>
              <w:t xml:space="preserve">Phase</w:t>
            </w:r>
          </w:p>
        </w:tc>
      </w:tr>
      <w:tr>
        <w:tc>
          <w:tcPr>
            <w:tcW w:type="dxa" w:w="1500"/>
            <w:tcMar>
              <w:top w:type="dxa" w:w="70"/>
              <w:left w:type="dxa" w:w="110"/>
              <w:bottom w:type="dxa" w:w="70"/>
              <w:right w:type="dxa" w:w="110"/>
            </w:tcMar>
            <w:vAlign w:val="center"/>
          </w:tcPr>
          <w:p>
            <w:r>
              <w:rPr>
                <w:sz w:val="19"/>
                <w:szCs w:val="19"/>
              </w:rPr>
              <w:t xml:space="preserve">NFR-I18N-01</w:t>
            </w:r>
          </w:p>
        </w:tc>
        <w:tc>
          <w:tcPr>
            <w:tcW w:type="dxa" w:w="5600"/>
            <w:tcMar>
              <w:top w:type="dxa" w:w="70"/>
              <w:left w:type="dxa" w:w="110"/>
              <w:bottom w:type="dxa" w:w="70"/>
              <w:right w:type="dxa" w:w="110"/>
            </w:tcMar>
            <w:vAlign w:val="center"/>
          </w:tcPr>
          <w:p>
            <w:r>
              <w:rPr>
                <w:sz w:val="19"/>
                <w:szCs w:val="19"/>
              </w:rPr>
              <w:t xml:space="preserve">The UI supports English and French from the outset, reflecting the platform's initial target markets.</w:t>
            </w:r>
          </w:p>
        </w:tc>
        <w:tc>
          <w:tcPr>
            <w:tcW w:type="dxa" w:w="1300"/>
            <w:tcMar>
              <w:top w:type="dxa" w:w="70"/>
              <w:left w:type="dxa" w:w="110"/>
              <w:bottom w:type="dxa" w:w="70"/>
              <w:right w:type="dxa" w:w="110"/>
            </w:tcMar>
            <w:vAlign w:val="center"/>
          </w:tcPr>
          <w:p>
            <w:r>
              <w:rPr>
                <w:sz w:val="19"/>
                <w:szCs w:val="19"/>
              </w:rPr>
              <w:t xml:space="preserve">Should</w:t>
            </w:r>
          </w:p>
        </w:tc>
        <w:tc>
          <w:tcPr>
            <w:tcW w:type="dxa" w:w="1226"/>
            <w:tcMar>
              <w:top w:type="dxa" w:w="70"/>
              <w:left w:type="dxa" w:w="110"/>
              <w:bottom w:type="dxa" w:w="70"/>
              <w:right w:type="dxa" w:w="110"/>
            </w:tcMar>
            <w:vAlign w:val="center"/>
          </w:tcPr>
          <w:p>
            <w:r>
              <w:rPr>
                <w:sz w:val="19"/>
                <w:szCs w:val="19"/>
              </w:rPr>
              <w:t xml:space="preserve">3</w:t>
            </w:r>
          </w:p>
        </w:tc>
      </w:tr>
      <w:tr>
        <w:tc>
          <w:tcPr>
            <w:tcW w:type="dxa" w:w="1500"/>
            <w:shd w:fill="F2F4F6" w:val="clear"/>
            <w:tcMar>
              <w:top w:type="dxa" w:w="70"/>
              <w:left w:type="dxa" w:w="110"/>
              <w:bottom w:type="dxa" w:w="70"/>
              <w:right w:type="dxa" w:w="110"/>
            </w:tcMar>
            <w:vAlign w:val="center"/>
          </w:tcPr>
          <w:p>
            <w:r>
              <w:rPr>
                <w:sz w:val="19"/>
                <w:szCs w:val="19"/>
              </w:rPr>
              <w:t xml:space="preserve">NFR-I18N-02</w:t>
            </w:r>
          </w:p>
        </w:tc>
        <w:tc>
          <w:tcPr>
            <w:tcW w:type="dxa" w:w="5600"/>
            <w:shd w:fill="F2F4F6" w:val="clear"/>
            <w:tcMar>
              <w:top w:type="dxa" w:w="70"/>
              <w:left w:type="dxa" w:w="110"/>
              <w:bottom w:type="dxa" w:w="70"/>
              <w:right w:type="dxa" w:w="110"/>
            </w:tcMar>
            <w:vAlign w:val="center"/>
          </w:tcPr>
          <w:p>
            <w:r>
              <w:rPr>
                <w:sz w:val="19"/>
                <w:szCs w:val="19"/>
              </w:rPr>
              <w:t xml:space="preserve">Additional languages and locale-aware currency/date formatting are added as new markets open.</w:t>
            </w:r>
          </w:p>
        </w:tc>
        <w:tc>
          <w:tcPr>
            <w:tcW w:type="dxa" w:w="1300"/>
            <w:shd w:fill="F2F4F6" w:val="clear"/>
            <w:tcMar>
              <w:top w:type="dxa" w:w="70"/>
              <w:left w:type="dxa" w:w="110"/>
              <w:bottom w:type="dxa" w:w="70"/>
              <w:right w:type="dxa" w:w="110"/>
            </w:tcMar>
            <w:vAlign w:val="center"/>
          </w:tcPr>
          <w:p>
            <w:r>
              <w:rPr>
                <w:sz w:val="19"/>
                <w:szCs w:val="19"/>
              </w:rPr>
              <w:t xml:space="preserve">Could</w:t>
            </w:r>
          </w:p>
        </w:tc>
        <w:tc>
          <w:tcPr>
            <w:tcW w:type="dxa" w:w="1226"/>
            <w:shd w:fill="F2F4F6" w:val="clear"/>
            <w:tcMar>
              <w:top w:type="dxa" w:w="70"/>
              <w:left w:type="dxa" w:w="110"/>
              <w:bottom w:type="dxa" w:w="70"/>
              <w:right w:type="dxa" w:w="110"/>
            </w:tcMar>
            <w:vAlign w:val="center"/>
          </w:tcPr>
          <w:p>
            <w:r>
              <w:rPr>
                <w:sz w:val="19"/>
                <w:szCs w:val="19"/>
              </w:rPr>
              <w:t xml:space="preserve">5</w:t>
            </w:r>
          </w:p>
        </w:tc>
      </w:tr>
    </w:tbl>
    <w:p>
      <w:pPr>
        <w:pStyle w:val="Heading1"/>
        <w:spacing w:after="160" w:before="360"/>
      </w:pPr>
      <w:r>
        <w:t xml:space="preserve">8. Data Requirements</w:t>
      </w:r>
    </w:p>
    <w:p>
      <w:pPr>
        <w:spacing w:after="160" w:line="276"/>
      </w:pPr>
      <w:r>
        <w:rPr>
          <w:sz w:val="21"/>
          <w:szCs w:val="21"/>
        </w:rPr>
        <w:t xml:space="preserve">Phase 1 introduces the core entities: User, Profile, Job, Proposal, Message, and Review. Phase 2 adds Payment, Milestone, Escrow Transaction, and Dispute. Phase 3 adds MatchScore, SearchIndexEntry, and Notification. Through Phase 3 these all live in one PostgreSQL database, organized by schema per bounded context to keep the eventual Phase 4 split clean.</w:t>
      </w:r>
    </w:p>
    <w:p>
      <w:pPr>
        <w:spacing w:after="160" w:line="276"/>
      </w:pPr>
      <w:r>
        <w:rPr>
          <w:sz w:val="21"/>
          <w:szCs w:val="21"/>
        </w:rPr>
        <w:t xml:space="preserve">From Phase 4 onward, each extracted service owns its own schema. Cross-service references are kept as IDs rather than foreign keys, and stay eventually consistent via Kafka events — for example, the Payment service reacts to a Job's COMPLETED event rather than querying the Job database directly.</w:t>
      </w:r>
    </w:p>
    <w:p>
      <w:pPr>
        <w:spacing w:after="160" w:line="276"/>
      </w:pPr>
      <w:r>
        <w:rPr>
          <w:sz w:val="21"/>
          <w:szCs w:val="21"/>
        </w:rPr>
        <w:t xml:space="preserve">Personal and financial data is encrypted at rest. Retention periods for closed accounts and completed transactions will be defined before Phase 2 begins, to satisfy NFR-COMP-01.</w:t>
      </w:r>
    </w:p>
    <w:p>
      <w:pPr>
        <w:pStyle w:val="Heading1"/>
        <w:spacing w:after="160" w:before="360"/>
      </w:pPr>
      <w:r>
        <w:t xml:space="preserve">9. External Interface Requirements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326"/>
      </w:tblGrid>
      <w:tr>
        <w:trPr>
          <w:tblHeader/>
        </w:trPr>
        <w:tc>
          <w:tcPr>
            <w:tcW w:type="dxa" w:w="2600"/>
            <w:shd w:fill="1F2A44" w:val="clear"/>
            <w:tcMar>
              <w:top w:type="dxa" w:w="90"/>
              <w:left w:type="dxa" w:w="110"/>
              <w:bottom w:type="dxa" w:w="90"/>
              <w:right w:type="dxa" w:w="110"/>
            </w:tcMar>
            <w:vAlign w:val="center"/>
          </w:tcPr>
          <w:p>
            <w:r>
              <w:rPr>
                <w:b/>
                <w:bCs/>
                <w:color w:val="FFFFFF"/>
                <w:sz w:val="19"/>
                <w:szCs w:val="19"/>
              </w:rPr>
              <w:t xml:space="preserve">Interface</w:t>
            </w:r>
          </w:p>
        </w:tc>
        <w:tc>
          <w:tcPr>
            <w:tcW w:type="dxa" w:w="4900"/>
            <w:shd w:fill="1F2A44" w:val="clear"/>
            <w:tcMar>
              <w:top w:type="dxa" w:w="90"/>
              <w:left w:type="dxa" w:w="110"/>
              <w:bottom w:type="dxa" w:w="90"/>
              <w:right w:type="dxa" w:w="110"/>
            </w:tcMar>
            <w:vAlign w:val="center"/>
          </w:tcPr>
          <w:p>
            <w:r>
              <w:rPr>
                <w:b/>
                <w:bCs/>
                <w:color w:val="FFFFFF"/>
                <w:sz w:val="19"/>
                <w:szCs w:val="19"/>
              </w:rPr>
              <w:t xml:space="preserve">Purpose</w:t>
            </w:r>
          </w:p>
        </w:tc>
        <w:tc>
          <w:tcPr>
            <w:tcW w:type="dxa" w:w="1326"/>
            <w:shd w:fill="1F2A44" w:val="clear"/>
            <w:tcMar>
              <w:top w:type="dxa" w:w="90"/>
              <w:left w:type="dxa" w:w="110"/>
              <w:bottom w:type="dxa" w:w="90"/>
              <w:right w:type="dxa" w:w="110"/>
            </w:tcMar>
            <w:vAlign w:val="center"/>
          </w:tcPr>
          <w:p>
            <w:r>
              <w:rPr>
                <w:b/>
                <w:bCs/>
                <w:color w:val="FFFFFF"/>
                <w:sz w:val="19"/>
                <w:szCs w:val="19"/>
              </w:rPr>
              <w:t xml:space="preserve">Introduced</w:t>
            </w:r>
          </w:p>
        </w:tc>
      </w:tr>
      <w:tr>
        <w:tc>
          <w:tcPr>
            <w:tcW w:type="dxa" w:w="2600"/>
            <w:tcMar>
              <w:top w:type="dxa" w:w="70"/>
              <w:left w:type="dxa" w:w="110"/>
              <w:bottom w:type="dxa" w:w="70"/>
              <w:right w:type="dxa" w:w="110"/>
            </w:tcMar>
            <w:vAlign w:val="center"/>
          </w:tcPr>
          <w:p>
            <w:r>
              <w:rPr>
                <w:sz w:val="19"/>
                <w:szCs w:val="19"/>
              </w:rPr>
              <w:t xml:space="preserve">Keycloak (OIDC)</w:t>
            </w:r>
          </w:p>
        </w:tc>
        <w:tc>
          <w:tcPr>
            <w:tcW w:type="dxa" w:w="4900"/>
            <w:tcMar>
              <w:top w:type="dxa" w:w="70"/>
              <w:left w:type="dxa" w:w="110"/>
              <w:bottom w:type="dxa" w:w="70"/>
              <w:right w:type="dxa" w:w="110"/>
            </w:tcMar>
            <w:vAlign w:val="center"/>
          </w:tcPr>
          <w:p>
            <w:r>
              <w:rPr>
                <w:sz w:val="19"/>
                <w:szCs w:val="19"/>
              </w:rPr>
              <w:t xml:space="preserve">Authentication, authorization, identity brokering.</w:t>
            </w:r>
          </w:p>
        </w:tc>
        <w:tc>
          <w:tcPr>
            <w:tcW w:type="dxa" w:w="1326"/>
            <w:tcMar>
              <w:top w:type="dxa" w:w="70"/>
              <w:left w:type="dxa" w:w="110"/>
              <w:bottom w:type="dxa" w:w="70"/>
              <w:right w:type="dxa" w:w="110"/>
            </w:tcMar>
            <w:vAlign w:val="center"/>
          </w:tcPr>
          <w:p>
            <w:r>
              <w:rPr>
                <w:sz w:val="19"/>
                <w:szCs w:val="19"/>
              </w:rPr>
              <w:t xml:space="preserve">Phase 1</w:t>
            </w:r>
          </w:p>
        </w:tc>
      </w:tr>
      <w:tr>
        <w:tc>
          <w:tcPr>
            <w:tcW w:type="dxa" w:w="2600"/>
            <w:shd w:fill="F2F4F6" w:val="clear"/>
            <w:tcMar>
              <w:top w:type="dxa" w:w="70"/>
              <w:left w:type="dxa" w:w="110"/>
              <w:bottom w:type="dxa" w:w="70"/>
              <w:right w:type="dxa" w:w="110"/>
            </w:tcMar>
            <w:vAlign w:val="center"/>
          </w:tcPr>
          <w:p>
            <w:r>
              <w:rPr>
                <w:sz w:val="19"/>
                <w:szCs w:val="19"/>
              </w:rPr>
              <w:t xml:space="preserve">MinIO (S3-compatible)</w:t>
            </w:r>
          </w:p>
        </w:tc>
        <w:tc>
          <w:tcPr>
            <w:tcW w:type="dxa" w:w="4900"/>
            <w:shd w:fill="F2F4F6" w:val="clear"/>
            <w:tcMar>
              <w:top w:type="dxa" w:w="70"/>
              <w:left w:type="dxa" w:w="110"/>
              <w:bottom w:type="dxa" w:w="70"/>
              <w:right w:type="dxa" w:w="110"/>
            </w:tcMar>
            <w:vAlign w:val="center"/>
          </w:tcPr>
          <w:p>
            <w:r>
              <w:rPr>
                <w:sz w:val="19"/>
                <w:szCs w:val="19"/>
              </w:rPr>
              <w:t xml:space="preserve">Portfolio images, message attachments, documents.</w:t>
            </w:r>
          </w:p>
        </w:tc>
        <w:tc>
          <w:tcPr>
            <w:tcW w:type="dxa" w:w="1326"/>
            <w:shd w:fill="F2F4F6" w:val="clear"/>
            <w:tcMar>
              <w:top w:type="dxa" w:w="70"/>
              <w:left w:type="dxa" w:w="110"/>
              <w:bottom w:type="dxa" w:w="70"/>
              <w:right w:type="dxa" w:w="110"/>
            </w:tcMar>
            <w:vAlign w:val="center"/>
          </w:tcPr>
          <w:p>
            <w:r>
              <w:rPr>
                <w:sz w:val="19"/>
                <w:szCs w:val="19"/>
              </w:rPr>
              <w:t xml:space="preserve">Phase 1</w:t>
            </w:r>
          </w:p>
        </w:tc>
      </w:tr>
      <w:tr>
        <w:tc>
          <w:tcPr>
            <w:tcW w:type="dxa" w:w="2600"/>
            <w:tcMar>
              <w:top w:type="dxa" w:w="70"/>
              <w:left w:type="dxa" w:w="110"/>
              <w:bottom w:type="dxa" w:w="70"/>
              <w:right w:type="dxa" w:w="110"/>
            </w:tcMar>
            <w:vAlign w:val="center"/>
          </w:tcPr>
          <w:p>
            <w:r>
              <w:rPr>
                <w:sz w:val="19"/>
                <w:szCs w:val="19"/>
              </w:rPr>
              <w:t xml:space="preserve">Stripe Connect API</w:t>
            </w:r>
          </w:p>
        </w:tc>
        <w:tc>
          <w:tcPr>
            <w:tcW w:type="dxa" w:w="4900"/>
            <w:tcMar>
              <w:top w:type="dxa" w:w="70"/>
              <w:left w:type="dxa" w:w="110"/>
              <w:bottom w:type="dxa" w:w="70"/>
              <w:right w:type="dxa" w:w="110"/>
            </w:tcMar>
            <w:vAlign w:val="center"/>
          </w:tcPr>
          <w:p>
            <w:r>
              <w:rPr>
                <w:sz w:val="19"/>
                <w:szCs w:val="19"/>
              </w:rPr>
              <w:t xml:space="preserve">Escrow payments, freelancer payouts, platform commission.</w:t>
            </w:r>
          </w:p>
        </w:tc>
        <w:tc>
          <w:tcPr>
            <w:tcW w:type="dxa" w:w="1326"/>
            <w:tcMar>
              <w:top w:type="dxa" w:w="70"/>
              <w:left w:type="dxa" w:w="110"/>
              <w:bottom w:type="dxa" w:w="70"/>
              <w:right w:type="dxa" w:w="110"/>
            </w:tcMar>
            <w:vAlign w:val="center"/>
          </w:tcPr>
          <w:p>
            <w:r>
              <w:rPr>
                <w:sz w:val="19"/>
                <w:szCs w:val="19"/>
              </w:rPr>
              <w:t xml:space="preserve">Phase 2</w:t>
            </w:r>
          </w:p>
        </w:tc>
      </w:tr>
      <w:tr>
        <w:tc>
          <w:tcPr>
            <w:tcW w:type="dxa" w:w="2600"/>
            <w:shd w:fill="F2F4F6" w:val="clear"/>
            <w:tcMar>
              <w:top w:type="dxa" w:w="70"/>
              <w:left w:type="dxa" w:w="110"/>
              <w:bottom w:type="dxa" w:w="70"/>
              <w:right w:type="dxa" w:w="110"/>
            </w:tcMar>
            <w:vAlign w:val="center"/>
          </w:tcPr>
          <w:p>
            <w:r>
              <w:rPr>
                <w:sz w:val="19"/>
                <w:szCs w:val="19"/>
              </w:rPr>
              <w:t xml:space="preserve">Transactional email provider (SMTP)</w:t>
            </w:r>
          </w:p>
        </w:tc>
        <w:tc>
          <w:tcPr>
            <w:tcW w:type="dxa" w:w="4900"/>
            <w:shd w:fill="F2F4F6" w:val="clear"/>
            <w:tcMar>
              <w:top w:type="dxa" w:w="70"/>
              <w:left w:type="dxa" w:w="110"/>
              <w:bottom w:type="dxa" w:w="70"/>
              <w:right w:type="dxa" w:w="110"/>
            </w:tcMar>
            <w:vAlign w:val="center"/>
          </w:tcPr>
          <w:p>
            <w:r>
              <w:rPr>
                <w:sz w:val="19"/>
                <w:szCs w:val="19"/>
              </w:rPr>
              <w:t xml:space="preserve">Notification delivery.</w:t>
            </w:r>
          </w:p>
        </w:tc>
        <w:tc>
          <w:tcPr>
            <w:tcW w:type="dxa" w:w="1326"/>
            <w:shd w:fill="F2F4F6" w:val="clear"/>
            <w:tcMar>
              <w:top w:type="dxa" w:w="70"/>
              <w:left w:type="dxa" w:w="110"/>
              <w:bottom w:type="dxa" w:w="70"/>
              <w:right w:type="dxa" w:w="110"/>
            </w:tcMar>
            <w:vAlign w:val="center"/>
          </w:tcPr>
          <w:p>
            <w:r>
              <w:rPr>
                <w:sz w:val="19"/>
                <w:szCs w:val="19"/>
              </w:rPr>
              <w:t xml:space="preserve">Phase 2</w:t>
            </w:r>
          </w:p>
        </w:tc>
      </w:tr>
      <w:tr>
        <w:tc>
          <w:tcPr>
            <w:tcW w:type="dxa" w:w="2600"/>
            <w:tcMar>
              <w:top w:type="dxa" w:w="70"/>
              <w:left w:type="dxa" w:w="110"/>
              <w:bottom w:type="dxa" w:w="70"/>
              <w:right w:type="dxa" w:w="110"/>
            </w:tcMar>
            <w:vAlign w:val="center"/>
          </w:tcPr>
          <w:p>
            <w:r>
              <w:rPr>
                <w:sz w:val="19"/>
                <w:szCs w:val="19"/>
              </w:rPr>
              <w:t xml:space="preserve">OpenSearch / Elasticsearch</w:t>
            </w:r>
          </w:p>
        </w:tc>
        <w:tc>
          <w:tcPr>
            <w:tcW w:type="dxa" w:w="4900"/>
            <w:tcMar>
              <w:top w:type="dxa" w:w="70"/>
              <w:left w:type="dxa" w:w="110"/>
              <w:bottom w:type="dxa" w:w="70"/>
              <w:right w:type="dxa" w:w="110"/>
            </w:tcMar>
            <w:vAlign w:val="center"/>
          </w:tcPr>
          <w:p>
            <w:r>
              <w:rPr>
                <w:sz w:val="19"/>
                <w:szCs w:val="19"/>
              </w:rPr>
              <w:t xml:space="preserve">Full-text and faceted search.</w:t>
            </w:r>
          </w:p>
        </w:tc>
        <w:tc>
          <w:tcPr>
            <w:tcW w:type="dxa" w:w="1326"/>
            <w:tcMar>
              <w:top w:type="dxa" w:w="70"/>
              <w:left w:type="dxa" w:w="110"/>
              <w:bottom w:type="dxa" w:w="70"/>
              <w:right w:type="dxa" w:w="110"/>
            </w:tcMar>
            <w:vAlign w:val="center"/>
          </w:tcPr>
          <w:p>
            <w:r>
              <w:rPr>
                <w:sz w:val="19"/>
                <w:szCs w:val="19"/>
              </w:rPr>
              <w:t xml:space="preserve">Phase 3</w:t>
            </w:r>
          </w:p>
        </w:tc>
      </w:tr>
      <w:tr>
        <w:tc>
          <w:tcPr>
            <w:tcW w:type="dxa" w:w="2600"/>
            <w:shd w:fill="F2F4F6" w:val="clear"/>
            <w:tcMar>
              <w:top w:type="dxa" w:w="70"/>
              <w:left w:type="dxa" w:w="110"/>
              <w:bottom w:type="dxa" w:w="70"/>
              <w:right w:type="dxa" w:w="110"/>
            </w:tcMar>
            <w:vAlign w:val="center"/>
          </w:tcPr>
          <w:p>
            <w:r>
              <w:rPr>
                <w:sz w:val="19"/>
                <w:szCs w:val="19"/>
              </w:rPr>
              <w:t xml:space="preserve">Apache Kafka</w:t>
            </w:r>
          </w:p>
        </w:tc>
        <w:tc>
          <w:tcPr>
            <w:tcW w:type="dxa" w:w="4900"/>
            <w:shd w:fill="F2F4F6" w:val="clear"/>
            <w:tcMar>
              <w:top w:type="dxa" w:w="70"/>
              <w:left w:type="dxa" w:w="110"/>
              <w:bottom w:type="dxa" w:w="70"/>
              <w:right w:type="dxa" w:w="110"/>
            </w:tcMar>
            <w:vAlign w:val="center"/>
          </w:tcPr>
          <w:p>
            <w:r>
              <w:rPr>
                <w:sz w:val="19"/>
                <w:szCs w:val="19"/>
              </w:rPr>
              <w:t xml:space="preserve">Cross-service event backbone.</w:t>
            </w:r>
          </w:p>
        </w:tc>
        <w:tc>
          <w:tcPr>
            <w:tcW w:type="dxa" w:w="1326"/>
            <w:shd w:fill="F2F4F6" w:val="clear"/>
            <w:tcMar>
              <w:top w:type="dxa" w:w="70"/>
              <w:left w:type="dxa" w:w="110"/>
              <w:bottom w:type="dxa" w:w="70"/>
              <w:right w:type="dxa" w:w="110"/>
            </w:tcMar>
            <w:vAlign w:val="center"/>
          </w:tcPr>
          <w:p>
            <w:r>
              <w:rPr>
                <w:sz w:val="19"/>
                <w:szCs w:val="19"/>
              </w:rPr>
              <w:t xml:space="preserve">Phase 4</w:t>
            </w:r>
          </w:p>
        </w:tc>
      </w:tr>
      <w:tr>
        <w:tc>
          <w:tcPr>
            <w:tcW w:type="dxa" w:w="2600"/>
            <w:tcMar>
              <w:top w:type="dxa" w:w="70"/>
              <w:left w:type="dxa" w:w="110"/>
              <w:bottom w:type="dxa" w:w="70"/>
              <w:right w:type="dxa" w:w="110"/>
            </w:tcMar>
            <w:vAlign w:val="center"/>
          </w:tcPr>
          <w:p>
            <w:r>
              <w:rPr>
                <w:sz w:val="19"/>
                <w:szCs w:val="19"/>
              </w:rPr>
              <w:t xml:space="preserve">Push notification provider</w:t>
            </w:r>
          </w:p>
        </w:tc>
        <w:tc>
          <w:tcPr>
            <w:tcW w:type="dxa" w:w="4900"/>
            <w:tcMar>
              <w:top w:type="dxa" w:w="70"/>
              <w:left w:type="dxa" w:w="110"/>
              <w:bottom w:type="dxa" w:w="70"/>
              <w:right w:type="dxa" w:w="110"/>
            </w:tcMar>
            <w:vAlign w:val="center"/>
          </w:tcPr>
          <w:p>
            <w:r>
              <w:rPr>
                <w:sz w:val="19"/>
                <w:szCs w:val="19"/>
              </w:rPr>
              <w:t xml:space="preserve">Mobile alerts.</w:t>
            </w:r>
          </w:p>
        </w:tc>
        <w:tc>
          <w:tcPr>
            <w:tcW w:type="dxa" w:w="1326"/>
            <w:tcMar>
              <w:top w:type="dxa" w:w="70"/>
              <w:left w:type="dxa" w:w="110"/>
              <w:bottom w:type="dxa" w:w="70"/>
              <w:right w:type="dxa" w:w="110"/>
            </w:tcMar>
            <w:vAlign w:val="center"/>
          </w:tcPr>
          <w:p>
            <w:r>
              <w:rPr>
                <w:sz w:val="19"/>
                <w:szCs w:val="19"/>
              </w:rPr>
              <w:t xml:space="preserve">Phase 5</w:t>
            </w:r>
          </w:p>
        </w:tc>
      </w:tr>
    </w:tbl>
    <w:p>
      <w:pPr>
        <w:pStyle w:val="Heading1"/>
        <w:spacing w:after="160" w:before="360"/>
      </w:pPr>
      <w:r>
        <w:t xml:space="preserve">10. Risks &amp; Mitigations</w:t>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4200"/>
        <w:gridCol w:w="4626"/>
      </w:tblGrid>
      <w:tr>
        <w:trPr>
          <w:tblHeader/>
        </w:trPr>
        <w:tc>
          <w:tcPr>
            <w:tcW w:type="dxa" w:w="4200"/>
            <w:shd w:fill="1F2A44" w:val="clear"/>
            <w:tcMar>
              <w:top w:type="dxa" w:w="90"/>
              <w:left w:type="dxa" w:w="110"/>
              <w:bottom w:type="dxa" w:w="90"/>
              <w:right w:type="dxa" w:w="110"/>
            </w:tcMar>
            <w:vAlign w:val="center"/>
          </w:tcPr>
          <w:p>
            <w:r>
              <w:rPr>
                <w:b/>
                <w:bCs/>
                <w:color w:val="FFFFFF"/>
                <w:sz w:val="19"/>
                <w:szCs w:val="19"/>
              </w:rPr>
              <w:t xml:space="preserve">Risk</w:t>
            </w:r>
          </w:p>
        </w:tc>
        <w:tc>
          <w:tcPr>
            <w:tcW w:type="dxa" w:w="4626"/>
            <w:shd w:fill="1F2A44" w:val="clear"/>
            <w:tcMar>
              <w:top w:type="dxa" w:w="90"/>
              <w:left w:type="dxa" w:w="110"/>
              <w:bottom w:type="dxa" w:w="90"/>
              <w:right w:type="dxa" w:w="110"/>
            </w:tcMar>
            <w:vAlign w:val="center"/>
          </w:tcPr>
          <w:p>
            <w:r>
              <w:rPr>
                <w:b/>
                <w:bCs/>
                <w:color w:val="FFFFFF"/>
                <w:sz w:val="19"/>
                <w:szCs w:val="19"/>
              </w:rPr>
              <w:t xml:space="preserve">Mitigation</w:t>
            </w:r>
          </w:p>
        </w:tc>
      </w:tr>
      <w:tr>
        <w:tc>
          <w:tcPr>
            <w:tcW w:type="dxa" w:w="4200"/>
            <w:tcMar>
              <w:top w:type="dxa" w:w="70"/>
              <w:left w:type="dxa" w:w="110"/>
              <w:bottom w:type="dxa" w:w="70"/>
              <w:right w:type="dxa" w:w="110"/>
            </w:tcMar>
            <w:vAlign w:val="center"/>
          </w:tcPr>
          <w:p>
            <w:r>
              <w:rPr>
                <w:sz w:val="19"/>
                <w:szCs w:val="19"/>
              </w:rPr>
              <w:t xml:space="preserve">Scope creep delays a usable first release.</w:t>
            </w:r>
          </w:p>
        </w:tc>
        <w:tc>
          <w:tcPr>
            <w:tcW w:type="dxa" w:w="4626"/>
            <w:tcMar>
              <w:top w:type="dxa" w:w="70"/>
              <w:left w:type="dxa" w:w="110"/>
              <w:bottom w:type="dxa" w:w="70"/>
              <w:right w:type="dxa" w:w="110"/>
            </w:tcMar>
            <w:vAlign w:val="center"/>
          </w:tcPr>
          <w:p>
            <w:r>
              <w:rPr>
                <w:sz w:val="19"/>
                <w:szCs w:val="19"/>
              </w:rPr>
              <w:t xml:space="preserve">Strict phase gating — Phase 1 ships deliberately without payments, matching, or microservices.</w:t>
            </w:r>
          </w:p>
        </w:tc>
      </w:tr>
      <w:tr>
        <w:tc>
          <w:tcPr>
            <w:tcW w:type="dxa" w:w="4200"/>
            <w:shd w:fill="F2F4F6" w:val="clear"/>
            <w:tcMar>
              <w:top w:type="dxa" w:w="70"/>
              <w:left w:type="dxa" w:w="110"/>
              <w:bottom w:type="dxa" w:w="70"/>
              <w:right w:type="dxa" w:w="110"/>
            </w:tcMar>
            <w:vAlign w:val="center"/>
          </w:tcPr>
          <w:p>
            <w:r>
              <w:rPr>
                <w:sz w:val="19"/>
                <w:szCs w:val="19"/>
              </w:rPr>
              <w:t xml:space="preserve">Premature microservice complexity slows a small team.</w:t>
            </w:r>
          </w:p>
        </w:tc>
        <w:tc>
          <w:tcPr>
            <w:tcW w:type="dxa" w:w="4626"/>
            <w:shd w:fill="F2F4F6" w:val="clear"/>
            <w:tcMar>
              <w:top w:type="dxa" w:w="70"/>
              <w:left w:type="dxa" w:w="110"/>
              <w:bottom w:type="dxa" w:w="70"/>
              <w:right w:type="dxa" w:w="110"/>
            </w:tcMar>
            <w:vAlign w:val="center"/>
          </w:tcPr>
          <w:p>
            <w:r>
              <w:rPr>
                <w:sz w:val="19"/>
                <w:szCs w:val="19"/>
              </w:rPr>
              <w:t xml:space="preserve">Modular monolith through Phase 3; decomposition deferred to Phase 4 with explicit trigger criteria (traffic, team size).</w:t>
            </w:r>
          </w:p>
        </w:tc>
      </w:tr>
      <w:tr>
        <w:tc>
          <w:tcPr>
            <w:tcW w:type="dxa" w:w="4200"/>
            <w:tcMar>
              <w:top w:type="dxa" w:w="70"/>
              <w:left w:type="dxa" w:w="110"/>
              <w:bottom w:type="dxa" w:w="70"/>
              <w:right w:type="dxa" w:w="110"/>
            </w:tcMar>
            <w:vAlign w:val="center"/>
          </w:tcPr>
          <w:p>
            <w:r>
              <w:rPr>
                <w:sz w:val="19"/>
                <w:szCs w:val="19"/>
              </w:rPr>
              <w:t xml:space="preserve">Payment or escrow bugs cause financial or trust damage.</w:t>
            </w:r>
          </w:p>
        </w:tc>
        <w:tc>
          <w:tcPr>
            <w:tcW w:type="dxa" w:w="4626"/>
            <w:tcMar>
              <w:top w:type="dxa" w:w="70"/>
              <w:left w:type="dxa" w:w="110"/>
              <w:bottom w:type="dxa" w:w="70"/>
              <w:right w:type="dxa" w:w="110"/>
            </w:tcMar>
            <w:vAlign w:val="center"/>
          </w:tcPr>
          <w:p>
            <w:r>
              <w:rPr>
                <w:sz w:val="19"/>
                <w:szCs w:val="19"/>
              </w:rPr>
              <w:t xml:space="preserve">Dedicated automated test suite for payment logic; staged rollout with capped transaction limits initially.</w:t>
            </w:r>
          </w:p>
        </w:tc>
      </w:tr>
      <w:tr>
        <w:tc>
          <w:tcPr>
            <w:tcW w:type="dxa" w:w="4200"/>
            <w:shd w:fill="F2F4F6" w:val="clear"/>
            <w:tcMar>
              <w:top w:type="dxa" w:w="70"/>
              <w:left w:type="dxa" w:w="110"/>
              <w:bottom w:type="dxa" w:w="70"/>
              <w:right w:type="dxa" w:w="110"/>
            </w:tcMar>
            <w:vAlign w:val="center"/>
          </w:tcPr>
          <w:p>
            <w:r>
              <w:rPr>
                <w:sz w:val="19"/>
                <w:szCs w:val="19"/>
              </w:rPr>
              <w:t xml:space="preserve">Low initial liquidity — too few clients or freelancers to make matches useful.</w:t>
            </w:r>
          </w:p>
        </w:tc>
        <w:tc>
          <w:tcPr>
            <w:tcW w:type="dxa" w:w="4626"/>
            <w:shd w:fill="F2F4F6" w:val="clear"/>
            <w:tcMar>
              <w:top w:type="dxa" w:w="70"/>
              <w:left w:type="dxa" w:w="110"/>
              <w:bottom w:type="dxa" w:w="70"/>
              <w:right w:type="dxa" w:w="110"/>
            </w:tcMar>
            <w:vAlign w:val="center"/>
          </w:tcPr>
          <w:p>
            <w:r>
              <w:rPr>
                <w:sz w:val="19"/>
                <w:szCs w:val="19"/>
              </w:rPr>
              <w:t xml:space="preserve">Launch focused on one category and region to concentrate supply and demand before broadening.</w:t>
            </w:r>
          </w:p>
        </w:tc>
      </w:tr>
      <w:tr>
        <w:tc>
          <w:tcPr>
            <w:tcW w:type="dxa" w:w="4200"/>
            <w:tcMar>
              <w:top w:type="dxa" w:w="70"/>
              <w:left w:type="dxa" w:w="110"/>
              <w:bottom w:type="dxa" w:w="70"/>
              <w:right w:type="dxa" w:w="110"/>
            </w:tcMar>
            <w:vAlign w:val="center"/>
          </w:tcPr>
          <w:p>
            <w:r>
              <w:rPr>
                <w:sz w:val="19"/>
                <w:szCs w:val="19"/>
              </w:rPr>
              <w:t xml:space="preserve">Matching algorithm underperforms simple keyword search at low data volumes.</w:t>
            </w:r>
          </w:p>
        </w:tc>
        <w:tc>
          <w:tcPr>
            <w:tcW w:type="dxa" w:w="4626"/>
            <w:tcMar>
              <w:top w:type="dxa" w:w="70"/>
              <w:left w:type="dxa" w:w="110"/>
              <w:bottom w:type="dxa" w:w="70"/>
              <w:right w:type="dxa" w:w="110"/>
            </w:tcMar>
            <w:vAlign w:val="center"/>
          </w:tcPr>
          <w:p>
            <w:r>
              <w:rPr>
                <w:sz w:val="19"/>
                <w:szCs w:val="19"/>
              </w:rPr>
              <w:t xml:space="preserve">Ship keyword search first (Phase 1); introduce the hybrid model only once enough completed-job data exists to train and evaluate it (Phase 3).</w:t>
            </w:r>
          </w:p>
        </w:tc>
      </w:tr>
    </w:tbl>
    <w:p>
      <w:pPr>
        <w:pStyle w:val="Heading1"/>
        <w:spacing w:after="160" w:before="360"/>
      </w:pPr>
      <w:r>
        <w:t xml:space="preserve">11. Glossary</w:t>
      </w:r>
    </w:p>
    <w:p>
      <w:pPr>
        <w:pStyle w:val="ListParagraph"/>
        <w:numPr>
          <w:ilvl w:val="0"/>
          <w:numId w:val="1"/>
        </w:numPr>
        <w:spacing w:after="80" w:line="270"/>
      </w:pPr>
      <w:r>
        <w:rPr>
          <w:sz w:val="21"/>
          <w:szCs w:val="21"/>
        </w:rPr>
        <w:t xml:space="preserve">Bounded Context — a boundary within which a specific domain model (e.g. “job”) has one consistent meaning; the basis for each future microservice.</w:t>
      </w:r>
    </w:p>
    <w:p>
      <w:pPr>
        <w:pStyle w:val="ListParagraph"/>
        <w:numPr>
          <w:ilvl w:val="0"/>
          <w:numId w:val="1"/>
        </w:numPr>
        <w:spacing w:after="80" w:line="270"/>
      </w:pPr>
      <w:r>
        <w:rPr>
          <w:sz w:val="21"/>
          <w:szCs w:val="21"/>
        </w:rPr>
        <w:t xml:space="preserve">Escrow — funds held by the platform on the client's behalf until work is approved, then released to the freelancer.</w:t>
      </w:r>
    </w:p>
    <w:p>
      <w:pPr>
        <w:pStyle w:val="ListParagraph"/>
        <w:numPr>
          <w:ilvl w:val="0"/>
          <w:numId w:val="1"/>
        </w:numPr>
        <w:spacing w:after="80" w:line="270"/>
      </w:pPr>
      <w:r>
        <w:rPr>
          <w:sz w:val="21"/>
          <w:szCs w:val="21"/>
        </w:rPr>
        <w:t xml:space="preserve">Modular Monolith — a single deployable application internally organized into independent domain modules, structured so it can later be split into microservices without a rewrite.</w:t>
      </w:r>
    </w:p>
    <w:p>
      <w:pPr>
        <w:pStyle w:val="ListParagraph"/>
        <w:numPr>
          <w:ilvl w:val="0"/>
          <w:numId w:val="1"/>
        </w:numPr>
        <w:spacing w:after="80" w:line="270"/>
      </w:pPr>
      <w:r>
        <w:rPr>
          <w:sz w:val="21"/>
          <w:szCs w:val="21"/>
        </w:rPr>
        <w:t xml:space="preserve">MoSCoW — a prioritization method: Must have, Should have, Could have, Won't have (for now).</w:t>
      </w:r>
    </w:p>
    <w:p>
      <w:pPr>
        <w:pStyle w:val="ListParagraph"/>
        <w:numPr>
          <w:ilvl w:val="0"/>
          <w:numId w:val="1"/>
        </w:numPr>
        <w:spacing w:after="80" w:line="270"/>
      </w:pPr>
      <w:r>
        <w:rPr>
          <w:sz w:val="21"/>
          <w:szCs w:val="21"/>
        </w:rPr>
        <w:t xml:space="preserve">Match Score — a computed relevance score used to rank freelancers against a given job.</w:t>
      </w:r>
    </w:p>
    <w:p>
      <w:pPr>
        <w:pStyle w:val="Heading1"/>
        <w:spacing w:after="160" w:before="360"/>
      </w:pPr>
      <w:r>
        <w:t xml:space="preserve">12. Conclusion</w:t>
      </w:r>
    </w:p>
    <w:p>
      <w:pPr>
        <w:spacing w:after="160" w:line="276"/>
      </w:pPr>
      <w:r>
        <w:rPr>
          <w:sz w:val="21"/>
          <w:szCs w:val="21"/>
        </w:rPr>
        <w:t xml:space="preserve">Unikly is a freelance services marketplace, not the general e-commerce storefront first sketched in v0.1 of this document. That earlier draft served its purpose — it got the project started — but the platform's real value, and the technology the team actually has expertise in, point toward an AI-assisted marketplace for services rather than physical goods.</w:t>
      </w:r>
    </w:p>
    <w:p>
      <w:pPr>
        <w:spacing w:after="160" w:line="276"/>
      </w:pPr>
      <w:r>
        <w:rPr>
          <w:sz w:val="21"/>
          <w:szCs w:val="21"/>
        </w:rPr>
        <w:t xml:space="preserve">This revision defines what the platform must do, in five phases that each ship something usable on their own: a working marketplace loop first, trusted payments second, intelligent matching and discovery third, a distributed architecture fourth, and growth-stage features last. Nothing in Phase 2 or later is required to demonstrate that Phase 1 works. That ordering is intentional, and it is the contract this document sets for the team: build small, prove it, then grow.</w:t>
      </w:r>
    </w:p>
    <w:p>
      <w:pPr>
        <w:spacing w:after="160" w:line="276"/>
      </w:pPr>
      <w:r>
        <w:rPr>
          <w:sz w:val="21"/>
          <w:szCs w:val="21"/>
        </w:rPr>
        <w:t xml:space="preserve">The companion Unikly Build &amp; Onboarding Guide translates each phase into concrete engineering steps, so anyone joining the project can see not just what to build, but in what order and why.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Page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0"/>
        <w:sz w:val="16"/>
        <w:szCs w:val="16"/>
      </w:rPr>
      <w:t xml:space="preserve">Unikly SRS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F6E" w:sz="6" w:space="4"/>
      </w:pBdr>
      <w:spacing w:after="160" w:before="360"/>
    </w:pPr>
    <w:rPr>
      <w:rFonts w:ascii="Calibri" w:cs="Calibri" w:eastAsia="Calibri" w:hAnsi="Calibri"/>
      <w:b/>
      <w:bCs/>
      <w:color w:val="1F2A44"/>
      <w:sz w:val="30"/>
      <w:szCs w:val="30"/>
    </w:rPr>
  </w:style>
  <w:style w:type="paragraph" w:styleId="Heading2">
    <w:name w:val="Heading 2"/>
    <w:basedOn w:val="Normal"/>
    <w:next w:val="Normal"/>
    <w:qFormat/>
    <w:pPr>
      <w:spacing w:after="120" w:before="260"/>
    </w:pPr>
    <w:rPr>
      <w:rFonts w:ascii="Calibri" w:cs="Calibri" w:eastAsia="Calibri" w:hAnsi="Calibri"/>
      <w:b/>
      <w:bCs/>
      <w:color w:val="1F2A44"/>
      <w:sz w:val="25"/>
      <w:szCs w:val="25"/>
    </w:rPr>
  </w:style>
  <w:style w:type="paragraph" w:styleId="Heading3">
    <w:name w:val="Heading 3"/>
    <w:basedOn w:val="Normal"/>
    <w:next w:val="Normal"/>
    <w:qFormat/>
    <w:pPr>
      <w:spacing w:after="100" w:before="200"/>
    </w:pPr>
    <w:rPr>
      <w:rFonts w:ascii="Calibri" w:cs="Calibri" w:eastAsia="Calibri" w:hAnsi="Calibri"/>
      <w:b/>
      <w:bCs/>
      <w:color w:val="2E6F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2026-08-04T10:20:28.014Z</dcterms:created>
  <dcterms:modified xsi:type="dcterms:W3CDTF">2026-08-04T10:20:28.014Z</dcterms:modified>
</cp:coreProperties>
</file>

<file path=docProps/custom.xml><?xml version="1.0" encoding="utf-8"?>
<Properties xmlns="http://schemas.openxmlformats.org/officeDocument/2006/custom-properties" xmlns:vt="http://schemas.openxmlformats.org/officeDocument/2006/docPropsVTypes"/>
</file>