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Bilan</w:t>
      </w:r>
      <w:r>
        <w:rPr>
          <w:spacing w:val="-2"/>
        </w:rPr>
        <w:t> </w:t>
      </w:r>
      <w:r>
        <w:rPr/>
        <w:t>au</w:t>
      </w:r>
      <w:r>
        <w:rPr>
          <w:spacing w:val="-2"/>
        </w:rPr>
        <w:t> </w:t>
      </w:r>
      <w:r>
        <w:rPr/>
        <w:t>31</w:t>
      </w:r>
      <w:r>
        <w:rPr>
          <w:spacing w:val="-2"/>
        </w:rPr>
        <w:t> </w:t>
      </w:r>
      <w:r>
        <w:rPr/>
        <w:t>décembre </w:t>
      </w:r>
      <w:sdt>
        <w:sdtPr>
          <w:rPr>
            <w:color w:val="000000"/>
          </w:rPr>
          <w:alias w:val="AnneeN"/>
          <w:tag w:val="AnneeN"/>
          <w:id w:val="1001"/>
          <w:text/>
        </w:sdtPr>
        <w:sdtContent>
          <w:r>
            <w:rPr>
              <w:color w:val="000000"/>
            </w:rPr>
            <w:t xml:space="preserve">[AnneeN]</w:t>
          </w:r>
        </w:sdtContent>
      </w:sdt>
    </w:p>
    <w:p>
      <w:pPr>
        <w:pStyle w:val="BodyText"/>
        <w:spacing w:before="7"/>
        <w:ind w:left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881176</wp:posOffset>
                </wp:positionH>
                <wp:positionV relativeFrom="paragraph">
                  <wp:posOffset>82118</wp:posOffset>
                </wp:positionV>
                <wp:extent cx="579818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184" y="6096"/>
                              </a:lnTo>
                              <a:lnTo>
                                <a:pt x="5798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84003pt;margin-top:6.466038pt;width:456.55pt;height:.48pt;mso-position-horizontal-relative:page;mso-position-vertical-relative:paragraph;z-index:-15728640;mso-wrap-distance-left:0;mso-wrap-distance-right:0" id="docshape3" filled="true" fillcolor="#155f8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68" w:val="left" w:leader="none"/>
        </w:tabs>
        <w:spacing w:line="240" w:lineRule="auto" w:before="201" w:after="0"/>
        <w:ind w:left="568" w:right="0" w:hanging="427"/>
        <w:jc w:val="left"/>
      </w:pPr>
      <w:r>
        <w:rPr/>
        <w:t>Bilan</w:t>
      </w:r>
      <w:r>
        <w:rPr>
          <w:spacing w:val="-9"/>
        </w:rPr>
        <w:t> </w:t>
      </w:r>
      <w:r>
        <w:rPr>
          <w:spacing w:val="-2"/>
        </w:rPr>
        <w:t>actif</w:t>
      </w:r>
    </w:p>
    <w:p>
      <w:pPr>
        <w:pStyle w:val="BodyText"/>
        <w:spacing w:before="81"/>
        <w:ind w:left="0"/>
        <w:jc w:val="left"/>
        <w:rPr>
          <w:b/>
        </w:rPr>
      </w:pPr>
    </w:p>
    <w:tbl>
      <w:tblPr>
        <w:tblW w:w="0" w:type="auto"/>
        <w:jc w:val="left"/>
        <w:tblInd w:w="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7"/>
        <w:gridCol w:w="1601"/>
        <w:gridCol w:w="1599"/>
      </w:tblGrid>
      <w:tr>
        <w:trPr>
          <w:trHeight w:val="225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line="164" w:lineRule="exact"/>
              <w:ind w:left="86"/>
              <w:rPr>
                <w:i/>
                <w:sz w:val="16"/>
              </w:rPr>
            </w:pPr>
            <w:r>
              <w:rPr>
                <w:i/>
                <w:sz w:val="16"/>
              </w:rPr>
              <w:t>(En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milliers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d'euros)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line="164" w:lineRule="exact"/>
              <w:ind w:left="4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</w:t>
            </w:r>
            <w:sdt>
              <w:sdtPr>
                <w:rPr>
                  <w:b/>
                  <w:color w:val="000000"/>
                  <w:sz w:val="16"/>
                </w:rPr>
                <w:alias w:val="AnneeN"/>
                <w:tag w:val="AnneeN"/>
                <w:id w:val="100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[AnneeN]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line="164" w:lineRule="exact"/>
              <w:ind w:left="40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31/12/</w:t>
            </w:r>
            <w:sdt>
              <w:sdtPr>
                <w:rPr>
                  <w:b/>
                  <w:color w:val="000000"/>
                  <w:sz w:val="16"/>
                </w:rPr>
                <w:alias w:val="AnneeN1"/>
                <w:tag w:val="AnneeN1"/>
                <w:id w:val="100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[AnneeN1]</w:t>
                </w:r>
              </w:sdtContent>
            </w:sdt>
          </w:p>
        </w:tc>
      </w:tr>
      <w:tr>
        <w:trPr>
          <w:trHeight w:val="314" w:hRule="atLeast"/>
        </w:trPr>
        <w:tc>
          <w:tcPr>
            <w:tcW w:w="5687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5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Actifs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incorporels</w:t>
            </w:r>
          </w:p>
        </w:tc>
        <w:tc>
          <w:tcPr>
            <w:tcW w:w="1601" w:type="dxa"/>
            <w:tcBorders>
              <w:top w:val="single" w:sz="4" w:space="0" w:color="155F82"/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line="194" w:lineRule="exact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ctifsIncorporels_N"/>
                <w:tag w:val="ActifsIncorporels_N"/>
                <w:id w:val="100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[ActifsIncorporels_N]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line="194" w:lineRule="exact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ctifsIncorporels_N1"/>
                <w:tag w:val="ActifsIncorporels_N1"/>
                <w:id w:val="100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[ActifsIncorporels_N1]</w:t>
                </w:r>
              </w:sdtContent>
            </w:sdt>
          </w:p>
        </w:tc>
      </w:tr>
      <w:tr>
        <w:trPr>
          <w:trHeight w:val="271" w:hRule="atLeast"/>
        </w:trPr>
        <w:tc>
          <w:tcPr>
            <w:tcW w:w="5687" w:type="dxa"/>
            <w:tcBorders>
              <w:top w:val="single" w:sz="4" w:space="0" w:color="155F82"/>
            </w:tcBorders>
          </w:tcPr>
          <w:p>
            <w:pPr>
              <w:pStyle w:val="TableParagraph"/>
              <w:spacing w:before="51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Placements</w:t>
            </w:r>
          </w:p>
        </w:tc>
        <w:tc>
          <w:tcPr>
            <w:tcW w:w="1601" w:type="dxa"/>
            <w:tcBorders>
              <w:top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line="194" w:lineRule="exact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lacements_N"/>
                <w:tag w:val="Placements_N"/>
                <w:id w:val="100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</w:tcBorders>
          </w:tcPr>
          <w:p>
            <w:pPr>
              <w:pStyle w:val="TableParagraph"/>
              <w:spacing w:line="194" w:lineRule="exact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lacements_N1"/>
                <w:tag w:val="Placements_N1"/>
                <w:id w:val="101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79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Terrains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constructions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TerrainsConstructions_N"/>
                <w:tag w:val="TerrainsConstructions_N"/>
                <w:id w:val="101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[TerrainsConstructions_N]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6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TerrainsConstructions_N1"/>
                <w:tag w:val="TerrainsConstructions_N1"/>
                <w:id w:val="101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[TerrainsConstructions_N1]</w:t>
                </w:r>
              </w:sdtContent>
            </w:sdt>
          </w:p>
        </w:tc>
      </w:tr>
      <w:tr>
        <w:trPr>
          <w:trHeight w:val="461" w:hRule="atLeast"/>
        </w:trPr>
        <w:tc>
          <w:tcPr>
            <w:tcW w:w="5687" w:type="dxa"/>
          </w:tcPr>
          <w:p>
            <w:pPr>
              <w:pStyle w:val="TableParagraph"/>
              <w:spacing w:line="194" w:lineRule="exact" w:before="54"/>
              <w:ind w:left="86" w:right="135"/>
              <w:rPr>
                <w:b/>
                <w:sz w:val="16"/>
              </w:rPr>
            </w:pPr>
            <w:r>
              <w:rPr>
                <w:b/>
                <w:sz w:val="16"/>
              </w:rPr>
              <w:t>Placements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dans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entreprises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liées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entreprises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avec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lesquelles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il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existe un lien de participation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lacementsEntreprisesLiees_N"/>
                <w:tag w:val="PlacementsEntreprisesLiees_N"/>
                <w:id w:val="101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[PlacementsEntreprisesLiees_N]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6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lacementsEntreprisesLiees_N1"/>
                <w:tag w:val="PlacementsEntreprisesLiees_N1"/>
                <w:id w:val="101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[PlacementsEntreprisesLiees_N1]</w:t>
                </w:r>
              </w:sdtContent>
            </w:sdt>
          </w:p>
        </w:tc>
      </w:tr>
      <w:tr>
        <w:trPr>
          <w:trHeight w:val="289" w:hRule="atLeast"/>
        </w:trPr>
        <w:tc>
          <w:tcPr>
            <w:tcW w:w="5687" w:type="dxa"/>
          </w:tcPr>
          <w:p>
            <w:pPr>
              <w:pStyle w:val="TableParagraph"/>
              <w:spacing w:before="6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placements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1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lacements_N"/>
                <w:tag w:val="AutresPlacements_N"/>
                <w:id w:val="101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[AutresPlacements_N]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6"/>
              <w:ind w:right="66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lacements_N1"/>
                <w:tag w:val="AutresPlacements_N1"/>
                <w:id w:val="101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[AutresPlacements_N1]</w:t>
                </w:r>
              </w:sdtContent>
            </w:sdt>
          </w:p>
        </w:tc>
      </w:tr>
      <w:tr>
        <w:trPr>
          <w:trHeight w:val="342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86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Créances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espèces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déposées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auprès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des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entreprises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cédantes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EspecesDeposees_N"/>
                <w:tag w:val="CreancesEspecesDeposees_N"/>
                <w:id w:val="101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[CreancesEspecesDeposees_N]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26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EspecesDeposees_N1"/>
                <w:tag w:val="CreancesEspecesDeposees_N1"/>
                <w:id w:val="101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[CreancesEspecesDeposees_N1]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w="5687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37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Placements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représentant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provisions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techniques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afférentes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aux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opérations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unités de compte</w:t>
            </w:r>
          </w:p>
        </w:tc>
        <w:tc>
          <w:tcPr>
            <w:tcW w:w="1601" w:type="dxa"/>
            <w:tcBorders>
              <w:top w:val="single" w:sz="4" w:space="0" w:color="155F82"/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lacementsUC_N"/>
                <w:tag w:val="PlacementsUC_N"/>
                <w:id w:val="101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[PlacementsUC_N]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lacementsUC_N1"/>
                <w:tag w:val="PlacementsUC_N1"/>
                <w:id w:val="102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[PlacementsUC_N1]</w:t>
                </w:r>
              </w:sdtContent>
            </w:sdt>
          </w:p>
        </w:tc>
      </w:tr>
      <w:tr>
        <w:trPr>
          <w:trHeight w:val="384" w:hRule="atLeast"/>
        </w:trPr>
        <w:tc>
          <w:tcPr>
            <w:tcW w:w="5687" w:type="dxa"/>
            <w:tcBorders>
              <w:top w:val="single" w:sz="4" w:space="0" w:color="155F82"/>
            </w:tcBorders>
          </w:tcPr>
          <w:p>
            <w:pPr>
              <w:pStyle w:val="TableParagraph"/>
              <w:spacing w:before="126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Part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cessionnaires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rétrocessionnaires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dans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provisions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techniques</w:t>
            </w:r>
          </w:p>
        </w:tc>
        <w:tc>
          <w:tcPr>
            <w:tcW w:w="1601" w:type="dxa"/>
            <w:tcBorders>
              <w:top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line="194" w:lineRule="exact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artCessionnaires_N"/>
                <w:tag w:val="PartCessionnaires_N"/>
                <w:id w:val="102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[PartCessionnaires_N]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</w:tcBorders>
          </w:tcPr>
          <w:p>
            <w:pPr>
              <w:pStyle w:val="TableParagraph"/>
              <w:spacing w:line="194" w:lineRule="exact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artCessionnaires_N1"/>
                <w:tag w:val="PartCessionnaires_N1"/>
                <w:id w:val="102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[PartCessionnaires_N1]</w:t>
                </w:r>
              </w:sdtContent>
            </w:sdt>
          </w:p>
        </w:tc>
      </w:tr>
      <w:tr>
        <w:trPr>
          <w:trHeight w:val="337" w:hRule="atLeast"/>
        </w:trPr>
        <w:tc>
          <w:tcPr>
            <w:tcW w:w="5687" w:type="dxa"/>
          </w:tcPr>
          <w:p>
            <w:pPr>
              <w:pStyle w:val="TableParagraph"/>
              <w:spacing w:before="115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cotisations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non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acquises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65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CotisNonAcquisesNV_N"/>
                <w:tag w:val="ProvCotisNonAcquisesNV_N"/>
                <w:id w:val="102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[ProvCotisNonAcquisesNV_N]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65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CotisNonAcquisesNV_N1"/>
                <w:tag w:val="ProvCotisNonAcquisesNV_N1"/>
                <w:id w:val="102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[ProvCotisNonAcquisesNV_N1]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Provisions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d'assurance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vie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8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AssuranceVie_N"/>
                <w:tag w:val="ProvAssuranceVie_N"/>
                <w:id w:val="102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[ProvAssuranceVie_N]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8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AssuranceVie_N1"/>
                <w:tag w:val="ProvAssuranceVie_N1"/>
                <w:id w:val="102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[ProvAssuranceVie_N1]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prestations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à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payer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8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restationsVie_N"/>
                <w:tag w:val="ProvPrestationsVie_N"/>
                <w:id w:val="102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[ProvPrestationsVie_N]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8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restationsVie_N1"/>
                <w:tag w:val="ProvPrestationsVie_N1"/>
                <w:id w:val="102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[ProvPrestationsVie_N1]</w:t>
                </w:r>
              </w:sdtContent>
            </w:sdt>
          </w:p>
        </w:tc>
      </w:tr>
      <w:tr>
        <w:trPr>
          <w:trHeight w:val="315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prestations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à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payer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8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restationsNV_N"/>
                <w:tag w:val="ProvPrestationsNV_N"/>
                <w:id w:val="102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[ProvPrestationsNV_N]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8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restationsNV_N1"/>
                <w:tag w:val="ProvPrestationsNV_N1"/>
                <w:id w:val="103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[ProvPrestationsNV_N1]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63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participation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aux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excédents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ristournes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(Vie)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"/>
              <w:ind w:right="69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BVie_N"/>
                <w:tag w:val="ProvPBVie_N"/>
                <w:id w:val="103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[ProvPBVie_N]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2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BVie_N1"/>
                <w:tag w:val="ProvPBVie_N1"/>
                <w:id w:val="103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[ProvPBVie_N1]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63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participation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aux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excédents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ristournes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"/>
              <w:ind w:right="69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BNV_N"/>
                <w:tag w:val="ProvPBNV_N"/>
                <w:id w:val="103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[ProvPBNV_N]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2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PBNV_N1"/>
                <w:tag w:val="ProvPBNV_N1"/>
                <w:id w:val="103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[ProvPBNV_N1]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63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égalisation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(Vie)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"/>
              <w:ind w:right="69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EgalisationVie_N"/>
                <w:tag w:val="ProvEgalisationVie_N"/>
                <w:id w:val="103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[ProvEgalisationVie_N]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2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EgalisationVie_N1"/>
                <w:tag w:val="ProvEgalisationVie_N1"/>
                <w:id w:val="103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[ProvEgalisationVie_N1]</w:t>
                </w:r>
              </w:sdtContent>
            </w:sdt>
          </w:p>
        </w:tc>
      </w:tr>
      <w:tr>
        <w:trPr>
          <w:trHeight w:val="284" w:hRule="atLeast"/>
        </w:trPr>
        <w:tc>
          <w:tcPr>
            <w:tcW w:w="5687" w:type="dxa"/>
          </w:tcPr>
          <w:p>
            <w:pPr>
              <w:pStyle w:val="TableParagraph"/>
              <w:spacing w:before="63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égalisation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</w:tcPr>
          <w:p>
            <w:pPr>
              <w:pStyle w:val="TableParagraph"/>
              <w:spacing w:before="12"/>
              <w:ind w:right="69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EgalisationNV_N"/>
                <w:tag w:val="ProvEgalisationNV_N"/>
                <w:id w:val="103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[ProvEgalisationNV_N]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2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ProvEgalisationNV_N1"/>
                <w:tag w:val="ProvEgalisationNV_N1"/>
                <w:id w:val="103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[ProvEgalisationNV_N1]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provisions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techniques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8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rovTechVie_N"/>
                <w:tag w:val="AutresProvTechVie_N"/>
                <w:id w:val="103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[AutresProvTechVie_N]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8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rovTechVie_N1"/>
                <w:tag w:val="AutresProvTechVie_N1"/>
                <w:id w:val="104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[AutresProvTechVie_N1]</w:t>
                </w:r>
              </w:sdtContent>
            </w:sdt>
          </w:p>
        </w:tc>
      </w:tr>
      <w:tr>
        <w:trPr>
          <w:trHeight w:val="339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provisions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techniques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28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rovTechNV_N"/>
                <w:tag w:val="AutresProvTechNV_N"/>
                <w:id w:val="104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[AutresProvTechNV_N]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28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ProvTechNV_N1"/>
                <w:tag w:val="AutresProvTechNV_N1"/>
                <w:id w:val="104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[AutresProvTechNV_N1]</w:t>
                </w:r>
              </w:sdtContent>
            </w:sdt>
          </w:p>
        </w:tc>
      </w:tr>
      <w:tr>
        <w:trPr>
          <w:trHeight w:val="294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36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Provisions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techniques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opérations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unités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compte</w:t>
            </w:r>
          </w:p>
        </w:tc>
        <w:tc>
          <w:tcPr>
            <w:tcW w:w="1601" w:type="dxa"/>
            <w:tcBorders>
              <w:top w:val="nil"/>
              <w:bottom w:val="single" w:sz="4" w:space="0" w:color="155F82"/>
            </w:tcBorders>
            <w:shd w:val="clear" w:color="auto" w:fill="DAE9F7"/>
          </w:tcPr>
          <w:p>
            <w:pPr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rovTechUC_N"/>
                <w:tag w:val="ProvTechUC_N"/>
                <w:id w:val="104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[ProvTechUC_N]</w:t>
                </w:r>
              </w:sdtContent>
            </w:sdt>
          </w:p>
        </w:tc>
        <w:tc>
          <w:tcPr>
            <w:tcW w:w="1599" w:type="dxa"/>
            <w:tcBorders>
              <w:top w:val="nil"/>
              <w:bottom w:val="single" w:sz="4" w:space="0" w:color="155F82"/>
            </w:tcBorders>
          </w:tcPr>
          <w:p>
            <w:pPr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rovTechUC_N1"/>
                <w:tag w:val="ProvTechUC_N1"/>
                <w:id w:val="104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[ProvTechUC_N1]</w:t>
                </w:r>
              </w:sdtContent>
            </w:sdt>
          </w:p>
        </w:tc>
      </w:tr>
      <w:tr>
        <w:trPr>
          <w:trHeight w:val="465" w:hRule="atLeast"/>
        </w:trPr>
        <w:tc>
          <w:tcPr>
            <w:tcW w:w="5687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133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Parts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garants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dans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engagements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techniques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donnés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substitution</w:t>
            </w:r>
          </w:p>
        </w:tc>
        <w:tc>
          <w:tcPr>
            <w:tcW w:w="1601" w:type="dxa"/>
            <w:tcBorders>
              <w:top w:val="single" w:sz="4" w:space="0" w:color="155F82"/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artsGarants_N"/>
                <w:tag w:val="PartsGarants_N"/>
                <w:id w:val="104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[PartsGarants_N]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ind w:right="68"/>
              <w:jc w:val="right"/>
            </w:pPr>
            <w:sdt>
              <w:sdtPr>
                <w:rPr>
                  <w:b/>
                  <w:color w:val="000000"/>
                  <w:sz w:val="16"/>
                </w:rPr>
                <w:alias w:val="PartsGarants_N1"/>
                <w:tag w:val="PartsGarants_N1"/>
                <w:id w:val="104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[PartsGarants_N1]</w:t>
                </w:r>
              </w:sdtContent>
            </w:sdt>
          </w:p>
        </w:tc>
      </w:tr>
      <w:tr>
        <w:trPr>
          <w:trHeight w:val="271" w:hRule="atLeast"/>
        </w:trPr>
        <w:tc>
          <w:tcPr>
            <w:tcW w:w="5687" w:type="dxa"/>
            <w:tcBorders>
              <w:top w:val="single" w:sz="4" w:space="0" w:color="155F82"/>
            </w:tcBorders>
          </w:tcPr>
          <w:p>
            <w:pPr>
              <w:pStyle w:val="TableParagraph"/>
              <w:spacing w:before="51"/>
              <w:ind w:left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Créances</w:t>
            </w:r>
          </w:p>
        </w:tc>
        <w:tc>
          <w:tcPr>
            <w:tcW w:w="1601" w:type="dxa"/>
            <w:tcBorders>
              <w:top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line="194" w:lineRule="exact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_N"/>
                <w:tag w:val="Creances_N"/>
                <w:id w:val="104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</w:tcBorders>
          </w:tcPr>
          <w:p>
            <w:pPr>
              <w:pStyle w:val="TableParagraph"/>
              <w:spacing w:line="194" w:lineRule="exact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_N1"/>
                <w:tag w:val="Creances_N1"/>
                <w:id w:val="104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79"/>
              <w:ind w:left="122"/>
              <w:rPr>
                <w:b/>
                <w:sz w:val="16"/>
              </w:rPr>
            </w:pPr>
            <w:r>
              <w:rPr>
                <w:b/>
                <w:sz w:val="16"/>
              </w:rPr>
              <w:t>Créances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nées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d'opérations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directes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prises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substitution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OpDirectes_N"/>
                <w:tag w:val="CreancesOpDirectes_N"/>
                <w:id w:val="104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[CreancesOpDirectes_N]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6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OpDirectes_N1"/>
                <w:tag w:val="CreancesOpDirectes_N1"/>
                <w:id w:val="105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[CreancesOpDirectes_N1]</w:t>
                </w:r>
              </w:sdtContent>
            </w:sdt>
          </w:p>
        </w:tc>
      </w:tr>
      <w:tr>
        <w:trPr>
          <w:trHeight w:val="411" w:hRule="atLeast"/>
        </w:trPr>
        <w:tc>
          <w:tcPr>
            <w:tcW w:w="5687" w:type="dxa"/>
          </w:tcPr>
          <w:p>
            <w:pPr>
              <w:pStyle w:val="TableParagraph"/>
              <w:spacing w:before="154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Créances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nées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d'opérations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réassurance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cessions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2"/>
                <w:sz w:val="16"/>
              </w:rPr>
              <w:t> substitution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Reassurance_N"/>
                <w:tag w:val="CreancesReassurance_N"/>
                <w:id w:val="105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[CreancesReassurance_N]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6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reancesReassurance_N1"/>
                <w:tag w:val="CreancesReassurance_N1"/>
                <w:id w:val="105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[CreancesReassurance_N1]</w:t>
                </w:r>
              </w:sdtContent>
            </w:sdt>
          </w:p>
        </w:tc>
      </w:tr>
      <w:tr>
        <w:trPr>
          <w:trHeight w:val="363" w:hRule="atLeast"/>
        </w:trPr>
        <w:tc>
          <w:tcPr>
            <w:tcW w:w="5687" w:type="dxa"/>
          </w:tcPr>
          <w:p>
            <w:pPr>
              <w:pStyle w:val="TableParagraph"/>
              <w:spacing w:before="116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créances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64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Creances_N"/>
                <w:tag w:val="AutresCreances_N"/>
                <w:id w:val="105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[AutresCreances_N]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64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Creances_N1"/>
                <w:tag w:val="AutresCreances_N1"/>
                <w:id w:val="105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[AutresCreances_N1]</w:t>
                </w:r>
              </w:sdtContent>
            </w:sdt>
          </w:p>
        </w:tc>
      </w:tr>
      <w:tr>
        <w:trPr>
          <w:trHeight w:val="302" w:hRule="atLeast"/>
        </w:trPr>
        <w:tc>
          <w:tcPr>
            <w:tcW w:w="5687" w:type="dxa"/>
          </w:tcPr>
          <w:p>
            <w:pPr>
              <w:pStyle w:val="TableParagraph"/>
              <w:spacing w:before="53"/>
              <w:ind w:left="566"/>
              <w:rPr>
                <w:sz w:val="16"/>
              </w:rPr>
            </w:pPr>
            <w:r>
              <w:rPr>
                <w:spacing w:val="-2"/>
                <w:sz w:val="16"/>
              </w:rPr>
              <w:t>Personnel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53"/>
              <w:ind w:right="68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Personnel_N"/>
                <w:tag w:val="Personnel_N"/>
                <w:id w:val="1055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[Personnel_N]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53"/>
              <w:ind w:right="65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Personnel_N1"/>
                <w:tag w:val="Personnel_N1"/>
                <w:id w:val="1056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[Personnel_N1]</w:t>
                </w:r>
              </w:sdtContent>
            </w:sdt>
          </w:p>
        </w:tc>
      </w:tr>
      <w:tr>
        <w:trPr>
          <w:trHeight w:val="303" w:hRule="atLeast"/>
        </w:trPr>
        <w:tc>
          <w:tcPr>
            <w:tcW w:w="5687" w:type="dxa"/>
          </w:tcPr>
          <w:p>
            <w:pPr>
              <w:pStyle w:val="TableParagraph"/>
              <w:spacing w:before="50"/>
              <w:ind w:left="566"/>
              <w:rPr>
                <w:sz w:val="16"/>
              </w:rPr>
            </w:pPr>
            <w:r>
              <w:rPr>
                <w:sz w:val="16"/>
              </w:rPr>
              <w:t>Etat,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organismes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sociaux,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collectivités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publiques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50"/>
              <w:ind w:right="68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EtatOrganismesSociaux_N"/>
                <w:tag w:val="EtatOrganismesSociaux_N"/>
                <w:id w:val="1057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[EtatOrganismesSociaux_N]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50"/>
              <w:ind w:right="65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EtatOrganismesSociaux_N1"/>
                <w:tag w:val="EtatOrganismesSociaux_N1"/>
                <w:id w:val="1058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[EtatOrganismesSociaux_N1]</w:t>
                </w:r>
              </w:sdtContent>
            </w:sdt>
          </w:p>
        </w:tc>
      </w:tr>
      <w:tr>
        <w:trPr>
          <w:trHeight w:val="311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54"/>
              <w:ind w:left="566"/>
              <w:rPr>
                <w:sz w:val="16"/>
              </w:rPr>
            </w:pPr>
            <w:r>
              <w:rPr>
                <w:spacing w:val="-2"/>
                <w:sz w:val="16"/>
              </w:rPr>
              <w:t>Débiteurs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divers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54"/>
              <w:ind w:right="68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DebiteursDivers_N"/>
                <w:tag w:val="DebiteursDivers_N"/>
                <w:id w:val="1059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[DebiteursDivers_N]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54"/>
              <w:ind w:right="65"/>
              <w:jc w:val="right"/>
              <w:rPr>
                <w:sz w:val="16"/>
              </w:rPr>
            </w:pPr>
            <w:sdt>
              <w:sdtPr>
                <w:rPr>
                  <w:color w:val="000000"/>
                  <w:sz w:val="16"/>
                </w:rPr>
                <w:alias w:val="DebiteursDivers_N1"/>
                <w:tag w:val="DebiteursDivers_N1"/>
                <w:id w:val="1060"/>
                <w:text/>
              </w:sdtPr>
              <w:sdtContent>
                <w:r>
                  <w:rPr>
                    <w:color w:val="000000"/>
                    <w:sz w:val="16"/>
                  </w:rPr>
                  <w:t xml:space="preserve">[DebiteursDivers_N1]</w:t>
                </w:r>
              </w:sdtContent>
            </w:sdt>
          </w:p>
        </w:tc>
      </w:tr>
      <w:tr>
        <w:trPr>
          <w:trHeight w:val="271" w:hRule="atLeast"/>
        </w:trPr>
        <w:tc>
          <w:tcPr>
            <w:tcW w:w="5687" w:type="dxa"/>
            <w:tcBorders>
              <w:top w:val="single" w:sz="4" w:space="0" w:color="155F82"/>
            </w:tcBorders>
          </w:tcPr>
          <w:p>
            <w:pPr>
              <w:pStyle w:val="TableParagraph"/>
              <w:spacing w:before="51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actifs</w:t>
            </w:r>
          </w:p>
        </w:tc>
        <w:tc>
          <w:tcPr>
            <w:tcW w:w="1601" w:type="dxa"/>
            <w:tcBorders>
              <w:top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line="194" w:lineRule="exact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Actifs_N"/>
                <w:tag w:val="AutresActifs_N"/>
                <w:id w:val="106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[AutresActifs_N]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</w:tcBorders>
          </w:tcPr>
          <w:p>
            <w:pPr>
              <w:pStyle w:val="TableParagraph"/>
              <w:spacing w:line="194" w:lineRule="exact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Actifs_N1"/>
                <w:tag w:val="AutresActifs_N1"/>
                <w:id w:val="106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[AutresActifs_N1]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80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Actifs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corporels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d'exploitation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27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ctifsCorporelsExploitation_N"/>
                <w:tag w:val="ActifsCorporelsExploitation_N"/>
                <w:id w:val="106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[ActifsCorporelsExploitation_N]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7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ctifsCorporelsExploitation_N1"/>
                <w:tag w:val="ActifsCorporelsExploitation_N1"/>
                <w:id w:val="106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[ActifsCorporelsExploitation_N1]</w:t>
                </w:r>
              </w:sdtContent>
            </w:sdt>
          </w:p>
        </w:tc>
      </w:tr>
      <w:tr>
        <w:trPr>
          <w:trHeight w:val="342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86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Avoirs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banque,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CCP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caisse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26"/>
              <w:ind w:right="63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voirsBanque_N"/>
                <w:tag w:val="AvoirsBanque_N"/>
                <w:id w:val="106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[AvoirsBanque_N]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26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voirsBanque_N1"/>
                <w:tag w:val="AvoirsBanque_N1"/>
                <w:id w:val="106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[AvoirsBanque_N1]</w:t>
                </w:r>
              </w:sdtContent>
            </w:sdt>
          </w:p>
        </w:tc>
      </w:tr>
      <w:tr>
        <w:trPr>
          <w:trHeight w:val="273" w:hRule="atLeast"/>
        </w:trPr>
        <w:tc>
          <w:tcPr>
            <w:tcW w:w="5687" w:type="dxa"/>
            <w:tcBorders>
              <w:top w:val="single" w:sz="4" w:space="0" w:color="155F82"/>
            </w:tcBorders>
          </w:tcPr>
          <w:p>
            <w:pPr>
              <w:pStyle w:val="TableParagraph"/>
              <w:spacing w:before="51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Comptes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régularisation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Actif</w:t>
            </w:r>
          </w:p>
        </w:tc>
        <w:tc>
          <w:tcPr>
            <w:tcW w:w="1601" w:type="dxa"/>
            <w:tcBorders>
              <w:top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51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omptesRegularisation_N"/>
                <w:tag w:val="ComptesRegularisation_N"/>
                <w:id w:val="106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[ComptesRegularisation_N]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</w:tcBorders>
          </w:tcPr>
          <w:p>
            <w:pPr>
              <w:pStyle w:val="TableParagraph"/>
              <w:spacing w:line="194" w:lineRule="exact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ComptesRegularisation_N1"/>
                <w:tag w:val="ComptesRegularisation_N1"/>
                <w:id w:val="106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[ComptesRegularisation_N1]</w:t>
                </w:r>
              </w:sdtContent>
            </w:sdt>
          </w:p>
        </w:tc>
      </w:tr>
      <w:tr>
        <w:trPr>
          <w:trHeight w:val="315" w:hRule="atLeast"/>
        </w:trPr>
        <w:tc>
          <w:tcPr>
            <w:tcW w:w="5687" w:type="dxa"/>
          </w:tcPr>
          <w:p>
            <w:pPr>
              <w:pStyle w:val="TableParagraph"/>
              <w:spacing w:before="7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Intérêts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loyers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acquis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non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échus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78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InteretsLoyers_N"/>
                <w:tag w:val="InteretsLoyers_N"/>
                <w:id w:val="106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[InteretsLoyers_N]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25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InteretsLoyers_N1"/>
                <w:tag w:val="InteretsLoyers_N1"/>
                <w:id w:val="107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[InteretsLoyers_N1]</w:t>
                </w:r>
              </w:sdtContent>
            </w:sdt>
          </w:p>
        </w:tc>
      </w:tr>
      <w:tr>
        <w:trPr>
          <w:trHeight w:val="300" w:hRule="atLeast"/>
        </w:trPr>
        <w:tc>
          <w:tcPr>
            <w:tcW w:w="5687" w:type="dxa"/>
          </w:tcPr>
          <w:p>
            <w:pPr>
              <w:pStyle w:val="TableParagraph"/>
              <w:spacing w:before="62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Frais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d'acquisition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reportés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(Vie)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62"/>
              <w:ind w:right="70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FraisAcquisitionVie_N"/>
                <w:tag w:val="FraisAcquisitionVie_N"/>
                <w:id w:val="1071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[FraisAcquisitionVie_N]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0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FraisAcquisitionVie_N1"/>
                <w:tag w:val="FraisAcquisitionVie_N1"/>
                <w:id w:val="1072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[FraisAcquisitionVie_N1]</w:t>
                </w:r>
              </w:sdtContent>
            </w:sdt>
          </w:p>
        </w:tc>
      </w:tr>
      <w:tr>
        <w:trPr>
          <w:trHeight w:val="284" w:hRule="atLeast"/>
        </w:trPr>
        <w:tc>
          <w:tcPr>
            <w:tcW w:w="5687" w:type="dxa"/>
          </w:tcPr>
          <w:p>
            <w:pPr>
              <w:pStyle w:val="TableParagraph"/>
              <w:spacing w:before="62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Frais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d'acquisition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z w:val="16"/>
              </w:rPr>
              <w:t>reportés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(Non-</w:t>
            </w:r>
            <w:r>
              <w:rPr>
                <w:b/>
                <w:spacing w:val="-4"/>
                <w:sz w:val="16"/>
              </w:rPr>
              <w:t>vie)</w:t>
            </w:r>
          </w:p>
        </w:tc>
        <w:tc>
          <w:tcPr>
            <w:tcW w:w="1601" w:type="dxa"/>
            <w:shd w:val="clear" w:color="auto" w:fill="DAE9F7"/>
          </w:tcPr>
          <w:p>
            <w:pPr>
              <w:pStyle w:val="TableParagraph"/>
              <w:spacing w:before="62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FraisAcquisitionNV_N"/>
                <w:tag w:val="FraisAcquisitionNV_N"/>
                <w:id w:val="1073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[FraisAcquisitionNV_N]</w:t>
                </w:r>
              </w:sdtContent>
            </w:sdt>
          </w:p>
        </w:tc>
        <w:tc>
          <w:tcPr>
            <w:tcW w:w="1599" w:type="dxa"/>
          </w:tcPr>
          <w:p>
            <w:pPr>
              <w:pStyle w:val="TableParagraph"/>
              <w:spacing w:before="10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FraisAcquisitionNV_N1"/>
                <w:tag w:val="FraisAcquisitionNV_N1"/>
                <w:id w:val="1074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[FraisAcquisitionNV_N1]</w:t>
                </w:r>
              </w:sdtContent>
            </w:sdt>
          </w:p>
        </w:tc>
      </w:tr>
      <w:tr>
        <w:trPr>
          <w:trHeight w:val="340" w:hRule="atLeast"/>
        </w:trPr>
        <w:tc>
          <w:tcPr>
            <w:tcW w:w="5687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85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Autres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comptes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régularisation</w:t>
            </w:r>
          </w:p>
        </w:tc>
        <w:tc>
          <w:tcPr>
            <w:tcW w:w="1601" w:type="dxa"/>
            <w:tcBorders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85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ComptesRegularisation_N"/>
                <w:tag w:val="AutresComptesRegularisation_N"/>
                <w:id w:val="1075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[AutresComptesRegularisation_N]</w:t>
                </w:r>
              </w:sdtContent>
            </w:sdt>
          </w:p>
        </w:tc>
        <w:tc>
          <w:tcPr>
            <w:tcW w:w="1599" w:type="dxa"/>
            <w:tcBorders>
              <w:bottom w:val="single" w:sz="4" w:space="0" w:color="155F82"/>
            </w:tcBorders>
          </w:tcPr>
          <w:p>
            <w:pPr>
              <w:pStyle w:val="TableParagraph"/>
              <w:spacing w:before="25"/>
              <w:ind w:right="61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AutresComptesRegularisation_N1"/>
                <w:tag w:val="AutresComptesRegularisation_N1"/>
                <w:id w:val="1076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[AutresComptesRegularisation_N1]</w:t>
                </w:r>
              </w:sdtContent>
            </w:sdt>
          </w:p>
        </w:tc>
      </w:tr>
      <w:tr>
        <w:trPr>
          <w:trHeight w:val="316" w:hRule="atLeast"/>
        </w:trPr>
        <w:tc>
          <w:tcPr>
            <w:tcW w:w="5687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61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Différences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conversion</w:t>
            </w:r>
          </w:p>
        </w:tc>
        <w:tc>
          <w:tcPr>
            <w:tcW w:w="1601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61"/>
              <w:ind w:right="69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DifferencesConversion_N"/>
                <w:tag w:val="DifferencesConversion_N"/>
                <w:id w:val="1077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[DifferencesConversion_N]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61"/>
              <w:ind w:right="67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DifferencesConversion_N1"/>
                <w:tag w:val="DifferencesConversion_N1"/>
                <w:id w:val="1078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[DifferencesConversion_N1]</w:t>
                </w:r>
              </w:sdtContent>
            </w:sdt>
          </w:p>
        </w:tc>
      </w:tr>
      <w:tr>
        <w:trPr>
          <w:trHeight w:val="314" w:hRule="atLeast"/>
        </w:trPr>
        <w:tc>
          <w:tcPr>
            <w:tcW w:w="5687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58"/>
              <w:ind w:left="86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> L'ACTIF</w:t>
            </w:r>
          </w:p>
        </w:tc>
        <w:tc>
          <w:tcPr>
            <w:tcW w:w="1601" w:type="dxa"/>
            <w:tcBorders>
              <w:top w:val="single" w:sz="4" w:space="0" w:color="155F82"/>
              <w:bottom w:val="single" w:sz="4" w:space="0" w:color="155F82"/>
            </w:tcBorders>
            <w:shd w:val="clear" w:color="auto" w:fill="DAE9F7"/>
          </w:tcPr>
          <w:p>
            <w:pPr>
              <w:pStyle w:val="TableParagraph"/>
              <w:spacing w:before="58"/>
              <w:ind w:right="68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TotalActif_N"/>
                <w:tag w:val="TotalActif_N"/>
                <w:id w:val="1079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[TotalActif_N]</w:t>
                </w:r>
              </w:sdtContent>
            </w:sdt>
          </w:p>
        </w:tc>
        <w:tc>
          <w:tcPr>
            <w:tcW w:w="1599" w:type="dxa"/>
            <w:tcBorders>
              <w:top w:val="single" w:sz="4" w:space="0" w:color="155F82"/>
              <w:bottom w:val="single" w:sz="4" w:space="0" w:color="155F82"/>
            </w:tcBorders>
          </w:tcPr>
          <w:p>
            <w:pPr>
              <w:pStyle w:val="TableParagraph"/>
              <w:spacing w:before="58"/>
              <w:ind w:right="65"/>
              <w:jc w:val="right"/>
              <w:rPr>
                <w:b/>
                <w:sz w:val="16"/>
              </w:rPr>
            </w:pPr>
            <w:sdt>
              <w:sdtPr>
                <w:rPr>
                  <w:b/>
                  <w:color w:val="000000"/>
                  <w:sz w:val="16"/>
                </w:rPr>
                <w:alias w:val="TotalActif_N1"/>
                <w:tag w:val="TotalActif_N1"/>
                <w:id w:val="1080"/>
                <w:text/>
              </w:sdtPr>
              <w:sdtContent>
                <w:r>
                  <w:rPr>
                    <w:b/>
                    <w:color w:val="000000"/>
                    <w:sz w:val="16"/>
                  </w:rPr>
                  <w:t xml:space="preserve">[TotalActif_N1]</w:t>
                </w:r>
              </w:sdtContent>
            </w:sdt>
          </w:p>
        </w:tc>
      </w:tr>
    </w:tbl>
    <w:p>
      <w:pPr>
        <w:pStyle w:val="TableParagraph"/>
        <w:spacing w:after="0"/>
        <w:jc w:val="right"/>
        <w:rPr>
          <w:b/>
          <w:sz w:val="16"/>
        </w:rPr>
        <w:sectPr>
          <w:footerReference w:type="default" r:id="rId5"/>
          <w:type w:val="continuous"/>
          <w:pgSz w:w="11910" w:h="16840"/>
          <w:pgMar w:header="0" w:footer="1051" w:top="1400" w:bottom="1280" w:left="1275" w:right="1275"/>
          <w:pgNumType w:start="1"/>
        </w:sectPr>
      </w:pPr>
    </w:p>
    <w:p>
      <w:pPr>
        <w:pStyle w:val="BodyText"/>
        <w:spacing w:line="276" w:lineRule="auto" w:before="39"/>
        <w:ind w:right="139"/>
      </w:pPr>
      <w:r>
        <w:rPr/>
        <w:t>Pour les valeurs mobilières amortissables relevant de l’article R 212-11 (renvoi à l’article R 343-10 du Code des assurances), conformément à l’article</w:t>
      </w:r>
      <w:r>
        <w:rPr>
          <w:spacing w:val="-2"/>
        </w:rPr>
        <w:t> </w:t>
      </w:r>
      <w:r>
        <w:rPr/>
        <w:t>123-7</w:t>
      </w:r>
      <w:r>
        <w:rPr>
          <w:spacing w:val="-1"/>
        </w:rPr>
        <w:t> </w:t>
      </w:r>
      <w:r>
        <w:rPr/>
        <w:t>du règlement ANC</w:t>
      </w:r>
      <w:r>
        <w:rPr>
          <w:spacing w:val="-2"/>
        </w:rPr>
        <w:t> </w:t>
      </w:r>
      <w:r>
        <w:rPr/>
        <w:t>N°2015-11</w:t>
      </w:r>
      <w:r>
        <w:rPr>
          <w:spacing w:val="-1"/>
        </w:rPr>
        <w:t> </w:t>
      </w:r>
      <w:r>
        <w:rPr/>
        <w:t>du 26</w:t>
      </w:r>
      <w:r>
        <w:rPr>
          <w:spacing w:val="-1"/>
        </w:rPr>
        <w:t> </w:t>
      </w:r>
      <w:r>
        <w:rPr/>
        <w:t>novembre</w:t>
      </w:r>
      <w:r>
        <w:rPr>
          <w:spacing w:val="-2"/>
        </w:rPr>
        <w:t> </w:t>
      </w:r>
      <w:r>
        <w:rPr/>
        <w:t>2015, les provisions pour dépréciation à caractère durable sont appréciées selon l’horizon de détention : lorsque la mutuelle a l’intention et la capacité de détenir les titres amortissables jusqu’à leur maturité, les dépréciations à caractère durable s’analysent au regard du seul risque de crédit ; lorsque la mutuelle n’a pas l’intention ou la capacité de détenir</w:t>
      </w:r>
      <w:r>
        <w:rPr>
          <w:spacing w:val="-12"/>
        </w:rPr>
        <w:t> </w:t>
      </w:r>
      <w:r>
        <w:rPr/>
        <w:t>ces</w:t>
      </w:r>
      <w:r>
        <w:rPr>
          <w:spacing w:val="-11"/>
        </w:rPr>
        <w:t> </w:t>
      </w:r>
      <w:r>
        <w:rPr/>
        <w:t>placements</w:t>
      </w:r>
      <w:r>
        <w:rPr>
          <w:spacing w:val="-9"/>
        </w:rPr>
        <w:t> </w:t>
      </w:r>
      <w:r>
        <w:rPr/>
        <w:t>jusqu’à</w:t>
      </w:r>
      <w:r>
        <w:rPr>
          <w:spacing w:val="-11"/>
        </w:rPr>
        <w:t> </w:t>
      </w:r>
      <w:r>
        <w:rPr/>
        <w:t>leur</w:t>
      </w:r>
      <w:r>
        <w:rPr>
          <w:spacing w:val="-11"/>
        </w:rPr>
        <w:t> </w:t>
      </w:r>
      <w:r>
        <w:rPr/>
        <w:t>maturité,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dépréciations</w:t>
      </w:r>
      <w:r>
        <w:rPr>
          <w:spacing w:val="-9"/>
        </w:rPr>
        <w:t> </w:t>
      </w:r>
      <w:r>
        <w:rPr/>
        <w:t>à</w:t>
      </w:r>
      <w:r>
        <w:rPr>
          <w:spacing w:val="-12"/>
        </w:rPr>
        <w:t> </w:t>
      </w:r>
      <w:r>
        <w:rPr/>
        <w:t>caractère</w:t>
      </w:r>
      <w:r>
        <w:rPr>
          <w:spacing w:val="-11"/>
        </w:rPr>
        <w:t> </w:t>
      </w:r>
      <w:r>
        <w:rPr/>
        <w:t>durable</w:t>
      </w:r>
      <w:r>
        <w:rPr>
          <w:spacing w:val="-11"/>
        </w:rPr>
        <w:t> </w:t>
      </w:r>
      <w:r>
        <w:rPr/>
        <w:t>sont</w:t>
      </w:r>
      <w:r>
        <w:rPr>
          <w:spacing w:val="-11"/>
        </w:rPr>
        <w:t> </w:t>
      </w:r>
      <w:r>
        <w:rPr/>
        <w:t>constituées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analysant l’ensemble des risques identifiés sur ce placement en fonction de l’horizon de détention considéré.</w:t>
      </w:r>
    </w:p>
    <w:p>
      <w:pPr>
        <w:pStyle w:val="BodyText"/>
        <w:spacing w:line="273" w:lineRule="auto" w:before="121"/>
        <w:ind w:right="143"/>
      </w:pPr>
      <w:r>
        <w:rPr/>
        <w:t>L’analyse de ces titres n’a pas conduit XXX à constater de nouvelle dépréciation à caractère durable au 31 décembre </w:t>
      </w:r>
      <w:sdt>
        <w:sdtPr>
          <w:rPr>
            <w:color w:val="000000"/>
          </w:rPr>
          <w:alias w:val="AnneeN"/>
          <w:tag w:val="AnneeN"/>
          <w:id w:val="1002"/>
          <w:text/>
        </w:sdtPr>
        <w:sdtContent>
          <w:r>
            <w:rPr>
              <w:color w:val="000000"/>
            </w:rPr>
            <w:t xml:space="preserve">[AnneeN]</w:t>
          </w:r>
        </w:sdtContent>
      </w:sdt>
      <w:r>
        <w:rPr>
          <w:color w:val="000000"/>
        </w:rPr>
        <w:t>.</w:t>
      </w:r>
    </w:p>
    <w:p>
      <w:pPr>
        <w:pStyle w:val="BodyText"/>
        <w:spacing w:before="82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1130" w:val="left" w:leader="none"/>
        </w:tabs>
        <w:spacing w:line="240" w:lineRule="auto" w:before="0" w:after="0"/>
        <w:ind w:left="1130" w:right="0" w:hanging="353"/>
        <w:jc w:val="both"/>
        <w:rPr>
          <w:sz w:val="20"/>
        </w:rPr>
      </w:pPr>
      <w:r>
        <w:rPr>
          <w:sz w:val="20"/>
        </w:rPr>
        <w:t>Dépréciation</w:t>
      </w:r>
      <w:r>
        <w:rPr>
          <w:spacing w:val="-11"/>
          <w:sz w:val="20"/>
        </w:rPr>
        <w:t> </w:t>
      </w: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placements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immobiliers</w:t>
      </w:r>
    </w:p>
    <w:p>
      <w:pPr>
        <w:pStyle w:val="BodyText"/>
        <w:spacing w:line="273" w:lineRule="auto"/>
        <w:ind w:right="155"/>
      </w:pPr>
      <w:r>
        <w:rPr/>
        <w:t>Les placements immobiliers peuvent donner lieu à la constitution d’une provision pour dépréciation durable appréciée ligne à ligne.</w:t>
      </w:r>
    </w:p>
    <w:p>
      <w:pPr>
        <w:pStyle w:val="BodyText"/>
        <w:spacing w:before="83"/>
        <w:ind w:left="0"/>
        <w:jc w:val="left"/>
      </w:pPr>
    </w:p>
    <w:p>
      <w:pPr>
        <w:pStyle w:val="ListParagraph"/>
        <w:numPr>
          <w:ilvl w:val="1"/>
          <w:numId w:val="1"/>
        </w:numPr>
        <w:tabs>
          <w:tab w:pos="1130" w:val="left" w:leader="none"/>
        </w:tabs>
        <w:spacing w:line="240" w:lineRule="auto" w:before="0" w:after="0"/>
        <w:ind w:left="1130" w:right="0" w:hanging="353"/>
        <w:jc w:val="both"/>
        <w:rPr>
          <w:sz w:val="20"/>
        </w:rPr>
      </w:pPr>
      <w:r>
        <w:rPr>
          <w:sz w:val="20"/>
        </w:rPr>
        <w:t>Réserve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capitalisation</w:t>
      </w:r>
    </w:p>
    <w:p>
      <w:pPr>
        <w:pStyle w:val="BodyText"/>
        <w:spacing w:line="276" w:lineRule="auto"/>
        <w:ind w:right="141"/>
      </w:pPr>
      <w:r>
        <w:rPr/>
        <w:t>La</w:t>
      </w:r>
      <w:r>
        <w:rPr>
          <w:spacing w:val="-12"/>
        </w:rPr>
        <w:t> </w:t>
      </w:r>
      <w:r>
        <w:rPr/>
        <w:t>réserve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capitalisation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destinée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parer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la</w:t>
      </w:r>
      <w:r>
        <w:rPr>
          <w:spacing w:val="-12"/>
        </w:rPr>
        <w:t> </w:t>
      </w:r>
      <w:r>
        <w:rPr/>
        <w:t>dépréciation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valeurs</w:t>
      </w:r>
      <w:r>
        <w:rPr>
          <w:spacing w:val="-11"/>
        </w:rPr>
        <w:t> </w:t>
      </w:r>
      <w:r>
        <w:rPr/>
        <w:t>comprises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l’actif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mutuelle et à la diminution de leur revenu. Cette réserve est mouvementée lors des sorties (ventes ou conversion), réalisées</w:t>
      </w:r>
      <w:r>
        <w:rPr>
          <w:spacing w:val="-1"/>
        </w:rPr>
        <w:t> </w:t>
      </w:r>
      <w:r>
        <w:rPr/>
        <w:t>avant</w:t>
      </w:r>
      <w:r>
        <w:rPr>
          <w:spacing w:val="-1"/>
        </w:rPr>
        <w:t> </w:t>
      </w:r>
      <w:r>
        <w:rPr/>
        <w:t>leur</w:t>
      </w:r>
      <w:r>
        <w:rPr>
          <w:spacing w:val="-2"/>
        </w:rPr>
        <w:t> </w:t>
      </w:r>
      <w:r>
        <w:rPr/>
        <w:t>échéance, des</w:t>
      </w:r>
      <w:r>
        <w:rPr>
          <w:spacing w:val="-1"/>
        </w:rPr>
        <w:t> </w:t>
      </w:r>
      <w:r>
        <w:rPr/>
        <w:t>valeurs</w:t>
      </w:r>
      <w:r>
        <w:rPr>
          <w:spacing w:val="-1"/>
        </w:rPr>
        <w:t> </w:t>
      </w:r>
      <w:r>
        <w:rPr/>
        <w:t>mobilières</w:t>
      </w:r>
      <w:r>
        <w:rPr>
          <w:spacing w:val="-1"/>
        </w:rPr>
        <w:t> </w:t>
      </w:r>
      <w:r>
        <w:rPr/>
        <w:t>amortissables</w:t>
      </w:r>
      <w:r>
        <w:rPr>
          <w:spacing w:val="-1"/>
        </w:rPr>
        <w:t> </w:t>
      </w:r>
      <w:r>
        <w:rPr/>
        <w:t>réglementées</w:t>
      </w:r>
      <w:r>
        <w:rPr>
          <w:spacing w:val="-1"/>
        </w:rPr>
        <w:t> </w:t>
      </w:r>
      <w:r>
        <w:rPr/>
        <w:t>(à</w:t>
      </w:r>
      <w:r>
        <w:rPr>
          <w:spacing w:val="-2"/>
        </w:rPr>
        <w:t> </w:t>
      </w:r>
      <w:r>
        <w:rPr/>
        <w:t>l’exception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obligations à taux variable).</w:t>
      </w:r>
    </w:p>
    <w:p>
      <w:pPr>
        <w:pStyle w:val="BodyText"/>
        <w:spacing w:line="300" w:lineRule="auto" w:before="121"/>
        <w:ind w:right="144"/>
      </w:pPr>
      <w:r>
        <w:rPr/>
        <w:t>Le</w:t>
      </w:r>
      <w:r>
        <w:rPr>
          <w:spacing w:val="-12"/>
        </w:rPr>
        <w:t> </w:t>
      </w:r>
      <w:r>
        <w:rPr/>
        <w:t>mécanisme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réserve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capitalisation</w:t>
      </w:r>
      <w:r>
        <w:rPr>
          <w:spacing w:val="-11"/>
        </w:rPr>
        <w:t> </w:t>
      </w:r>
      <w:r>
        <w:rPr/>
        <w:t>étant</w:t>
      </w:r>
      <w:r>
        <w:rPr>
          <w:spacing w:val="-12"/>
        </w:rPr>
        <w:t> </w:t>
      </w:r>
      <w:r>
        <w:rPr/>
        <w:t>supprimé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entreprises</w:t>
      </w:r>
      <w:r>
        <w:rPr>
          <w:spacing w:val="-10"/>
        </w:rPr>
        <w:t> </w:t>
      </w:r>
      <w:r>
        <w:rPr/>
        <w:t>mixtes</w:t>
      </w:r>
      <w:r>
        <w:rPr>
          <w:spacing w:val="-11"/>
        </w:rPr>
        <w:t> </w:t>
      </w:r>
      <w:r>
        <w:rPr/>
        <w:t>à</w:t>
      </w:r>
      <w:r>
        <w:rPr>
          <w:spacing w:val="-9"/>
        </w:rPr>
        <w:t> </w:t>
      </w:r>
      <w:r>
        <w:rPr/>
        <w:t>activités</w:t>
      </w:r>
      <w:r>
        <w:rPr>
          <w:spacing w:val="-12"/>
        </w:rPr>
        <w:t> </w:t>
      </w:r>
      <w:r>
        <w:rPr/>
        <w:t>prépondérantes non-vie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l’article</w:t>
      </w:r>
      <w:r>
        <w:rPr>
          <w:spacing w:val="-9"/>
        </w:rPr>
        <w:t> </w:t>
      </w:r>
      <w:r>
        <w:rPr/>
        <w:t>19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décret</w:t>
      </w:r>
      <w:r>
        <w:rPr>
          <w:spacing w:val="-7"/>
        </w:rPr>
        <w:t> </w:t>
      </w:r>
      <w:r>
        <w:rPr/>
        <w:t>N°2015-513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7</w:t>
      </w:r>
      <w:r>
        <w:rPr>
          <w:spacing w:val="-8"/>
        </w:rPr>
        <w:t> </w:t>
      </w:r>
      <w:r>
        <w:rPr/>
        <w:t>mai</w:t>
      </w:r>
      <w:r>
        <w:rPr>
          <w:spacing w:val="-7"/>
        </w:rPr>
        <w:t> </w:t>
      </w:r>
      <w:r>
        <w:rPr/>
        <w:t>2015</w:t>
      </w:r>
      <w:r>
        <w:rPr>
          <w:spacing w:val="-9"/>
        </w:rPr>
        <w:t> </w:t>
      </w:r>
      <w:r>
        <w:rPr/>
        <w:t>relatif</w:t>
      </w:r>
      <w:r>
        <w:rPr>
          <w:spacing w:val="-9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transposition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Directive Solvabilité II, aucun montant relatif à cette réserve ne figure dans les comptes de XXX.</w:t>
      </w:r>
    </w:p>
    <w:p>
      <w:pPr>
        <w:pStyle w:val="ListParagraph"/>
        <w:numPr>
          <w:ilvl w:val="1"/>
          <w:numId w:val="1"/>
        </w:numPr>
        <w:tabs>
          <w:tab w:pos="1130" w:val="left" w:leader="none"/>
        </w:tabs>
        <w:spacing w:line="240" w:lineRule="auto" w:before="1" w:after="0"/>
        <w:ind w:left="1130" w:right="0" w:hanging="353"/>
        <w:jc w:val="both"/>
        <w:rPr>
          <w:sz w:val="20"/>
        </w:rPr>
      </w:pPr>
      <w:r>
        <w:rPr>
          <w:sz w:val="20"/>
        </w:rPr>
        <w:t>Provision</w:t>
      </w:r>
      <w:r>
        <w:rPr>
          <w:spacing w:val="-8"/>
          <w:sz w:val="20"/>
        </w:rPr>
        <w:t> </w:t>
      </w:r>
      <w:r>
        <w:rPr>
          <w:sz w:val="20"/>
        </w:rPr>
        <w:t>pour</w:t>
      </w:r>
      <w:r>
        <w:rPr>
          <w:spacing w:val="-7"/>
          <w:sz w:val="20"/>
        </w:rPr>
        <w:t> </w:t>
      </w:r>
      <w:r>
        <w:rPr>
          <w:sz w:val="20"/>
        </w:rPr>
        <w:t>risque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d’exigibilité</w:t>
      </w:r>
    </w:p>
    <w:p>
      <w:pPr>
        <w:pStyle w:val="BodyText"/>
        <w:spacing w:line="276" w:lineRule="auto"/>
        <w:ind w:right="141"/>
      </w:pPr>
      <w:r>
        <w:rPr/>
        <w:t>Les règles de comptabilisation et d’évaluation de cette provision sont détaillées à l’article 142-9 du règlement ANC N°2015-11 du 26 novembre 2015.</w:t>
      </w:r>
    </w:p>
    <w:p>
      <w:pPr>
        <w:pStyle w:val="BodyText"/>
        <w:spacing w:line="273" w:lineRule="auto" w:before="121"/>
        <w:ind w:right="136"/>
      </w:pPr>
      <w:r>
        <w:rPr/>
        <w:t>Au</w:t>
      </w:r>
      <w:r>
        <w:rPr>
          <w:spacing w:val="-8"/>
        </w:rPr>
        <w:t> </w:t>
      </w:r>
      <w:r>
        <w:rPr/>
        <w:t>31</w:t>
      </w:r>
      <w:r>
        <w:rPr>
          <w:spacing w:val="-8"/>
        </w:rPr>
        <w:t> </w:t>
      </w:r>
      <w:r>
        <w:rPr/>
        <w:t>décembre</w:t>
      </w:r>
      <w:r>
        <w:rPr>
          <w:spacing w:val="-9"/>
        </w:rPr>
        <w:t> </w:t>
      </w:r>
      <w:sdt>
        <w:sdtPr>
          <w:rPr>
            <w:color w:val="000000"/>
          </w:rPr>
          <w:alias w:val="AnneeN"/>
          <w:tag w:val="AnneeN"/>
          <w:id w:val="1003"/>
          <w:text/>
        </w:sdtPr>
        <w:sdtContent>
          <w:r>
            <w:rPr>
              <w:color w:val="000000"/>
            </w:rPr>
            <w:t xml:space="preserve">[AnneeN]</w:t>
          </w:r>
        </w:sdtContent>
      </w:sdt>
      <w:r>
        <w:rPr>
          <w:color w:val="000000"/>
        </w:rPr>
        <w:t>,</w:t>
      </w:r>
      <w:r>
        <w:rPr>
          <w:color w:val="000000"/>
          <w:spacing w:val="-8"/>
        </w:rPr>
        <w:t> </w:t>
      </w:r>
      <w:r>
        <w:rPr>
          <w:color w:val="000000"/>
        </w:rPr>
        <w:t>la</w:t>
      </w:r>
      <w:r>
        <w:rPr>
          <w:color w:val="000000"/>
          <w:spacing w:val="-8"/>
        </w:rPr>
        <w:t> </w:t>
      </w:r>
      <w:r>
        <w:rPr>
          <w:color w:val="000000"/>
        </w:rPr>
        <w:t>situation</w:t>
      </w:r>
      <w:r>
        <w:rPr>
          <w:color w:val="000000"/>
          <w:spacing w:val="-8"/>
        </w:rPr>
        <w:t> </w:t>
      </w:r>
      <w:r>
        <w:rPr>
          <w:color w:val="000000"/>
        </w:rPr>
        <w:t>du</w:t>
      </w:r>
      <w:r>
        <w:rPr>
          <w:color w:val="000000"/>
          <w:spacing w:val="-9"/>
        </w:rPr>
        <w:t> </w:t>
      </w:r>
      <w:r>
        <w:rPr>
          <w:color w:val="000000"/>
        </w:rPr>
        <w:t>poste</w:t>
      </w:r>
      <w:r>
        <w:rPr>
          <w:color w:val="000000"/>
          <w:spacing w:val="-11"/>
        </w:rPr>
        <w:t> </w:t>
      </w:r>
      <w:r>
        <w:rPr>
          <w:color w:val="000000"/>
        </w:rPr>
        <w:t>de</w:t>
      </w:r>
      <w:r>
        <w:rPr>
          <w:color w:val="000000"/>
          <w:spacing w:val="-9"/>
        </w:rPr>
        <w:t> </w:t>
      </w:r>
      <w:r>
        <w:rPr>
          <w:color w:val="000000"/>
        </w:rPr>
        <w:t>placements</w:t>
      </w:r>
      <w:r>
        <w:rPr>
          <w:color w:val="000000"/>
          <w:spacing w:val="-7"/>
        </w:rPr>
        <w:t> </w:t>
      </w:r>
      <w:r>
        <w:rPr>
          <w:color w:val="000000"/>
        </w:rPr>
        <w:t>financiers</w:t>
      </w:r>
      <w:r>
        <w:rPr>
          <w:color w:val="000000"/>
          <w:spacing w:val="-8"/>
        </w:rPr>
        <w:t> </w:t>
      </w:r>
      <w:r>
        <w:rPr>
          <w:color w:val="000000"/>
        </w:rPr>
        <w:t>faisant</w:t>
      </w:r>
      <w:r>
        <w:rPr>
          <w:color w:val="000000"/>
          <w:spacing w:val="-8"/>
        </w:rPr>
        <w:t> </w:t>
      </w:r>
      <w:r>
        <w:rPr>
          <w:color w:val="000000"/>
        </w:rPr>
        <w:t>ressortir</w:t>
      </w:r>
      <w:r>
        <w:rPr>
          <w:color w:val="000000"/>
          <w:spacing w:val="-8"/>
        </w:rPr>
        <w:t> </w:t>
      </w:r>
      <w:r>
        <w:rPr>
          <w:color w:val="000000"/>
        </w:rPr>
        <w:t>un</w:t>
      </w:r>
      <w:r>
        <w:rPr>
          <w:color w:val="000000"/>
          <w:spacing w:val="-8"/>
        </w:rPr>
        <w:t> </w:t>
      </w:r>
      <w:r>
        <w:rPr>
          <w:color w:val="000000"/>
        </w:rPr>
        <w:t>montant</w:t>
      </w:r>
      <w:r>
        <w:rPr>
          <w:color w:val="000000"/>
          <w:spacing w:val="-8"/>
        </w:rPr>
        <w:t> </w:t>
      </w:r>
      <w:r>
        <w:rPr>
          <w:color w:val="000000"/>
        </w:rPr>
        <w:t>global</w:t>
      </w:r>
      <w:r>
        <w:rPr>
          <w:color w:val="000000"/>
          <w:spacing w:val="-10"/>
        </w:rPr>
        <w:t> </w:t>
      </w:r>
      <w:r>
        <w:rPr>
          <w:color w:val="000000"/>
        </w:rPr>
        <w:t>de</w:t>
      </w:r>
      <w:r>
        <w:rPr>
          <w:color w:val="000000"/>
          <w:spacing w:val="-2"/>
        </w:rPr>
        <w:t> </w:t>
      </w:r>
      <w:r>
        <w:rPr>
          <w:color w:val="000000"/>
        </w:rPr>
        <w:t>plus-values latentes de </w:t>
      </w:r>
      <w:sdt>
        <w:sdtPr>
          <w:rPr>
            <w:color w:val="000000"/>
          </w:rPr>
          <w:alias w:val="PlusValuesLatentes"/>
          <w:tag w:val="PlusValuesLatentes"/>
          <w:id w:val="1004"/>
          <w:text/>
        </w:sdtPr>
        <w:sdtContent>
          <w:r>
            <w:rPr>
              <w:color w:val="000000"/>
            </w:rPr>
            <w:t xml:space="preserve">[PlusValuesLatentes]</w:t>
          </w:r>
        </w:sdtContent>
      </w:sdt>
      <w:r>
        <w:rPr>
          <w:color w:val="000000"/>
        </w:rPr>
        <w:t> milliers d’euros, aucune provision pour risque d’exigibilité n’est à constituer.</w:t>
      </w:r>
    </w:p>
    <w:p>
      <w:pPr>
        <w:pStyle w:val="BodyText"/>
        <w:spacing w:before="82"/>
        <w:ind w:left="0"/>
        <w:jc w:val="left"/>
      </w:pPr>
    </w:p>
    <w:p>
      <w:pPr>
        <w:pStyle w:val="Heading4"/>
        <w:numPr>
          <w:ilvl w:val="0"/>
          <w:numId w:val="2"/>
        </w:numPr>
        <w:tabs>
          <w:tab w:pos="852" w:val="left" w:leader="none"/>
        </w:tabs>
        <w:spacing w:line="240" w:lineRule="auto" w:before="0" w:after="0"/>
        <w:ind w:left="852" w:right="0" w:hanging="353"/>
        <w:jc w:val="both"/>
      </w:pPr>
      <w:r>
        <w:rPr/>
        <w:t>Contrats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location</w:t>
      </w:r>
      <w:r>
        <w:rPr>
          <w:spacing w:val="-8"/>
        </w:rPr>
        <w:t> </w:t>
      </w:r>
      <w:r>
        <w:rPr>
          <w:spacing w:val="-2"/>
        </w:rPr>
        <w:t>financement</w:t>
      </w:r>
    </w:p>
    <w:p>
      <w:pPr>
        <w:pStyle w:val="BodyText"/>
        <w:spacing w:line="276" w:lineRule="auto"/>
        <w:ind w:right="144"/>
      </w:pPr>
      <w:r>
        <w:rPr/>
        <w:t>Tous les biens faisant l’objet</w:t>
      </w:r>
      <w:r>
        <w:rPr>
          <w:spacing w:val="-1"/>
        </w:rPr>
        <w:t> </w:t>
      </w:r>
      <w:r>
        <w:rPr/>
        <w:t>d’un contrat de crédit-bail sont considérés comme des biens reçus en location (les redevances ne sont donc pas retraitées), XXX ne profitant que rarement de l’option d’achat proposée en fin de </w:t>
      </w:r>
      <w:r>
        <w:rPr>
          <w:spacing w:val="-2"/>
        </w:rPr>
        <w:t>contrat.</w:t>
      </w:r>
    </w:p>
    <w:p>
      <w:pPr>
        <w:pStyle w:val="BodyText"/>
        <w:spacing w:before="78"/>
        <w:ind w:left="0"/>
        <w:jc w:val="left"/>
      </w:pPr>
    </w:p>
    <w:p>
      <w:pPr>
        <w:pStyle w:val="Heading4"/>
        <w:numPr>
          <w:ilvl w:val="0"/>
          <w:numId w:val="2"/>
        </w:numPr>
        <w:tabs>
          <w:tab w:pos="852" w:val="left" w:leader="none"/>
        </w:tabs>
        <w:spacing w:line="240" w:lineRule="auto" w:before="0" w:after="0"/>
        <w:ind w:left="852" w:right="0" w:hanging="353"/>
        <w:jc w:val="both"/>
      </w:pPr>
      <w:r>
        <w:rPr/>
        <w:t>Immobilisations</w:t>
      </w:r>
      <w:r>
        <w:rPr>
          <w:spacing w:val="-10"/>
        </w:rPr>
        <w:t> </w:t>
      </w:r>
      <w:r>
        <w:rPr/>
        <w:t>corporelles</w:t>
      </w:r>
      <w:r>
        <w:rPr>
          <w:spacing w:val="-8"/>
        </w:rPr>
        <w:t> </w:t>
      </w:r>
      <w:r>
        <w:rPr/>
        <w:t>et</w:t>
      </w:r>
      <w:r>
        <w:rPr>
          <w:spacing w:val="-10"/>
        </w:rPr>
        <w:t> </w:t>
      </w:r>
      <w:r>
        <w:rPr>
          <w:spacing w:val="-2"/>
        </w:rPr>
        <w:t>incorporelles</w:t>
      </w:r>
    </w:p>
    <w:p>
      <w:pPr>
        <w:pStyle w:val="BodyText"/>
        <w:spacing w:line="276" w:lineRule="auto"/>
        <w:ind w:right="142"/>
      </w:pPr>
      <w:r>
        <w:rPr/>
        <w:t>Les immobilisations corporelles et incorporelles sont évaluées conformément aux règlements N°2004-06 et 2002-10 du CRC. La valeur brute des éléments de l’actif immobilisé correspond à la valeur d’entrée des biens dans le patrimoine, augmenté des frais nécessaires à la mise en état d’utilisation de ces biens et des frais </w:t>
      </w:r>
      <w:r>
        <w:rPr>
          <w:spacing w:val="-2"/>
        </w:rPr>
        <w:t>d’acquisition.</w:t>
      </w:r>
    </w:p>
    <w:p>
      <w:pPr>
        <w:pStyle w:val="BodyText"/>
        <w:spacing w:before="121"/>
      </w:pPr>
      <w:r>
        <w:rPr/>
        <w:t>Les</w:t>
      </w:r>
      <w:r>
        <w:rPr>
          <w:spacing w:val="-6"/>
        </w:rPr>
        <w:t> </w:t>
      </w:r>
      <w:r>
        <w:rPr/>
        <w:t>amortissements</w:t>
      </w:r>
      <w:r>
        <w:rPr>
          <w:spacing w:val="-5"/>
        </w:rPr>
        <w:t> </w:t>
      </w:r>
      <w:r>
        <w:rPr/>
        <w:t>sont</w:t>
      </w:r>
      <w:r>
        <w:rPr>
          <w:spacing w:val="-6"/>
        </w:rPr>
        <w:t> </w:t>
      </w:r>
      <w:r>
        <w:rPr/>
        <w:t>calculés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mode</w:t>
      </w:r>
      <w:r>
        <w:rPr>
          <w:spacing w:val="-7"/>
        </w:rPr>
        <w:t> </w:t>
      </w:r>
      <w:r>
        <w:rPr/>
        <w:t>linéaire</w:t>
      </w:r>
      <w:r>
        <w:rPr>
          <w:spacing w:val="-7"/>
        </w:rPr>
        <w:t> </w:t>
      </w:r>
      <w:r>
        <w:rPr/>
        <w:t>selon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durées</w:t>
      </w:r>
      <w:r>
        <w:rPr>
          <w:spacing w:val="-6"/>
        </w:rPr>
        <w:t> </w:t>
      </w:r>
      <w:r>
        <w:rPr/>
        <w:t>figurant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tableau</w:t>
      </w:r>
      <w:r>
        <w:rPr>
          <w:spacing w:val="-5"/>
        </w:rPr>
        <w:t> </w:t>
      </w:r>
      <w:r>
        <w:rPr/>
        <w:t>ci-</w:t>
      </w:r>
      <w:r>
        <w:rPr>
          <w:spacing w:val="-2"/>
        </w:rPr>
        <w:t>dessous.</w:t>
      </w:r>
    </w:p>
    <w:sectPr>
      <w:pgSz w:w="11910" w:h="16840"/>
      <w:pgMar w:header="0" w:footer="1051" w:top="1360" w:bottom="1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6516878</wp:posOffset>
              </wp:positionH>
              <wp:positionV relativeFrom="page">
                <wp:posOffset>9859624</wp:posOffset>
              </wp:positionV>
              <wp:extent cx="2724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100" w:right="0" w:firstLine="0"/>
                            <w:jc w:val="left"/>
                            <w:rPr>
                              <w:rFonts w:ascii="Aptos"/>
                              <w:sz w:val="24"/>
                            </w:rPr>
                          </w:pPr>
                          <w:r>
                            <w:rPr>
                              <w:rFonts w:ascii="Aptos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ptos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ptos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ptos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ptos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140015pt;margin-top:776.348389pt;width:21.45pt;height:16.650pt;mso-position-horizontal-relative:page;mso-position-vertical-relative:page;z-index:-160747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100" w:right="0" w:firstLine="0"/>
                      <w:jc w:val="left"/>
                      <w:rPr>
                        <w:rFonts w:ascii="Aptos"/>
                        <w:sz w:val="24"/>
                      </w:rPr>
                    </w:pPr>
                    <w:r>
                      <w:rPr>
                        <w:rFonts w:ascii="Aptos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ptos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ptos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ptos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Aptos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886764</wp:posOffset>
              </wp:positionH>
              <wp:positionV relativeFrom="page">
                <wp:posOffset>10045857</wp:posOffset>
              </wp:positionV>
              <wp:extent cx="173355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335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ptos"/>
                              <w:sz w:val="24"/>
                            </w:rPr>
                          </w:pPr>
                          <w:r>
                            <w:rPr>
                              <w:rFonts w:ascii="Aptos"/>
                              <w:sz w:val="24"/>
                            </w:rPr>
                            <w:t>COMPTES</w:t>
                          </w:r>
                          <w:r>
                            <w:rPr>
                              <w:rFonts w:ascii="Aptos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ptos"/>
                              <w:sz w:val="24"/>
                            </w:rPr>
                            <w:t>ANNUELS</w:t>
                          </w:r>
                          <w:r>
                            <w:rPr>
                              <w:rFonts w:ascii="Aptos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ptos"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791.01239pt;width:136.5pt;height:16.650pt;mso-position-horizontal-relative:page;mso-position-vertical-relative:page;z-index:-1607424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ptos"/>
                        <w:sz w:val="24"/>
                      </w:rPr>
                    </w:pPr>
                    <w:r>
                      <w:rPr>
                        <w:rFonts w:ascii="Aptos"/>
                        <w:sz w:val="24"/>
                      </w:rPr>
                      <w:t>COMPTES</w:t>
                    </w:r>
                    <w:r>
                      <w:rPr>
                        <w:rFonts w:ascii="Aptos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ptos"/>
                        <w:sz w:val="24"/>
                      </w:rPr>
                      <w:t>ANNUELS</w:t>
                    </w:r>
                    <w:r>
                      <w:rPr>
                        <w:rFonts w:ascii="Aptos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ptos"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68" w:hanging="4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2)"/>
      <w:lvlJc w:val="left"/>
      <w:pPr>
        <w:ind w:left="501" w:hanging="360"/>
        <w:jc w:val="left"/>
      </w:pPr>
      <w:rPr>
        <w:rFonts w:hint="default" w:ascii="Calibri" w:hAnsi="Calibri" w:eastAsia="Calibri" w:cs="Calibri"/>
        <w:b/>
        <w:bCs/>
        <w:i/>
        <w:iCs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"/>
      <w:lvlJc w:val="left"/>
      <w:pPr>
        <w:ind w:left="8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3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999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058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1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17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37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54" w:hanging="356"/>
        <w:jc w:val="left"/>
      </w:pPr>
      <w:rPr>
        <w:rFonts w:hint="default" w:ascii="Calibri" w:hAnsi="Calibri" w:eastAsia="Calibri" w:cs="Calibri"/>
        <w:b/>
        <w:bCs/>
        <w:i/>
        <w:iCs/>
        <w:spacing w:val="-1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09" w:hanging="35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59" w:hanging="3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8" w:hanging="3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8" w:hanging="3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08" w:hanging="3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7" w:hanging="3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07" w:hanging="3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57" w:hanging="35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68" w:hanging="42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6"/>
        <w:szCs w:val="26"/>
        <w:lang w:val="fr-FR" w:eastAsia="en-US" w:bidi="ar-SA"/>
      </w:rPr>
    </w:lvl>
    <w:lvl w:ilvl="1">
      <w:start w:val="1"/>
      <w:numFmt w:val="lowerLetter"/>
      <w:lvlText w:val="%2)"/>
      <w:lvlJc w:val="left"/>
      <w:pPr>
        <w:ind w:left="1132" w:hanging="3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52" w:hanging="35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65" w:hanging="35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78" w:hanging="35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91" w:hanging="35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04" w:hanging="35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7" w:hanging="35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30" w:hanging="356"/>
      </w:pPr>
      <w:rPr>
        <w:rFonts w:hint="default"/>
        <w:lang w:val="fr-FR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18"/>
      <w:ind w:left="141"/>
      <w:jc w:val="both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37" w:lineRule="exact"/>
      <w:ind w:left="141"/>
      <w:outlineLvl w:val="1"/>
    </w:pPr>
    <w:rPr>
      <w:rFonts w:ascii="Calibri" w:hAnsi="Calibri" w:eastAsia="Calibri" w:cs="Calibri"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01"/>
      <w:ind w:left="568" w:hanging="427"/>
      <w:outlineLvl w:val="2"/>
    </w:pPr>
    <w:rPr>
      <w:rFonts w:ascii="Calibri" w:hAnsi="Calibri" w:eastAsia="Calibri" w:cs="Calibri"/>
      <w:b/>
      <w:bCs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499" w:hanging="358"/>
      <w:outlineLvl w:val="3"/>
    </w:pPr>
    <w:rPr>
      <w:rFonts w:ascii="Calibri" w:hAnsi="Calibri" w:eastAsia="Calibri" w:cs="Calibri"/>
      <w:b/>
      <w:bCs/>
      <w:i/>
      <w:iCs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852" w:hanging="353"/>
      <w:jc w:val="both"/>
      <w:outlineLvl w:val="4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52" w:hanging="353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338B1D50ECC47B631BB370F6F2315" ma:contentTypeVersion="0" ma:contentTypeDescription="Crée un document." ma:contentTypeScope="" ma:versionID="ec4b87abc0f327c42e952092d9ace8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028b6788f95684bad4f0cdee3402c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320D40-C217-4565-934E-363D09993C06}"/>
</file>

<file path=customXml/itemProps2.xml><?xml version="1.0" encoding="utf-8"?>
<ds:datastoreItem xmlns:ds="http://schemas.openxmlformats.org/officeDocument/2006/customXml" ds:itemID="{9A4CAB91-E056-41EB-9941-23B0B89E59A7}"/>
</file>

<file path=customXml/itemProps3.xml><?xml version="1.0" encoding="utf-8"?>
<ds:datastoreItem xmlns:ds="http://schemas.openxmlformats.org/officeDocument/2006/customXml" ds:itemID="{489D33BF-90C3-4B93-851D-C785E59713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Raphael (externe)</dc:creator>
  <dcterms:created xsi:type="dcterms:W3CDTF">2026-10-12T14:41:38Z</dcterms:created>
  <dcterms:modified xsi:type="dcterms:W3CDTF">2026-10-12T14:41:38Z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pour Microsoft 365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pour Microsoft 365</vt:lpwstr>
  </property>
  <property fmtid="{D5CDD505-2E9C-101B-9397-08002B2CF9AE}" pid="7" name="ContentTypeId">
    <vt:lpwstr>0x010100632338B1D50ECC47B631BB370F6F2315</vt:lpwstr>
  </property>
</Properties>
</file>