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200" w:before="600"/>
        <w:jc w:val="center"/>
      </w:pPr>
      <w:r>
        <w:rPr>
          <w:rFonts w:ascii="Arial" w:cs="Arial" w:eastAsia="Arial" w:hAnsi="Arial"/>
          <w:b/>
          <w:bCs/>
          <w:color w:val="1F4E79"/>
          <w:sz w:val="52"/>
          <w:szCs w:val="52"/>
        </w:rPr>
        <w:t xml:space="preserve">ERP-to-Canonical Field Mapping Agent</w:t>
      </w:r>
    </w:p>
    <w:p>
      <w:pPr>
        <w:spacing w:after="100" w:before="100"/>
        <w:jc w:val="center"/>
      </w:pPr>
      <w:r>
        <w:rPr>
          <w:rFonts w:ascii="Arial" w:cs="Arial" w:eastAsia="Arial" w:hAnsi="Arial"/>
          <w:color w:val="555555"/>
          <w:sz w:val="28"/>
          <w:szCs w:val="28"/>
        </w:rPr>
        <w:t xml:space="preserve">Complete Project Specification &amp; Build Prompt</w:t>
      </w:r>
    </w:p>
    <w:p>
      <w:pPr>
        <w:spacing w:after="80" w:before="80"/>
        <w:jc w:val="center"/>
      </w:pPr>
      <w:r>
        <w:rPr>
          <w:rFonts w:ascii="Arial" w:cs="Arial" w:eastAsia="Arial" w:hAnsi="Arial"/>
          <w:color w:val="2E75B6"/>
          <w:sz w:val="22"/>
          <w:szCs w:val="22"/>
        </w:rPr>
        <w:t xml:space="preserve">OpenText BNStandard Canonical | Multi-ERP Support | AI-Powered Accuracy</w:t>
      </w:r>
    </w:p>
    <w:p>
      <w:pPr>
        <w:spacing w:after="100" w:before="100"/>
      </w:pPr>
      <w:r>
        <w:t xml:space="preserve"/>
      </w:r>
    </w:p>
    <w:p>
      <w:pPr>
        <w:spacing w:after="100" w:before="100"/>
        <w:jc w:val="center"/>
      </w:pPr>
      <w:r>
        <w:rPr>
          <w:rFonts w:ascii="Arial" w:cs="Arial" w:eastAsia="Arial" w:hAnsi="Arial"/>
          <w:color w:val="888888"/>
          <w:sz w:val="18"/>
          <w:szCs w:val="18"/>
        </w:rPr>
        <w:t xml:space="preserve">Version 1.0  |  Document Type: Technical Specification + AI Prompt Guide</w:t>
      </w:r>
    </w:p>
    <w:p>
      <w:pPr>
        <w:spacing w:after="100" w:before="100"/>
      </w:pPr>
      <w:r>
        <w:t xml:space="preserve"/>
      </w:r>
    </w:p>
    <w:p>
      <w:pPr>
        <w:spacing w:after="100" w:before="100"/>
      </w:pPr>
      <w:r>
        <w:t xml:space="preserve"/>
      </w:r>
    </w:p>
    <w:p>
      <w:pPr>
        <w:spacing w:after="100" w:before="100"/>
      </w:pPr>
      <w:r>
        <w:t xml:space="preserve"/>
      </w:r>
    </w:p>
    <w:p>
      <w:pPr>
        <w:pStyle w:val="Heading1"/>
        <w:spacing w:after="200" w:before="400"/>
      </w:pPr>
      <w:r>
        <w:rPr>
          <w:rFonts w:ascii="Arial" w:cs="Arial" w:eastAsia="Arial" w:hAnsi="Arial"/>
          <w:b/>
          <w:bCs/>
          <w:color w:val="1F4E79"/>
          <w:sz w:val="36"/>
          <w:szCs w:val="36"/>
        </w:rPr>
        <w:t xml:space="preserve">1. Project Overview</w:t>
      </w:r>
    </w:p>
    <w:p>
      <w:pPr>
        <w:spacing w:after="80" w:before="80"/>
      </w:pPr>
      <w:r>
        <w:rPr>
          <w:rFonts w:ascii="Arial" w:cs="Arial" w:eastAsia="Arial" w:hAnsi="Arial"/>
          <w:sz w:val="20"/>
          <w:szCs w:val="20"/>
        </w:rPr>
        <w:t xml:space="preserve">This agent maps fields from an ERP system's JSON export into the OpenText BNStandard Canonical structure. The canonical is fixed (authored by OpenText) and acts as the universal interchange standard for business documents. The ERP input changes per customer but the canonical target never changes.</w:t>
      </w:r>
    </w:p>
    <w:p>
      <w:pPr>
        <w:spacing w:after="100" w:before="100"/>
      </w:pPr>
      <w:r>
        <w:t xml:space="preserve"/>
      </w:r>
    </w:p>
    <w:p>
      <w:pPr>
        <w:spacing w:after="80" w:before="80"/>
      </w:pPr>
      <w:r>
        <w:rPr>
          <w:rFonts w:ascii="Arial" w:cs="Arial" w:eastAsia="Arial" w:hAnsi="Arial"/>
          <w:b/>
          <w:bCs/>
          <w:sz w:val="20"/>
          <w:szCs w:val="20"/>
        </w:rPr>
        <w:t xml:space="preserve">Core Objective: </w:t>
      </w:r>
      <w:r>
        <w:rPr>
          <w:rFonts w:ascii="Arial" w:cs="Arial" w:eastAsia="Arial" w:hAnsi="Arial"/>
          <w:sz w:val="20"/>
          <w:szCs w:val="20"/>
        </w:rPr>
        <w:t xml:space="preserve">Given an ERP JSON file, automatically discover every field it contains, intelligently match each one to the correct canonical XPath using AI, and output a structured Excel mapping report with full traceability.</w:t>
      </w:r>
    </w:p>
    <w:p>
      <w:pPr>
        <w:spacing w:after="100" w:before="100"/>
      </w:pPr>
      <w:r>
        <w:t xml:space="preserve"/>
      </w:r>
    </w:p>
    <w:p>
      <w:pPr>
        <w:pStyle w:val="Heading2"/>
        <w:pBdr>
          <w:bottom w:val="single" w:color="2E75B6" w:sz="6" w:space="4"/>
        </w:pBdr>
        <w:spacing w:after="160" w:before="320"/>
      </w:pPr>
      <w:r>
        <w:rPr>
          <w:rFonts w:ascii="Arial" w:cs="Arial" w:eastAsia="Arial" w:hAnsi="Arial"/>
          <w:b/>
          <w:bCs/>
          <w:color w:val="2E75B6"/>
          <w:sz w:val="28"/>
          <w:szCs w:val="28"/>
        </w:rPr>
        <w:t xml:space="preserve">1.1  What the Agent Does</w:t>
      </w:r>
    </w:p>
    <w:p>
      <w:pPr>
        <w:pStyle w:val="ListParagraph"/>
        <w:numPr>
          <w:ilvl w:val="0"/>
          <w:numId w:val="2"/>
        </w:numPr>
        <w:spacing w:after="60" w:before="60"/>
      </w:pPr>
      <w:r>
        <w:rPr>
          <w:rFonts w:ascii="Arial" w:cs="Arial" w:eastAsia="Arial" w:hAnsi="Arial"/>
          <w:sz w:val="20"/>
          <w:szCs w:val="20"/>
        </w:rPr>
        <w:t xml:space="preserve">User selects an ERP name (e.g. MS Dynamics BC, SAP, Oracle) from a dropdown</w:t>
      </w:r>
    </w:p>
    <w:p>
      <w:pPr>
        <w:pStyle w:val="ListParagraph"/>
        <w:numPr>
          <w:ilvl w:val="0"/>
          <w:numId w:val="2"/>
        </w:numPr>
        <w:spacing w:after="60" w:before="60"/>
      </w:pPr>
      <w:r>
        <w:rPr>
          <w:rFonts w:ascii="Arial" w:cs="Arial" w:eastAsia="Arial" w:hAnsi="Arial"/>
          <w:sz w:val="20"/>
          <w:szCs w:val="20"/>
        </w:rPr>
        <w:t xml:space="preserve">User uploads the ERP's JSON export file (e.g. Sales Order, Purchase Order, Invoice)</w:t>
      </w:r>
    </w:p>
    <w:p>
      <w:pPr>
        <w:pStyle w:val="ListParagraph"/>
        <w:numPr>
          <w:ilvl w:val="0"/>
          <w:numId w:val="2"/>
        </w:numPr>
        <w:spacing w:after="60" w:before="60"/>
      </w:pPr>
      <w:r>
        <w:rPr>
          <w:rFonts w:ascii="Arial" w:cs="Arial" w:eastAsia="Arial" w:hAnsi="Arial"/>
          <w:sz w:val="20"/>
          <w:szCs w:val="20"/>
        </w:rPr>
        <w:t xml:space="preserve">Agent parses all fields from the ERP JSON — both header-level and line-item-level</w:t>
      </w:r>
    </w:p>
    <w:p>
      <w:pPr>
        <w:pStyle w:val="ListParagraph"/>
        <w:numPr>
          <w:ilvl w:val="0"/>
          <w:numId w:val="2"/>
        </w:numPr>
        <w:spacing w:after="60" w:before="60"/>
      </w:pPr>
      <w:r>
        <w:rPr>
          <w:rFonts w:ascii="Arial" w:cs="Arial" w:eastAsia="Arial" w:hAnsi="Arial"/>
          <w:sz w:val="20"/>
          <w:szCs w:val="20"/>
        </w:rPr>
        <w:t xml:space="preserve">Agent loads the fixed OpenText BNStandard Canonical schema for the matching document type</w:t>
      </w:r>
    </w:p>
    <w:p>
      <w:pPr>
        <w:pStyle w:val="ListParagraph"/>
        <w:numPr>
          <w:ilvl w:val="0"/>
          <w:numId w:val="2"/>
        </w:numPr>
        <w:spacing w:after="60" w:before="60"/>
      </w:pPr>
      <w:r>
        <w:rPr>
          <w:rFonts w:ascii="Arial" w:cs="Arial" w:eastAsia="Arial" w:hAnsi="Arial"/>
          <w:sz w:val="20"/>
          <w:szCs w:val="20"/>
        </w:rPr>
        <w:t xml:space="preserve">AI engine maps each ERP field to the best-fit canonical XPath using semantic matching</w:t>
      </w:r>
    </w:p>
    <w:p>
      <w:pPr>
        <w:pStyle w:val="ListParagraph"/>
        <w:numPr>
          <w:ilvl w:val="0"/>
          <w:numId w:val="2"/>
        </w:numPr>
        <w:spacing w:after="60" w:before="60"/>
      </w:pPr>
      <w:r>
        <w:rPr>
          <w:rFonts w:ascii="Arial" w:cs="Arial" w:eastAsia="Arial" w:hAnsi="Arial"/>
          <w:sz w:val="20"/>
          <w:szCs w:val="20"/>
        </w:rPr>
        <w:t xml:space="preserve">Agent outputs a formatted Excel file with 5 columns: SMR Construct, Composite Mapping Reference, Dialect Term, Canonical XPath, ERP JSON Path</w:t>
      </w:r>
    </w:p>
    <w:p>
      <w:pPr>
        <w:spacing w:after="100" w:before="100"/>
      </w:pPr>
      <w:r>
        <w:t xml:space="preserve"/>
      </w:r>
    </w:p>
    <w:p>
      <w:pPr>
        <w:pStyle w:val="Heading2"/>
        <w:pBdr>
          <w:bottom w:val="single" w:color="2E75B6" w:sz="6" w:space="4"/>
        </w:pBdr>
        <w:spacing w:after="160" w:before="320"/>
      </w:pPr>
      <w:r>
        <w:rPr>
          <w:rFonts w:ascii="Arial" w:cs="Arial" w:eastAsia="Arial" w:hAnsi="Arial"/>
          <w:b/>
          <w:bCs/>
          <w:color w:val="2E75B6"/>
          <w:sz w:val="28"/>
          <w:szCs w:val="28"/>
        </w:rPr>
        <w:t xml:space="preserve">1.2  Canonical Documents Supported (Fixed / Never Change)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00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Document Type</w:t>
            </w:r>
          </w:p>
        </w:tc>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Canonical File</w:t>
            </w:r>
          </w:p>
        </w:tc>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Schema Version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ERP Use Case</w:t>
            </w:r>
          </w:p>
        </w:tc>
      </w:tr>
      <w:tr>
        <w:tc>
          <w:tcPr>
            <w:tcW w:type="dxa" w:w="20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Sales Order</w:t>
            </w:r>
          </w:p>
        </w:tc>
        <w:tc>
          <w:tcPr>
            <w:tcW w:type="dxa" w:w="25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BNStandard_Order_Canonical_V2_0.json</w:t>
            </w:r>
          </w:p>
        </w:tc>
        <w:tc>
          <w:tcPr>
            <w:tcW w:type="dxa" w:w="25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V2.0</w:t>
            </w:r>
          </w:p>
        </w:tc>
        <w:tc>
          <w:tcPr>
            <w:tcW w:type="dxa" w:w="20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Customer orders from ERP</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Purchase Order</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BNStandard_PurchaseOrder_Canonical.json</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V2.0</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Supplier/vendor POs</w:t>
            </w:r>
          </w:p>
        </w:tc>
      </w:tr>
      <w:tr>
        <w:tc>
          <w:tcPr>
            <w:tcW w:type="dxa" w:w="20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Shipment / ASN</w:t>
            </w:r>
          </w:p>
        </w:tc>
        <w:tc>
          <w:tcPr>
            <w:tcW w:type="dxa" w:w="25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BNStandard_Shipment_Canonical.json</w:t>
            </w:r>
          </w:p>
        </w:tc>
        <w:tc>
          <w:tcPr>
            <w:tcW w:type="dxa" w:w="25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V2.0</w:t>
            </w:r>
          </w:p>
        </w:tc>
        <w:tc>
          <w:tcPr>
            <w:tcW w:type="dxa" w:w="20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Advance Ship Notice</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Invoice</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BNStandard_Invoice_Canonical.json</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V2.0</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Billing documents</w:t>
            </w:r>
          </w:p>
        </w:tc>
      </w:tr>
    </w:tbl>
    <w:p>
      <w:pPr>
        <w:spacing w:after="100" w:before="100"/>
      </w:pPr>
      <w:r>
        <w:t xml:space="preserve"/>
      </w:r>
    </w:p>
    <w:p>
      <w:pPr>
        <w:pStyle w:val="Heading1"/>
        <w:spacing w:after="200" w:before="400"/>
      </w:pPr>
      <w:r>
        <w:rPr>
          <w:rFonts w:ascii="Arial" w:cs="Arial" w:eastAsia="Arial" w:hAnsi="Arial"/>
          <w:b/>
          <w:bCs/>
          <w:color w:val="1F4E79"/>
          <w:sz w:val="36"/>
          <w:szCs w:val="36"/>
        </w:rPr>
        <w:t xml:space="preserve">2. Architecture &amp; Component Design</w:t>
      </w:r>
    </w:p>
    <w:p>
      <w:pPr>
        <w:pStyle w:val="Heading2"/>
        <w:pBdr>
          <w:bottom w:val="single" w:color="2E75B6" w:sz="6" w:space="4"/>
        </w:pBdr>
        <w:spacing w:after="160" w:before="320"/>
      </w:pPr>
      <w:r>
        <w:rPr>
          <w:rFonts w:ascii="Arial" w:cs="Arial" w:eastAsia="Arial" w:hAnsi="Arial"/>
          <w:b/>
          <w:bCs/>
          <w:color w:val="2E75B6"/>
          <w:sz w:val="28"/>
          <w:szCs w:val="28"/>
        </w:rPr>
        <w:t xml:space="preserve">2.1  High-Level System Flow</w:t>
      </w:r>
    </w:p>
    <w:p>
      <w:pPr>
        <w:spacing w:after="80" w:before="80"/>
      </w:pPr>
      <w:r>
        <w:rPr>
          <w:rFonts w:ascii="Arial" w:cs="Arial" w:eastAsia="Arial" w:hAnsi="Arial"/>
          <w:sz w:val="20"/>
          <w:szCs w:val="20"/>
        </w:rPr>
        <w:t xml:space="preserve">The agent is structured as a 6-stage pipeline. Each stage is a discrete function that can be unit-tested independently.</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000"/>
        <w:gridCol w:w="200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4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8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1</w:t>
            </w:r>
          </w:p>
        </w:tc>
        <w:tc>
          <w:tcPr>
            <w:tcW w:type="dxa" w:w="22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ERP Selector + File Upload</w:t>
            </w:r>
          </w:p>
        </w:tc>
        <w:tc>
          <w:tcPr>
            <w:tcW w:type="dxa" w:w="40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User picks ERP name; uploads JSON file; agent detects document type (Order/Invoice/etc.)</w:t>
            </w:r>
          </w:p>
        </w:tc>
        <w:tc>
          <w:tcPr>
            <w:tcW w:type="dxa" w:w="20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erp_name, doc_type, raw_json</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ERP JSON Parser</w:t>
            </w:r>
          </w:p>
        </w:tc>
        <w:tc>
          <w:tcPr>
            <w:tcW w:type="dxa" w:w="4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Flattens nested JSON into dot-notation field list; separates header fields from items[] array fields</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flat_erp_fields[]</w:t>
            </w:r>
          </w:p>
        </w:tc>
      </w:tr>
      <w:tr>
        <w:tc>
          <w:tcPr>
            <w:tcW w:type="dxa" w:w="8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3</w:t>
            </w:r>
          </w:p>
        </w:tc>
        <w:tc>
          <w:tcPr>
            <w:tcW w:type="dxa" w:w="22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Canonical Schema Loader</w:t>
            </w:r>
          </w:p>
        </w:tc>
        <w:tc>
          <w:tcPr>
            <w:tcW w:type="dxa" w:w="40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Loads the correct fixed canonical JSON schema; extracts all XPaths with their function enums and data types</w:t>
            </w:r>
          </w:p>
        </w:tc>
        <w:tc>
          <w:tcPr>
            <w:tcW w:type="dxa" w:w="20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canonical_paths[]</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AI Mapping Engine</w:t>
            </w:r>
          </w:p>
        </w:tc>
        <w:tc>
          <w:tcPr>
            <w:tcW w:type="dxa" w:w="4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Uses LLM to semantically match ERP field → canonical XPath; assigns confidence score and mapping rationale</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mapping_results[]</w:t>
            </w:r>
          </w:p>
        </w:tc>
      </w:tr>
      <w:tr>
        <w:tc>
          <w:tcPr>
            <w:tcW w:type="dxa" w:w="8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5</w:t>
            </w:r>
          </w:p>
        </w:tc>
        <w:tc>
          <w:tcPr>
            <w:tcW w:type="dxa" w:w="22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Validation &amp; Review</w:t>
            </w:r>
          </w:p>
        </w:tc>
        <w:tc>
          <w:tcPr>
            <w:tcW w:type="dxa" w:w="40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Flags low-confidence matches; detects unmapped canonical required fields; checks for duplicate mappings</w:t>
            </w:r>
          </w:p>
        </w:tc>
        <w:tc>
          <w:tcPr>
            <w:tcW w:type="dxa" w:w="20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validated_mappings[]</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Excel Report Generator</w:t>
            </w:r>
          </w:p>
        </w:tc>
        <w:tc>
          <w:tcPr>
            <w:tcW w:type="dxa" w:w="4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Writes the SMR output Excel in the exact 5-column format matching the reference output</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SMR_CANONICAL_TO_{ERP}_V1.xlsx</w:t>
            </w:r>
          </w:p>
        </w:tc>
      </w:tr>
    </w:tbl>
    <w:p>
      <w:pPr>
        <w:spacing w:after="100" w:before="100"/>
      </w:pPr>
      <w:r>
        <w:t xml:space="preserve"/>
      </w:r>
    </w:p>
    <w:p>
      <w:pPr>
        <w:pStyle w:val="Heading2"/>
        <w:pBdr>
          <w:bottom w:val="single" w:color="2E75B6" w:sz="6" w:space="4"/>
        </w:pBdr>
        <w:spacing w:after="160" w:before="320"/>
      </w:pPr>
      <w:r>
        <w:rPr>
          <w:rFonts w:ascii="Arial" w:cs="Arial" w:eastAsia="Arial" w:hAnsi="Arial"/>
          <w:b/>
          <w:bCs/>
          <w:color w:val="2E75B6"/>
          <w:sz w:val="28"/>
          <w:szCs w:val="28"/>
        </w:rPr>
        <w:t xml:space="preserve">2.2  Project Folder Structure</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erp-mapping-agent/</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main.py                        # Entry point — orchestrates all stages</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config/</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 erp_registry.json          # ERP names, aliases, known field patterns</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 doc_type_detector.json     # Keywords that identify document type</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canonical/                     # FIXED — never modified</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 BNStandard_Order_Canonical_V2_0.json</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 BNStandard_Invoice_Canonical.json</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 BNStandard_Shipment_Canonical.json</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 BNStandard_PurchaseOrder_Canonical.json</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parsers/</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 erp_parser.py              # ERP JSON flattener + field extractor</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 canonical_parser.py        # Canonical XPath + enum extractor</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ai_engine/</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 mapper.py                  # Main AI mapping orchestrator</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 prompt_builder.py          # Builds structured prompts for the LLM</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 confidence_scorer.py       # Post-processes and scores mappings</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erp_adapters/</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 msdbc_adapter.py           # MS Dynamics BC — field aliases &amp; rules</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 sap_adapter.py             # SAP (future)</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 oracle_adapter.py          # Oracle (future)</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output/</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 excel_writer.py            # Generates formatted SMR Excel output</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tests/</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 test_parser.py</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 test_mapping.py</w:t>
      </w:r>
    </w:p>
    <w:p>
      <w:pPr>
        <w:spacing w:after="100" w:before="100"/>
      </w:pPr>
      <w:r>
        <w:t xml:space="preserve"/>
      </w:r>
    </w:p>
    <w:p>
      <w:pPr>
        <w:pStyle w:val="Heading1"/>
        <w:spacing w:after="200" w:before="400"/>
      </w:pPr>
      <w:r>
        <w:rPr>
          <w:rFonts w:ascii="Arial" w:cs="Arial" w:eastAsia="Arial" w:hAnsi="Arial"/>
          <w:b/>
          <w:bCs/>
          <w:color w:val="1F4E79"/>
          <w:sz w:val="36"/>
          <w:szCs w:val="36"/>
        </w:rPr>
        <w:t xml:space="preserve">3. Data Structures</w:t>
      </w:r>
    </w:p>
    <w:p>
      <w:pPr>
        <w:pStyle w:val="Heading2"/>
        <w:pBdr>
          <w:bottom w:val="single" w:color="2E75B6" w:sz="6" w:space="4"/>
        </w:pBdr>
        <w:spacing w:after="160" w:before="320"/>
      </w:pPr>
      <w:r>
        <w:rPr>
          <w:rFonts w:ascii="Arial" w:cs="Arial" w:eastAsia="Arial" w:hAnsi="Arial"/>
          <w:b/>
          <w:bCs/>
          <w:color w:val="2E75B6"/>
          <w:sz w:val="28"/>
          <w:szCs w:val="28"/>
        </w:rPr>
        <w:t xml:space="preserve">3.1  ERP JSON Parser Output — Flat Field List</w:t>
      </w:r>
    </w:p>
    <w:p>
      <w:pPr>
        <w:spacing w:after="80" w:before="80"/>
      </w:pPr>
      <w:r>
        <w:rPr>
          <w:rFonts w:ascii="Arial" w:cs="Arial" w:eastAsia="Arial" w:hAnsi="Arial"/>
          <w:sz w:val="20"/>
          <w:szCs w:val="20"/>
        </w:rPr>
        <w:t xml:space="preserve">The parser produces one record per ERP field. Line-item fields are prefixed with 'items|'.</w:t>
      </w:r>
    </w:p>
    <w:p>
      <w:pPr>
        <w:spacing w:after="100" w:before="100"/>
      </w:pPr>
      <w:r>
        <w:t xml:space="preserve"/>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"field_key": "Sell_to_Customer_No",      "json_path": "JSON|JSON|Sell_to_Customer_No",      "level": "header", "sample_value": "10000",           "data_type": "string" }</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"field_key": "items.No",                 "json_path": "JSON|JSON|items|No",                 "level": "line",   "sample_value": "3001",            "data_type": "string" }</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"field_key": "items.Quantity",           "json_path": "JSON|JSON|items|Quantity",           "level": "line",   "sample_value": 20,                "data_type": "number" }</w:t>
      </w:r>
    </w:p>
    <w:p>
      <w:pPr>
        <w:spacing w:after="100" w:before="100"/>
      </w:pPr>
      <w:r>
        <w:t xml:space="preserve"/>
      </w:r>
    </w:p>
    <w:p>
      <w:pPr>
        <w:pStyle w:val="Heading2"/>
        <w:pBdr>
          <w:bottom w:val="single" w:color="2E75B6" w:sz="6" w:space="4"/>
        </w:pBdr>
        <w:spacing w:after="160" w:before="320"/>
      </w:pPr>
      <w:r>
        <w:rPr>
          <w:rFonts w:ascii="Arial" w:cs="Arial" w:eastAsia="Arial" w:hAnsi="Arial"/>
          <w:b/>
          <w:bCs/>
          <w:color w:val="2E75B6"/>
          <w:sz w:val="28"/>
          <w:szCs w:val="28"/>
        </w:rPr>
        <w:t xml:space="preserve">3.2  Canonical XPath Record</w:t>
      </w:r>
    </w:p>
    <w:p>
      <w:pPr>
        <w:spacing w:after="80" w:before="80"/>
      </w:pPr>
      <w:r>
        <w:rPr>
          <w:rFonts w:ascii="Arial" w:cs="Arial" w:eastAsia="Arial" w:hAnsi="Arial"/>
          <w:sz w:val="20"/>
          <w:szCs w:val="20"/>
        </w:rPr>
        <w:t xml:space="preserve">The canonical parser produces one record per leaf field in the OpenText schema.</w:t>
      </w:r>
    </w:p>
    <w:p>
      <w:pPr>
        <w:spacing w:after="100" w:before="100"/>
      </w:pPr>
      <w:r>
        <w:t xml:space="preserve"/>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"xpath":         "/Documents/Document/Order/Header/References[function='OrderNumber-Purchaser']/Value",</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"dialect_term":  "Purchaser Order Number",</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"smr_construct": "Field",</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"section":       "Header",</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"function_enum": "OrderNumber-Purchaser",</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"data_type":     "string",</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"is_required":   true }</w:t>
      </w:r>
    </w:p>
    <w:p>
      <w:pPr>
        <w:spacing w:after="100" w:before="100"/>
      </w:pPr>
      <w:r>
        <w:t xml:space="preserve"/>
      </w:r>
    </w:p>
    <w:p>
      <w:pPr>
        <w:pStyle w:val="Heading2"/>
        <w:pBdr>
          <w:bottom w:val="single" w:color="2E75B6" w:sz="6" w:space="4"/>
        </w:pBdr>
        <w:spacing w:after="160" w:before="320"/>
      </w:pPr>
      <w:r>
        <w:rPr>
          <w:rFonts w:ascii="Arial" w:cs="Arial" w:eastAsia="Arial" w:hAnsi="Arial"/>
          <w:b/>
          <w:bCs/>
          <w:color w:val="2E75B6"/>
          <w:sz w:val="28"/>
          <w:szCs w:val="28"/>
        </w:rPr>
        <w:t xml:space="preserve">3.3  Mapping Result Record</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"canonical_xpath":      "/Documents/Document/Order/Header/References[function='OrderNumber-Purchaser']/Value",</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"dialect_term":         "Purchaser Order Number",</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"erp_json_path":        "JSON|JSON|External_Document_No",</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"erp_field_key":        "External_Document_No",</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"confidence":          0.92,</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"match_strategy":      "semantic_name",</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"rationale":           "External_Document_No represents the buyer's PO number",</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"smr_construct":       "Field",</w:t>
      </w:r>
    </w:p>
    <w:p>
      <w:pPr>
        <w:pBdr>
          <w:left w:val="single" w:color="2E75B6" w:sz="12" w:space="4"/>
        </w:pBdr>
        <w:shd w:fill="F4F4F4" w:val="clear"/>
        <w:spacing w:after="100" w:before="100"/>
        <w:ind w:left="360"/>
      </w:pPr>
      <w:r>
        <w:rPr>
          <w:rFonts w:ascii="Courier New" w:cs="Courier New" w:eastAsia="Courier New" w:hAnsi="Courier New"/>
          <w:color w:val="333333"/>
          <w:sz w:val="18"/>
          <w:szCs w:val="18"/>
        </w:rPr>
        <w:t xml:space="preserve">  "composite_ref":       "" }</w:t>
      </w:r>
    </w:p>
    <w:p>
      <w:pPr>
        <w:spacing w:after="100" w:before="100"/>
      </w:pPr>
      <w:r>
        <w:t xml:space="preserve"/>
      </w:r>
    </w:p>
    <w:p>
      <w:pPr>
        <w:pStyle w:val="Heading1"/>
        <w:spacing w:after="200" w:before="400"/>
      </w:pPr>
      <w:r>
        <w:rPr>
          <w:rFonts w:ascii="Arial" w:cs="Arial" w:eastAsia="Arial" w:hAnsi="Arial"/>
          <w:b/>
          <w:bCs/>
          <w:color w:val="1F4E79"/>
          <w:sz w:val="36"/>
          <w:szCs w:val="36"/>
        </w:rPr>
        <w:t xml:space="preserve">4. AI Mapping Engine — Detailed Design</w:t>
      </w:r>
    </w:p>
    <w:p>
      <w:pPr>
        <w:spacing w:after="80" w:before="80"/>
      </w:pPr>
      <w:r>
        <w:rPr>
          <w:rFonts w:ascii="Arial" w:cs="Arial" w:eastAsia="Arial" w:hAnsi="Arial"/>
          <w:sz w:val="20"/>
          <w:szCs w:val="20"/>
        </w:rPr>
        <w:t xml:space="preserve">This is the most critical component. Accuracy here determines the quality of the entire output. The engine uses a multi-strategy approach: rule-based pre-matching, AI semantic matching, and post-validation scoring.</w:t>
      </w:r>
    </w:p>
    <w:p>
      <w:pPr>
        <w:spacing w:after="100" w:before="100"/>
      </w:pPr>
      <w:r>
        <w:t xml:space="preserve"/>
      </w:r>
    </w:p>
    <w:p>
      <w:pPr>
        <w:pStyle w:val="Heading2"/>
        <w:pBdr>
          <w:bottom w:val="single" w:color="2E75B6" w:sz="6" w:space="4"/>
        </w:pBdr>
        <w:spacing w:after="160" w:before="320"/>
      </w:pPr>
      <w:r>
        <w:rPr>
          <w:rFonts w:ascii="Arial" w:cs="Arial" w:eastAsia="Arial" w:hAnsi="Arial"/>
          <w:b/>
          <w:bCs/>
          <w:color w:val="2E75B6"/>
          <w:sz w:val="28"/>
          <w:szCs w:val="28"/>
        </w:rPr>
        <w:t xml:space="preserve">4.1  Three-Layer Matching Strategy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200"/>
        <w:gridCol w:w="1500"/>
        <w:gridCol w:w="150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Strategy</w:t>
            </w:r>
          </w:p>
        </w:tc>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How It Works</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Confidence Range</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When Used</w:t>
            </w:r>
          </w:p>
        </w:tc>
      </w:tr>
      <w:tr>
        <w:tc>
          <w:tcPr>
            <w:tcW w:type="dxa" w:w="8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L1</w:t>
            </w:r>
          </w:p>
        </w:tc>
        <w:tc>
          <w:tcPr>
            <w:tcW w:type="dxa" w:w="20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Rule-Based (ERP Adapter)</w:t>
            </w:r>
          </w:p>
        </w:tc>
        <w:tc>
          <w:tcPr>
            <w:tcW w:type="dxa" w:w="32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Pre-defined lookup table of known ERP-field → canonical-xpath pairs, built per ERP type. Fastest, most accurate.</w:t>
            </w:r>
          </w:p>
        </w:tc>
        <w:tc>
          <w:tcPr>
            <w:tcW w:type="dxa" w:w="15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0.95 – 1.00</w:t>
            </w:r>
          </w:p>
        </w:tc>
        <w:tc>
          <w:tcPr>
            <w:tcW w:type="dxa" w:w="15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Always first</w:t>
            </w:r>
          </w:p>
        </w:tc>
      </w:tr>
      <w:tr>
        <w:tc>
          <w:tcPr>
            <w:tcW w:type="dxa" w:w="8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L2</w:t>
            </w:r>
          </w:p>
        </w:tc>
        <w:tc>
          <w:tcPr>
            <w:tcW w:type="dxa" w:w="20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AI Semantic Match</w:t>
            </w:r>
          </w:p>
        </w:tc>
        <w:tc>
          <w:tcPr>
            <w:tcW w:type="dxa" w:w="32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LLM is given the ERP field name, sample value, data type, and a shortlist of candidate canonical fields. It reasons about business meaning.</w:t>
            </w:r>
          </w:p>
        </w:tc>
        <w:tc>
          <w:tcPr>
            <w:tcW w:type="dxa" w:w="15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0.60 – 0.94</w:t>
            </w:r>
          </w:p>
        </w:tc>
        <w:tc>
          <w:tcPr>
            <w:tcW w:type="dxa" w:w="15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All unmatched after L1</w:t>
            </w:r>
          </w:p>
        </w:tc>
      </w:tr>
      <w:tr>
        <w:tc>
          <w:tcPr>
            <w:tcW w:type="dxa" w:w="80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tcPr>
          <w:p>
            <w:r>
              <w:rPr>
                <w:rFonts w:ascii="Arial" w:cs="Arial" w:eastAsia="Arial" w:hAnsi="Arial"/>
                <w:sz w:val="18"/>
                <w:szCs w:val="18"/>
              </w:rPr>
              <w:t xml:space="preserve">L3</w:t>
            </w:r>
          </w:p>
        </w:tc>
        <w:tc>
          <w:tcPr>
            <w:tcW w:type="dxa" w:w="200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tcPr>
          <w:p>
            <w:r>
              <w:rPr>
                <w:rFonts w:ascii="Arial" w:cs="Arial" w:eastAsia="Arial" w:hAnsi="Arial"/>
                <w:sz w:val="18"/>
                <w:szCs w:val="18"/>
              </w:rPr>
              <w:t xml:space="preserve">Fuzzy / String Similarity</w:t>
            </w:r>
          </w:p>
        </w:tc>
        <w:tc>
          <w:tcPr>
            <w:tcW w:type="dxa" w:w="320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tcPr>
          <w:p>
            <w:r>
              <w:rPr>
                <w:rFonts w:ascii="Arial" w:cs="Arial" w:eastAsia="Arial" w:hAnsi="Arial"/>
                <w:sz w:val="18"/>
                <w:szCs w:val="18"/>
              </w:rPr>
              <w:t xml:space="preserve">Fallback for fields with no semantic match. Uses token overlap and edit distance as a last resort.</w:t>
            </w:r>
          </w:p>
        </w:tc>
        <w:tc>
          <w:tcPr>
            <w:tcW w:type="dxa" w:w="150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tcPr>
          <w:p>
            <w:r>
              <w:rPr>
                <w:rFonts w:ascii="Arial" w:cs="Arial" w:eastAsia="Arial" w:hAnsi="Arial"/>
                <w:sz w:val="18"/>
                <w:szCs w:val="18"/>
              </w:rPr>
              <w:t xml:space="preserve">0.30 – 0.59</w:t>
            </w:r>
          </w:p>
        </w:tc>
        <w:tc>
          <w:tcPr>
            <w:tcW w:type="dxa" w:w="150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tcPr>
          <w:p>
            <w:r>
              <w:rPr>
                <w:rFonts w:ascii="Arial" w:cs="Arial" w:eastAsia="Arial" w:hAnsi="Arial"/>
                <w:sz w:val="18"/>
                <w:szCs w:val="18"/>
              </w:rPr>
              <w:t xml:space="preserve">Low-confidence fallback</w:t>
            </w:r>
          </w:p>
        </w:tc>
      </w:tr>
    </w:tbl>
    <w:p>
      <w:pPr>
        <w:spacing w:after="100" w:before="100"/>
      </w:pPr>
      <w:r>
        <w:t xml:space="preserve"/>
      </w:r>
    </w:p>
    <w:p>
      <w:pPr>
        <w:pStyle w:val="Heading2"/>
        <w:pBdr>
          <w:bottom w:val="single" w:color="2E75B6" w:sz="6" w:space="4"/>
        </w:pBdr>
        <w:spacing w:after="160" w:before="320"/>
      </w:pPr>
      <w:r>
        <w:rPr>
          <w:rFonts w:ascii="Arial" w:cs="Arial" w:eastAsia="Arial" w:hAnsi="Arial"/>
          <w:b/>
          <w:bCs/>
          <w:color w:val="2E75B6"/>
          <w:sz w:val="28"/>
          <w:szCs w:val="28"/>
        </w:rPr>
        <w:t xml:space="preserve">4.2  The AI Mapping Prompt (Core Prompt to Build)</w:t>
      </w:r>
    </w:p>
    <w:p>
      <w:pPr>
        <w:spacing w:after="80" w:before="80"/>
      </w:pPr>
      <w:r>
        <w:rPr>
          <w:rFonts w:ascii="Arial" w:cs="Arial" w:eastAsia="Arial" w:hAnsi="Arial"/>
          <w:sz w:val="20"/>
          <w:szCs w:val="20"/>
        </w:rPr>
        <w:t xml:space="preserve">This is the exact system + user prompt structure for the LLM mapping call. This prompt is invoked once per batch of unmatched ERP fields.</w:t>
      </w:r>
    </w:p>
    <w:p>
      <w:pPr>
        <w:spacing w:after="100" w:before="100"/>
      </w:pPr>
      <w:r>
        <w:t xml:space="preserve"/>
      </w:r>
    </w:p>
    <w:p>
      <w:pPr>
        <w:pStyle w:val="Heading3"/>
        <w:spacing w:after="120" w:before="240"/>
      </w:pPr>
      <w:r>
        <w:rPr>
          <w:rFonts w:ascii="Arial" w:cs="Arial" w:eastAsia="Arial" w:hAnsi="Arial"/>
          <w:b/>
          <w:bCs/>
          <w:color w:val="333333"/>
          <w:sz w:val="24"/>
          <w:szCs w:val="24"/>
        </w:rPr>
        <w:t xml:space="preserve">SYSTEM PROMPT</w:t>
      </w:r>
    </w:p>
    <w:p>
      <w:pPr>
        <w:spacing w:after="100" w:before="100"/>
      </w:pPr>
      <w:r>
        <w:t xml:space="preserve"/>
      </w:r>
    </w:p>
    <w:p>
      <w:pPr>
        <w:shd w:fill="1A1A2E" w:val="clear"/>
        <w:spacing w:after="100" w:before="100"/>
        <w:ind w:left="200" w:right="200"/>
      </w:pPr>
      <w:r>
        <w:rPr>
          <w:rFonts w:ascii="Courier New" w:cs="Courier New" w:eastAsia="Courier New" w:hAnsi="Courier New"/>
          <w:color w:val="00FF88"/>
          <w:sz w:val="18"/>
          <w:szCs w:val="18"/>
        </w:rPr>
        <w:t xml:space="preserve">You are an expert EDI and ERP integration engineer specializing in OpenText TrustedLink/BNStandard canonical schemas.</w:t>
      </w:r>
    </w:p>
    <w:p>
      <w:pPr>
        <w:shd w:fill="1A1A2E" w:val="clear"/>
        <w:spacing w:after="60" w:before="60"/>
        <w:ind w:left="200" w:right="200"/>
      </w:pPr>
      <w:r>
        <w:rPr>
          <w:rFonts w:ascii="Courier New" w:cs="Courier New" w:eastAsia="Courier New" w:hAnsi="Courier New"/>
          <w:color w:val="00FF88"/>
          <w:sz w:val="18"/>
          <w:szCs w:val="18"/>
        </w:rPr>
        <w:t xml:space="preserve">Your task is to map ERP JSON fields to OpenText BNStandard Canonical XPaths.</w:t>
      </w:r>
    </w:p>
    <w:p>
      <w:pPr>
        <w:shd w:fill="1A1A2E" w:val="clear"/>
        <w:spacing w:after="60" w:before="60"/>
        <w:ind w:left="200" w:right="200"/>
      </w:pPr>
      <w:r>
        <w:rPr>
          <w:rFonts w:ascii="Courier New" w:cs="Courier New" w:eastAsia="Courier New" w:hAnsi="Courier New"/>
          <w:color w:val="00FF88"/>
          <w:sz w:val="18"/>
          <w:szCs w:val="18"/>
        </w:rPr>
        <w:t xml:space="preserve"/>
      </w:r>
    </w:p>
    <w:p>
      <w:pPr>
        <w:shd w:fill="1A1A2E" w:val="clear"/>
        <w:spacing w:after="60" w:before="60"/>
        <w:ind w:left="200" w:right="200"/>
      </w:pPr>
      <w:r>
        <w:rPr>
          <w:rFonts w:ascii="Courier New" w:cs="Courier New" w:eastAsia="Courier New" w:hAnsi="Courier New"/>
          <w:b/>
          <w:bCs/>
          <w:color w:val="FFFF00"/>
          <w:sz w:val="18"/>
          <w:szCs w:val="18"/>
        </w:rPr>
        <w:t xml:space="preserve">Rules:</w:t>
      </w:r>
    </w:p>
    <w:p>
      <w:pPr>
        <w:shd w:fill="1A1A2E" w:val="clear"/>
        <w:spacing w:after="40" w:before="40"/>
        <w:ind w:left="200" w:right="200"/>
      </w:pPr>
      <w:r>
        <w:rPr>
          <w:rFonts w:ascii="Courier New" w:cs="Courier New" w:eastAsia="Courier New" w:hAnsi="Courier New"/>
          <w:color w:val="CCCCCC"/>
          <w:sz w:val="18"/>
          <w:szCs w:val="18"/>
        </w:rPr>
        <w:t xml:space="preserve">1. Focus on BUSINESS MEANING, not just field name similarity.</w:t>
      </w:r>
    </w:p>
    <w:p>
      <w:pPr>
        <w:shd w:fill="1A1A2E" w:val="clear"/>
        <w:spacing w:after="40" w:before="40"/>
        <w:ind w:left="200" w:right="200"/>
      </w:pPr>
      <w:r>
        <w:rPr>
          <w:rFonts w:ascii="Courier New" w:cs="Courier New" w:eastAsia="Courier New" w:hAnsi="Courier New"/>
          <w:color w:val="CCCCCC"/>
          <w:sz w:val="18"/>
          <w:szCs w:val="18"/>
        </w:rPr>
        <w:t xml:space="preserve">2. One ERP field can map to MULTIPLE canonical paths (e.g. otx_o2c_ref_turn_around maps to many References).</w:t>
      </w:r>
    </w:p>
    <w:p>
      <w:pPr>
        <w:shd w:fill="1A1A2E" w:val="clear"/>
        <w:spacing w:after="40" w:before="40"/>
        <w:ind w:left="200" w:right="200"/>
      </w:pPr>
      <w:r>
        <w:rPr>
          <w:rFonts w:ascii="Courier New" w:cs="Courier New" w:eastAsia="Courier New" w:hAnsi="Courier New"/>
          <w:color w:val="CCCCCC"/>
          <w:sz w:val="18"/>
          <w:szCs w:val="18"/>
        </w:rPr>
        <w:t xml:space="preserve">3. One canonical path can map to ONLY ONE ERP field (no duplicates).</w:t>
      </w:r>
    </w:p>
    <w:p>
      <w:pPr>
        <w:shd w:fill="1A1A2E" w:val="clear"/>
        <w:spacing w:after="40" w:before="40"/>
        <w:ind w:left="200" w:right="200"/>
      </w:pPr>
      <w:r>
        <w:rPr>
          <w:rFonts w:ascii="Courier New" w:cs="Courier New" w:eastAsia="Courier New" w:hAnsi="Courier New"/>
          <w:color w:val="CCCCCC"/>
          <w:sz w:val="18"/>
          <w:szCs w:val="18"/>
        </w:rPr>
        <w:t xml:space="preserve">4. For line-level canonical fields, only match to items[] ERP fields.</w:t>
      </w:r>
    </w:p>
    <w:p>
      <w:pPr>
        <w:shd w:fill="1A1A2E" w:val="clear"/>
        <w:spacing w:after="40" w:before="40"/>
        <w:ind w:left="200" w:right="200"/>
      </w:pPr>
      <w:r>
        <w:rPr>
          <w:rFonts w:ascii="Courier New" w:cs="Courier New" w:eastAsia="Courier New" w:hAnsi="Courier New"/>
          <w:color w:val="CCCCCC"/>
          <w:sz w:val="18"/>
          <w:szCs w:val="18"/>
        </w:rPr>
        <w:t xml:space="preserve">5. Output ONLY valid JSON. No commentary outside the JSON block.</w:t>
      </w:r>
    </w:p>
    <w:p>
      <w:pPr>
        <w:shd w:fill="1A1A2E" w:val="clear"/>
        <w:spacing w:after="40" w:before="40"/>
        <w:ind w:left="200" w:right="200"/>
      </w:pPr>
      <w:r>
        <w:rPr>
          <w:rFonts w:ascii="Courier New" w:cs="Courier New" w:eastAsia="Courier New" w:hAnsi="Courier New"/>
          <w:color w:val="CCCCCC"/>
          <w:sz w:val="18"/>
          <w:szCs w:val="18"/>
        </w:rPr>
        <w:t xml:space="preserve">6. If no good match exists, set erp_json_path to empty string and confidence to 0.</w:t>
      </w:r>
    </w:p>
    <w:p>
      <w:pPr>
        <w:shd w:fill="1A1A2E" w:val="clear"/>
        <w:spacing w:after="100" w:before="40"/>
        <w:ind w:left="200" w:right="200"/>
      </w:pPr>
      <w:r>
        <w:rPr>
          <w:rFonts w:ascii="Courier New" w:cs="Courier New" w:eastAsia="Courier New" w:hAnsi="Courier New"/>
          <w:color w:val="CCCCCC"/>
          <w:sz w:val="18"/>
          <w:szCs w:val="18"/>
        </w:rPr>
        <w:t xml:space="preserve">7. ALWAYS provide a short rationale for each mapping decision.</w:t>
      </w:r>
    </w:p>
    <w:p>
      <w:pPr>
        <w:spacing w:after="100" w:before="100"/>
      </w:pPr>
      <w:r>
        <w:t xml:space="preserve"/>
      </w:r>
    </w:p>
    <w:p>
      <w:pPr>
        <w:pStyle w:val="Heading3"/>
        <w:spacing w:after="120" w:before="240"/>
      </w:pPr>
      <w:r>
        <w:rPr>
          <w:rFonts w:ascii="Arial" w:cs="Arial" w:eastAsia="Arial" w:hAnsi="Arial"/>
          <w:b/>
          <w:bCs/>
          <w:color w:val="333333"/>
          <w:sz w:val="24"/>
          <w:szCs w:val="24"/>
        </w:rPr>
        <w:t xml:space="preserve">USER PROMPT TEMPLATE</w:t>
      </w:r>
    </w:p>
    <w:p>
      <w:pPr>
        <w:spacing w:after="100" w:before="100"/>
      </w:pPr>
      <w:r>
        <w:t xml:space="preserve"/>
      </w:r>
    </w:p>
    <w:p>
      <w:pPr>
        <w:shd w:fill="1A1A2E" w:val="clear"/>
        <w:spacing w:after="60" w:before="100"/>
        <w:ind w:left="200" w:right="200"/>
      </w:pPr>
      <w:r>
        <w:rPr>
          <w:rFonts w:ascii="Courier New" w:cs="Courier New" w:eastAsia="Courier New" w:hAnsi="Courier New"/>
          <w:color w:val="FFAA00"/>
          <w:sz w:val="18"/>
          <w:szCs w:val="18"/>
        </w:rPr>
        <w:t xml:space="preserve">ERP System: {erp_name}</w:t>
      </w:r>
    </w:p>
    <w:p>
      <w:pPr>
        <w:shd w:fill="1A1A2E" w:val="clear"/>
        <w:spacing w:after="40" w:before="40"/>
        <w:ind w:left="200" w:right="200"/>
      </w:pPr>
      <w:r>
        <w:rPr>
          <w:rFonts w:ascii="Courier New" w:cs="Courier New" w:eastAsia="Courier New" w:hAnsi="Courier New"/>
          <w:color w:val="FFAA00"/>
          <w:sz w:val="18"/>
          <w:szCs w:val="18"/>
        </w:rPr>
        <w:t xml:space="preserve">Document Type: {doc_type}</w:t>
      </w:r>
    </w:p>
    <w:p>
      <w:pPr>
        <w:shd w:fill="1A1A2E" w:val="clear"/>
        <w:spacing w:after="40" w:before="40"/>
        <w:ind w:left="200" w:right="200"/>
      </w:pPr>
      <w:r>
        <w:rPr>
          <w:rFonts w:ascii="Courier New" w:cs="Courier New" w:eastAsia="Courier New" w:hAnsi="Courier New"/>
          <w:color w:val="CCCCCC"/>
          <w:sz w:val="18"/>
          <w:szCs w:val="18"/>
        </w:rPr>
        <w:t xml:space="preserve"/>
      </w:r>
    </w:p>
    <w:p>
      <w:pPr>
        <w:shd w:fill="1A1A2E" w:val="clear"/>
        <w:spacing w:after="40" w:before="40"/>
        <w:ind w:left="200" w:right="200"/>
      </w:pPr>
      <w:r>
        <w:rPr>
          <w:rFonts w:ascii="Courier New" w:cs="Courier New" w:eastAsia="Courier New" w:hAnsi="Courier New"/>
          <w:b/>
          <w:bCs/>
          <w:color w:val="FFFF00"/>
          <w:sz w:val="18"/>
          <w:szCs w:val="18"/>
        </w:rPr>
        <w:t xml:space="preserve">ERP Fields to Map (unmatched):</w:t>
      </w:r>
    </w:p>
    <w:p>
      <w:pPr>
        <w:shd w:fill="1A1A2E" w:val="clear"/>
        <w:spacing w:after="40" w:before="40"/>
        <w:ind w:left="200" w:right="200"/>
      </w:pPr>
      <w:r>
        <w:rPr>
          <w:rFonts w:ascii="Courier New" w:cs="Courier New" w:eastAsia="Courier New" w:hAnsi="Courier New"/>
          <w:color w:val="88CCFF"/>
          <w:sz w:val="18"/>
          <w:szCs w:val="18"/>
        </w:rPr>
        <w:t xml:space="preserve">{erp_fields_json_array}</w:t>
      </w:r>
    </w:p>
    <w:p>
      <w:pPr>
        <w:shd w:fill="1A1A2E" w:val="clear"/>
        <w:spacing w:after="40" w:before="40"/>
        <w:ind w:left="200" w:right="200"/>
      </w:pPr>
      <w:r>
        <w:rPr>
          <w:rFonts w:ascii="Courier New" w:cs="Courier New" w:eastAsia="Courier New" w:hAnsi="Courier New"/>
          <w:color w:val="CCCCCC"/>
          <w:sz w:val="18"/>
          <w:szCs w:val="18"/>
        </w:rPr>
        <w:t xml:space="preserve"/>
      </w:r>
    </w:p>
    <w:p>
      <w:pPr>
        <w:shd w:fill="1A1A2E" w:val="clear"/>
        <w:spacing w:after="40" w:before="40"/>
        <w:ind w:left="200" w:right="200"/>
      </w:pPr>
      <w:r>
        <w:rPr>
          <w:rFonts w:ascii="Courier New" w:cs="Courier New" w:eastAsia="Courier New" w:hAnsi="Courier New"/>
          <w:b/>
          <w:bCs/>
          <w:color w:val="FFFF00"/>
          <w:sz w:val="18"/>
          <w:szCs w:val="18"/>
        </w:rPr>
        <w:t xml:space="preserve">Canonical Fields Available:</w:t>
      </w:r>
    </w:p>
    <w:p>
      <w:pPr>
        <w:shd w:fill="1A1A2E" w:val="clear"/>
        <w:spacing w:after="40" w:before="40"/>
        <w:ind w:left="200" w:right="200"/>
      </w:pPr>
      <w:r>
        <w:rPr>
          <w:rFonts w:ascii="Courier New" w:cs="Courier New" w:eastAsia="Courier New" w:hAnsi="Courier New"/>
          <w:color w:val="88CCFF"/>
          <w:sz w:val="18"/>
          <w:szCs w:val="18"/>
        </w:rPr>
        <w:t xml:space="preserve">{canonical_fields_json_array}</w:t>
      </w:r>
    </w:p>
    <w:p>
      <w:pPr>
        <w:shd w:fill="1A1A2E" w:val="clear"/>
        <w:spacing w:after="40" w:before="40"/>
        <w:ind w:left="200" w:right="200"/>
      </w:pPr>
      <w:r>
        <w:rPr>
          <w:rFonts w:ascii="Courier New" w:cs="Courier New" w:eastAsia="Courier New" w:hAnsi="Courier New"/>
          <w:color w:val="CCCCCC"/>
          <w:sz w:val="18"/>
          <w:szCs w:val="18"/>
        </w:rPr>
        <w:t xml:space="preserve"/>
      </w:r>
    </w:p>
    <w:p>
      <w:pPr>
        <w:shd w:fill="1A1A2E" w:val="clear"/>
        <w:spacing w:after="100" w:before="40"/>
        <w:ind w:left="200" w:right="200"/>
      </w:pPr>
      <w:r>
        <w:rPr>
          <w:rFonts w:ascii="Courier New" w:cs="Courier New" w:eastAsia="Courier New" w:hAnsi="Courier New"/>
          <w:color w:val="CCCCCC"/>
          <w:sz w:val="18"/>
          <w:szCs w:val="18"/>
        </w:rPr>
        <w:t xml:space="preserve">Return a JSON array of mapping objects with keys: canonical_xpath, erp_json_path, confidence (0-1), rationale.</w:t>
      </w:r>
    </w:p>
    <w:p>
      <w:pPr>
        <w:spacing w:after="100" w:before="100"/>
      </w:pPr>
      <w:r>
        <w:t xml:space="preserve"/>
      </w:r>
    </w:p>
    <w:p>
      <w:pPr>
        <w:pStyle w:val="Heading2"/>
        <w:pBdr>
          <w:bottom w:val="single" w:color="2E75B6" w:sz="6" w:space="4"/>
        </w:pBdr>
        <w:spacing w:after="160" w:before="320"/>
      </w:pPr>
      <w:r>
        <w:rPr>
          <w:rFonts w:ascii="Arial" w:cs="Arial" w:eastAsia="Arial" w:hAnsi="Arial"/>
          <w:b/>
          <w:bCs/>
          <w:color w:val="2E75B6"/>
          <w:sz w:val="28"/>
          <w:szCs w:val="28"/>
        </w:rPr>
        <w:t xml:space="preserve">4.3  Accuracy Improvement Techniques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000"/>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Technique</w:t>
            </w:r>
          </w:p>
        </w:tc>
        <w:tc>
          <w:tcPr>
            <w:tcW w:type="dxa" w:w="4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25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ERP Adapter Hints</w:t>
            </w:r>
          </w:p>
        </w:tc>
        <w:tc>
          <w:tcPr>
            <w:tcW w:type="dxa" w:w="45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Per-ERP lookup tables encode known mappings (e.g. 'otx_o2c_po_date' → OrderDateTime-Purchaser). Bypasses AI for known fields.</w:t>
            </w:r>
          </w:p>
        </w:tc>
        <w:tc>
          <w:tcPr>
            <w:tcW w:type="dxa" w:w="20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Very High</w:t>
            </w:r>
          </w:p>
        </w:tc>
      </w:tr>
      <w:tr>
        <w:tc>
          <w:tcPr>
            <w:tcW w:type="dxa" w:w="25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Sample Value Context</w:t>
            </w:r>
          </w:p>
        </w:tc>
        <w:tc>
          <w:tcPr>
            <w:tcW w:type="dxa" w:w="45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Pass the actual sample value from the ERP file to the LLM. A value like '2025-07-15' tells the AI it's a date field.</w:t>
            </w:r>
          </w:p>
        </w:tc>
        <w:tc>
          <w:tcPr>
            <w:tcW w:type="dxa" w:w="20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High</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Candidate Shortlisting</w:t>
            </w:r>
          </w:p>
        </w:tc>
        <w:tc>
          <w:tcPr>
            <w:tcW w:type="dxa" w:w="4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Don't send all 372 canonical paths to the AI. Pre-filter to top 20 candidates using string similarity, then let AI choose.</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High</w:t>
            </w:r>
          </w:p>
        </w:tc>
      </w:tr>
      <w:tr>
        <w:tc>
          <w:tcPr>
            <w:tcW w:type="dxa" w:w="25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Batching by Section</w:t>
            </w:r>
          </w:p>
        </w:tc>
        <w:tc>
          <w:tcPr>
            <w:tcW w:type="dxa" w:w="45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Map header fields against Header canonical paths only. Map items[] fields against OrderLines paths only.</w:t>
            </w:r>
          </w:p>
        </w:tc>
        <w:tc>
          <w:tcPr>
            <w:tcW w:type="dxa" w:w="20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High</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Chain-of-Thought</w:t>
            </w:r>
          </w:p>
        </w:tc>
        <w:tc>
          <w:tcPr>
            <w:tcW w:type="dxa" w:w="4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Ask the LLM to explain its reasoning before committing to a mapping. Improves accuracy on ambiguous fields.</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Medium</w:t>
            </w:r>
          </w:p>
        </w:tc>
      </w:tr>
      <w:tr>
        <w:tc>
          <w:tcPr>
            <w:tcW w:type="dxa" w:w="25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Conflict Resolution</w:t>
            </w:r>
          </w:p>
        </w:tc>
        <w:tc>
          <w:tcPr>
            <w:tcW w:type="dxa" w:w="45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If two ERP fields map to same canonical path, use confidence scores to pick the winner. Log the conflict.</w:t>
            </w:r>
          </w:p>
        </w:tc>
        <w:tc>
          <w:tcPr>
            <w:tcW w:type="dxa" w:w="20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Medium</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Human Review Flagging</w:t>
            </w:r>
          </w:p>
        </w:tc>
        <w:tc>
          <w:tcPr>
            <w:tcW w:type="dxa" w:w="4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Any mapping below 0.65 confidence is marked 'REVIEW NEEDED' in yellow in the Excel output.</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Medium</w:t>
            </w:r>
          </w:p>
        </w:tc>
      </w:tr>
    </w:tbl>
    <w:p>
      <w:pPr>
        <w:spacing w:after="100" w:before="100"/>
      </w:pPr>
      <w:r>
        <w:t xml:space="preserve"/>
      </w:r>
    </w:p>
    <w:p>
      <w:pPr>
        <w:pStyle w:val="Heading1"/>
        <w:spacing w:after="200" w:before="400"/>
      </w:pPr>
      <w:r>
        <w:rPr>
          <w:rFonts w:ascii="Arial" w:cs="Arial" w:eastAsia="Arial" w:hAnsi="Arial"/>
          <w:b/>
          <w:bCs/>
          <w:color w:val="1F4E79"/>
          <w:sz w:val="36"/>
          <w:szCs w:val="36"/>
        </w:rPr>
        <w:t xml:space="preserve">5. Excel Output Specification</w:t>
      </w:r>
    </w:p>
    <w:p>
      <w:pPr>
        <w:spacing w:after="80" w:before="80"/>
      </w:pPr>
      <w:r>
        <w:rPr>
          <w:rFonts w:ascii="Arial" w:cs="Arial" w:eastAsia="Arial" w:hAnsi="Arial"/>
          <w:sz w:val="20"/>
          <w:szCs w:val="20"/>
        </w:rPr>
        <w:t xml:space="preserve">The output must exactly match the SMR reference format. The Excel file has a single sheet named 'Sheet1' with 5 columns.</w:t>
      </w:r>
    </w:p>
    <w:p>
      <w:pPr>
        <w:spacing w:after="100" w:before="100"/>
      </w:pPr>
      <w:r>
        <w:t xml:space="preserve"/>
      </w:r>
    </w:p>
    <w:p>
      <w:pPr>
        <w:pStyle w:val="Heading2"/>
        <w:pBdr>
          <w:bottom w:val="single" w:color="2E75B6" w:sz="6" w:space="4"/>
        </w:pBdr>
        <w:spacing w:after="160" w:before="320"/>
      </w:pPr>
      <w:r>
        <w:rPr>
          <w:rFonts w:ascii="Arial" w:cs="Arial" w:eastAsia="Arial" w:hAnsi="Arial"/>
          <w:b/>
          <w:bCs/>
          <w:color w:val="2E75B6"/>
          <w:sz w:val="28"/>
          <w:szCs w:val="28"/>
        </w:rPr>
        <w:t xml:space="preserve">5.1  Column Definitions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300"/>
        <w:gridCol w:w="350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Header Name</w:t>
            </w:r>
          </w:p>
        </w:tc>
        <w:tc>
          <w:tcPr>
            <w:tcW w:type="dxa" w:w="2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Example Value</w:t>
            </w:r>
          </w:p>
        </w:tc>
        <w:tc>
          <w:tcPr>
            <w:tcW w:type="dxa" w:w="3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Rules</w:t>
            </w:r>
          </w:p>
        </w:tc>
      </w:tr>
      <w:tr>
        <w:tc>
          <w:tcPr>
            <w:tcW w:type="dxa" w:w="12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A</w:t>
            </w:r>
          </w:p>
        </w:tc>
        <w:tc>
          <w:tcPr>
            <w:tcW w:type="dxa" w:w="20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SMR Construct</w:t>
            </w:r>
          </w:p>
        </w:tc>
        <w:tc>
          <w:tcPr>
            <w:tcW w:type="dxa" w:w="23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Field / Record / Composite</w:t>
            </w:r>
          </w:p>
        </w:tc>
        <w:tc>
          <w:tcPr>
            <w:tcW w:type="dxa" w:w="35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Always 'Field' for leaf mappings. 'Record' for section headers. 'Composite' for grouped entity mappings.</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B</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Composite Mapping Reference</w:t>
            </w:r>
          </w:p>
        </w:tc>
        <w:tc>
          <w:tcPr>
            <w:tcW w:type="dxa" w:w="2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BillToEntity / ShipToEntity</w:t>
            </w:r>
          </w:p>
        </w:tc>
        <w:tc>
          <w:tcPr>
            <w:tcW w:type="dxa" w:w="3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Only populated for Composite rows. Names the grouped entity block. Empty for Field rows.</w:t>
            </w:r>
          </w:p>
        </w:tc>
      </w:tr>
      <w:tr>
        <w:tc>
          <w:tcPr>
            <w:tcW w:type="dxa" w:w="12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C</w:t>
            </w:r>
          </w:p>
        </w:tc>
        <w:tc>
          <w:tcPr>
            <w:tcW w:type="dxa" w:w="20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Dialect Term</w:t>
            </w:r>
          </w:p>
        </w:tc>
        <w:tc>
          <w:tcPr>
            <w:tcW w:type="dxa" w:w="23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Purchaser Order Number</w:t>
            </w:r>
          </w:p>
        </w:tc>
        <w:tc>
          <w:tcPr>
            <w:tcW w:type="dxa" w:w="35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Human-readable canonical field name. Derived from the canonical schema description.</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D</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Canonical XPath</w:t>
            </w:r>
          </w:p>
        </w:tc>
        <w:tc>
          <w:tcPr>
            <w:tcW w:type="dxa" w:w="2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/Documents/Document/Order/Header/References[function='OrderNumber-Purchaser']/Value</w:t>
            </w:r>
          </w:p>
        </w:tc>
        <w:tc>
          <w:tcPr>
            <w:tcW w:type="dxa" w:w="3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Full XPath with function enum embedded in bracket notation. Exactly as defined in canonical JSON schema.</w:t>
            </w:r>
          </w:p>
        </w:tc>
      </w:tr>
      <w:tr>
        <w:tc>
          <w:tcPr>
            <w:tcW w:type="dxa" w:w="12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E</w:t>
            </w:r>
          </w:p>
        </w:tc>
        <w:tc>
          <w:tcPr>
            <w:tcW w:type="dxa" w:w="20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ERP Json Path</w:t>
            </w:r>
          </w:p>
        </w:tc>
        <w:tc>
          <w:tcPr>
            <w:tcW w:type="dxa" w:w="23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JSON|JSON|External_Document_No</w:t>
            </w:r>
          </w:p>
        </w:tc>
        <w:tc>
          <w:tcPr>
            <w:tcW w:type="dxa" w:w="35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Format: JSON|JSON|{field_key} for header fields. JSON|JSON|items|{field_key} for line items. Empty if no match found.</w:t>
            </w:r>
          </w:p>
        </w:tc>
      </w:tr>
    </w:tbl>
    <w:p>
      <w:pPr>
        <w:spacing w:after="100" w:before="100"/>
      </w:pPr>
      <w:r>
        <w:t xml:space="preserve"/>
      </w:r>
    </w:p>
    <w:p>
      <w:pPr>
        <w:pStyle w:val="Heading2"/>
        <w:pBdr>
          <w:bottom w:val="single" w:color="2E75B6" w:sz="6" w:space="4"/>
        </w:pBdr>
        <w:spacing w:after="160" w:before="320"/>
      </w:pPr>
      <w:r>
        <w:rPr>
          <w:rFonts w:ascii="Arial" w:cs="Arial" w:eastAsia="Arial" w:hAnsi="Arial"/>
          <w:b/>
          <w:bCs/>
          <w:color w:val="2E75B6"/>
          <w:sz w:val="28"/>
          <w:szCs w:val="28"/>
        </w:rPr>
        <w:t xml:space="preserve">5.2  Row Type Rules</w:t>
      </w:r>
    </w:p>
    <w:p>
      <w:pPr>
        <w:pStyle w:val="ListParagraph"/>
        <w:numPr>
          <w:ilvl w:val="0"/>
          <w:numId w:val="2"/>
        </w:numPr>
        <w:spacing w:after="60" w:before="60"/>
      </w:pPr>
      <w:r>
        <w:rPr>
          <w:rFonts w:ascii="Arial" w:cs="Arial" w:eastAsia="Arial" w:hAnsi="Arial"/>
          <w:sz w:val="20"/>
          <w:szCs w:val="20"/>
        </w:rPr>
        <w:t xml:space="preserve">Record rows: SMR Construct = 'Record', Columns B/C empty, Column D = section XPath (e.g. /Documents/Document/Order/Header), Column E empty</w:t>
      </w:r>
    </w:p>
    <w:p>
      <w:pPr>
        <w:pStyle w:val="ListParagraph"/>
        <w:numPr>
          <w:ilvl w:val="0"/>
          <w:numId w:val="2"/>
        </w:numPr>
        <w:spacing w:after="60" w:before="60"/>
      </w:pPr>
      <w:r>
        <w:rPr>
          <w:rFonts w:ascii="Arial" w:cs="Arial" w:eastAsia="Arial" w:hAnsi="Arial"/>
          <w:sz w:val="20"/>
          <w:szCs w:val="20"/>
        </w:rPr>
        <w:t xml:space="preserve">Field rows: SMR Construct = 'Field', Column B empty, Columns C/D/E populated</w:t>
      </w:r>
    </w:p>
    <w:p>
      <w:pPr>
        <w:pStyle w:val="ListParagraph"/>
        <w:numPr>
          <w:ilvl w:val="0"/>
          <w:numId w:val="2"/>
        </w:numPr>
        <w:spacing w:after="60" w:before="60"/>
      </w:pPr>
      <w:r>
        <w:rPr>
          <w:rFonts w:ascii="Arial" w:cs="Arial" w:eastAsia="Arial" w:hAnsi="Arial"/>
          <w:sz w:val="20"/>
          <w:szCs w:val="20"/>
        </w:rPr>
        <w:t xml:space="preserve">Composite rows: SMR Construct = 'Composite', Column B = entity name, Column C empty, Column D = entity XPath, Column E = comma-separated ERP fields</w:t>
      </w:r>
    </w:p>
    <w:p>
      <w:pPr>
        <w:pStyle w:val="ListParagraph"/>
        <w:numPr>
          <w:ilvl w:val="0"/>
          <w:numId w:val="2"/>
        </w:numPr>
        <w:spacing w:after="60" w:before="60"/>
      </w:pPr>
      <w:r>
        <w:rPr>
          <w:rFonts w:ascii="Arial" w:cs="Arial" w:eastAsia="Arial" w:hAnsi="Arial"/>
          <w:sz w:val="20"/>
          <w:szCs w:val="20"/>
        </w:rPr>
        <w:t xml:space="preserve">Unmapped canonical fields: All columns populated except E (left blank)</w:t>
      </w:r>
    </w:p>
    <w:p>
      <w:pPr>
        <w:spacing w:after="100" w:before="100"/>
      </w:pPr>
      <w:r>
        <w:t xml:space="preserve"/>
      </w:r>
    </w:p>
    <w:p>
      <w:pPr>
        <w:pStyle w:val="Heading2"/>
        <w:pBdr>
          <w:bottom w:val="single" w:color="2E75B6" w:sz="6" w:space="4"/>
        </w:pBdr>
        <w:spacing w:after="160" w:before="320"/>
      </w:pPr>
      <w:r>
        <w:rPr>
          <w:rFonts w:ascii="Arial" w:cs="Arial" w:eastAsia="Arial" w:hAnsi="Arial"/>
          <w:b/>
          <w:bCs/>
          <w:color w:val="2E75B6"/>
          <w:sz w:val="28"/>
          <w:szCs w:val="28"/>
        </w:rPr>
        <w:t xml:space="preserve">5.3  Excel Formatting Rules</w:t>
      </w:r>
    </w:p>
    <w:p>
      <w:pPr>
        <w:pStyle w:val="ListParagraph"/>
        <w:numPr>
          <w:ilvl w:val="0"/>
          <w:numId w:val="2"/>
        </w:numPr>
        <w:spacing w:after="60" w:before="60"/>
      </w:pPr>
      <w:r>
        <w:rPr>
          <w:rFonts w:ascii="Arial" w:cs="Arial" w:eastAsia="Arial" w:hAnsi="Arial"/>
          <w:sz w:val="20"/>
          <w:szCs w:val="20"/>
        </w:rPr>
        <w:t xml:space="preserve">Header row: Bold, white text, dark blue background (#1F4E79)</w:t>
      </w:r>
    </w:p>
    <w:p>
      <w:pPr>
        <w:pStyle w:val="ListParagraph"/>
        <w:numPr>
          <w:ilvl w:val="0"/>
          <w:numId w:val="2"/>
        </w:numPr>
        <w:spacing w:after="60" w:before="60"/>
      </w:pPr>
      <w:r>
        <w:rPr>
          <w:rFonts w:ascii="Arial" w:cs="Arial" w:eastAsia="Arial" w:hAnsi="Arial"/>
          <w:sz w:val="20"/>
          <w:szCs w:val="20"/>
        </w:rPr>
        <w:t xml:space="preserve">Record rows: Bold, light grey background (#D9D9D9)</w:t>
      </w:r>
    </w:p>
    <w:p>
      <w:pPr>
        <w:pStyle w:val="ListParagraph"/>
        <w:numPr>
          <w:ilvl w:val="0"/>
          <w:numId w:val="2"/>
        </w:numPr>
        <w:spacing w:after="60" w:before="60"/>
      </w:pPr>
      <w:r>
        <w:rPr>
          <w:rFonts w:ascii="Arial" w:cs="Arial" w:eastAsia="Arial" w:hAnsi="Arial"/>
          <w:sz w:val="20"/>
          <w:szCs w:val="20"/>
        </w:rPr>
        <w:t xml:space="preserve">Composite rows: Bold italic, light blue background (#D6E4F0)</w:t>
      </w:r>
    </w:p>
    <w:p>
      <w:pPr>
        <w:pStyle w:val="ListParagraph"/>
        <w:numPr>
          <w:ilvl w:val="0"/>
          <w:numId w:val="2"/>
        </w:numPr>
        <w:spacing w:after="60" w:before="60"/>
      </w:pPr>
      <w:r>
        <w:rPr>
          <w:rFonts w:ascii="Arial" w:cs="Arial" w:eastAsia="Arial" w:hAnsi="Arial"/>
          <w:sz w:val="20"/>
          <w:szCs w:val="20"/>
        </w:rPr>
        <w:t xml:space="preserve">Mapped Field rows: White background, normal text</w:t>
      </w:r>
    </w:p>
    <w:p>
      <w:pPr>
        <w:pStyle w:val="ListParagraph"/>
        <w:numPr>
          <w:ilvl w:val="0"/>
          <w:numId w:val="2"/>
        </w:numPr>
        <w:spacing w:after="60" w:before="60"/>
      </w:pPr>
      <w:r>
        <w:rPr>
          <w:rFonts w:ascii="Arial" w:cs="Arial" w:eastAsia="Arial" w:hAnsi="Arial"/>
          <w:sz w:val="20"/>
          <w:szCs w:val="20"/>
        </w:rPr>
        <w:t xml:space="preserve">Unmapped fields (E is blank): Light yellow background (#FFF2CC) — requires attention</w:t>
      </w:r>
    </w:p>
    <w:p>
      <w:pPr>
        <w:pStyle w:val="ListParagraph"/>
        <w:numPr>
          <w:ilvl w:val="0"/>
          <w:numId w:val="2"/>
        </w:numPr>
        <w:spacing w:after="60" w:before="60"/>
      </w:pPr>
      <w:r>
        <w:rPr>
          <w:rFonts w:ascii="Arial" w:cs="Arial" w:eastAsia="Arial" w:hAnsi="Arial"/>
          <w:sz w:val="20"/>
          <w:szCs w:val="20"/>
        </w:rPr>
        <w:t xml:space="preserve">Low-confidence mappings (&lt;0.65): Light orange background (#FCE4D6) — flag for review</w:t>
      </w:r>
    </w:p>
    <w:p>
      <w:pPr>
        <w:pStyle w:val="ListParagraph"/>
        <w:numPr>
          <w:ilvl w:val="0"/>
          <w:numId w:val="2"/>
        </w:numPr>
        <w:spacing w:after="60" w:before="60"/>
      </w:pPr>
      <w:r>
        <w:rPr>
          <w:rFonts w:ascii="Arial" w:cs="Arial" w:eastAsia="Arial" w:hAnsi="Arial"/>
          <w:sz w:val="20"/>
          <w:szCs w:val="20"/>
        </w:rPr>
        <w:t xml:space="preserve">Column widths: A=12, B=22, C=35, D=80 (auto-wrap), E=45</w:t>
      </w:r>
    </w:p>
    <w:p>
      <w:pPr>
        <w:spacing w:after="100" w:before="100"/>
      </w:pPr>
      <w:r>
        <w:t xml:space="preserve"/>
      </w:r>
    </w:p>
    <w:p>
      <w:pPr>
        <w:pStyle w:val="Heading1"/>
        <w:spacing w:after="200" w:before="400"/>
      </w:pPr>
      <w:r>
        <w:rPr>
          <w:rFonts w:ascii="Arial" w:cs="Arial" w:eastAsia="Arial" w:hAnsi="Arial"/>
          <w:b/>
          <w:bCs/>
          <w:color w:val="1F4E79"/>
          <w:sz w:val="36"/>
          <w:szCs w:val="36"/>
        </w:rPr>
        <w:t xml:space="preserve">6. ERP Adapter Design</w:t>
      </w:r>
    </w:p>
    <w:p>
      <w:pPr>
        <w:spacing w:after="80" w:before="80"/>
      </w:pPr>
      <w:r>
        <w:rPr>
          <w:rFonts w:ascii="Arial" w:cs="Arial" w:eastAsia="Arial" w:hAnsi="Arial"/>
          <w:sz w:val="20"/>
          <w:szCs w:val="20"/>
        </w:rPr>
        <w:t xml:space="preserve">Each ERP has an adapter class that encodes known field mappings, field aliases, and transformation rules specific to that ERP. This is the most powerful accuracy lever — pre-wired knowledge means the AI is only called for genuinely ambiguous fields.</w:t>
      </w:r>
    </w:p>
    <w:p>
      <w:pPr>
        <w:spacing w:after="100" w:before="100"/>
      </w:pPr>
      <w:r>
        <w:t xml:space="preserve"/>
      </w:r>
    </w:p>
    <w:p>
      <w:pPr>
        <w:pStyle w:val="Heading2"/>
        <w:pBdr>
          <w:bottom w:val="single" w:color="2E75B6" w:sz="6" w:space="4"/>
        </w:pBdr>
        <w:spacing w:after="160" w:before="320"/>
      </w:pPr>
      <w:r>
        <w:rPr>
          <w:rFonts w:ascii="Arial" w:cs="Arial" w:eastAsia="Arial" w:hAnsi="Arial"/>
          <w:b/>
          <w:bCs/>
          <w:color w:val="2E75B6"/>
          <w:sz w:val="28"/>
          <w:szCs w:val="28"/>
        </w:rPr>
        <w:t xml:space="preserve">6.1  MS Dynamics BC Adapter (Current ERP — V1)</w:t>
      </w:r>
    </w:p>
    <w:p>
      <w:pPr>
        <w:spacing w:after="80" w:before="80"/>
      </w:pPr>
      <w:r>
        <w:rPr>
          <w:rFonts w:ascii="Arial" w:cs="Arial" w:eastAsia="Arial" w:hAnsi="Arial"/>
          <w:sz w:val="20"/>
          <w:szCs w:val="20"/>
        </w:rPr>
        <w:t xml:space="preserve">This is the first adapter to build. The MSDBC ERP uses a mix of standard Business Central field names (e.g. Sell_to_Customer_No) and OpenText-specific prefixed fields (e.g. otx_o2c_*).</w:t>
      </w:r>
    </w:p>
    <w:p>
      <w:pPr>
        <w:spacing w:after="100" w:before="100"/>
      </w:pPr>
      <w:r>
        <w:t xml:space="preserve"/>
      </w:r>
    </w:p>
    <w:p>
      <w:pPr>
        <w:pStyle w:val="Heading3"/>
        <w:spacing w:after="120" w:before="240"/>
      </w:pPr>
      <w:r>
        <w:rPr>
          <w:rFonts w:ascii="Arial" w:cs="Arial" w:eastAsia="Arial" w:hAnsi="Arial"/>
          <w:b/>
          <w:bCs/>
          <w:color w:val="333333"/>
          <w:sz w:val="24"/>
          <w:szCs w:val="24"/>
        </w:rPr>
        <w:t xml:space="preserve">Known Mapping Rules for MSDBC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00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MSDBC Field</w:t>
            </w:r>
          </w:p>
        </w:tc>
        <w:tc>
          <w:tcPr>
            <w:tcW w:type="dxa" w:w="4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Canonical XPath (function)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Confidence</w:t>
            </w:r>
          </w:p>
        </w:tc>
      </w:tr>
      <w:tr>
        <w:tc>
          <w:tcPr>
            <w:tcW w:type="dxa" w:w="28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External_Document_No</w:t>
            </w:r>
          </w:p>
        </w:tc>
        <w:tc>
          <w:tcPr>
            <w:tcW w:type="dxa" w:w="42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Header/References[OrderNumber-Purchaser]/Value</w:t>
            </w:r>
          </w:p>
        </w:tc>
        <w:tc>
          <w:tcPr>
            <w:tcW w:type="dxa" w:w="20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1.00</w:t>
            </w:r>
          </w:p>
        </w:tc>
      </w:tr>
      <w:tr>
        <w:tc>
          <w:tcPr>
            <w:tcW w:type="dxa" w:w="28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External_Document_No</w:t>
            </w:r>
          </w:p>
        </w:tc>
        <w:tc>
          <w:tcPr>
            <w:tcW w:type="dxa" w:w="42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Header/References[BlanketOrderNumber-Purchaser]/Value</w:t>
            </w:r>
          </w:p>
        </w:tc>
        <w:tc>
          <w:tcPr>
            <w:tcW w:type="dxa" w:w="20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1.00</w:t>
            </w:r>
          </w:p>
        </w:tc>
      </w:tr>
      <w:tr>
        <w:tc>
          <w:tcPr>
            <w:tcW w:type="dxa" w:w="28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Order_Date</w:t>
            </w:r>
          </w:p>
        </w:tc>
        <w:tc>
          <w:tcPr>
            <w:tcW w:type="dxa" w:w="42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Header/DatesAndorTimes[OrderDateTime-Purchaser]/Value</w:t>
            </w:r>
          </w:p>
        </w:tc>
        <w:tc>
          <w:tcPr>
            <w:tcW w:type="dxa" w:w="20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1.00</w:t>
            </w:r>
          </w:p>
        </w:tc>
      </w:tr>
      <w:tr>
        <w:tc>
          <w:tcPr>
            <w:tcW w:type="dxa" w:w="28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Requested_Delivery_Date</w:t>
            </w:r>
          </w:p>
        </w:tc>
        <w:tc>
          <w:tcPr>
            <w:tcW w:type="dxa" w:w="42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Header/DatesAndorTimes[RequestedDeliveryActualDateTime]/Value</w:t>
            </w:r>
          </w:p>
        </w:tc>
        <w:tc>
          <w:tcPr>
            <w:tcW w:type="dxa" w:w="20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1.00</w:t>
            </w:r>
          </w:p>
        </w:tc>
      </w:tr>
      <w:tr>
        <w:tc>
          <w:tcPr>
            <w:tcW w:type="dxa" w:w="28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Shipment_Date</w:t>
            </w:r>
          </w:p>
        </w:tc>
        <w:tc>
          <w:tcPr>
            <w:tcW w:type="dxa" w:w="42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Header/DatesAndorTimes[RequestedDespatchActualDateTime]/Value</w:t>
            </w:r>
          </w:p>
        </w:tc>
        <w:tc>
          <w:tcPr>
            <w:tcW w:type="dxa" w:w="20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1.00</w:t>
            </w:r>
          </w:p>
        </w:tc>
      </w:tr>
      <w:tr>
        <w:tc>
          <w:tcPr>
            <w:tcW w:type="dxa" w:w="28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otx_o2c_cancel_after_date</w:t>
            </w:r>
          </w:p>
        </w:tc>
        <w:tc>
          <w:tcPr>
            <w:tcW w:type="dxa" w:w="42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Header/DatesAndorTimes[RequestedDeliveryLatestDateTime]/Value</w:t>
            </w:r>
          </w:p>
        </w:tc>
        <w:tc>
          <w:tcPr>
            <w:tcW w:type="dxa" w:w="20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1.00</w:t>
            </w:r>
          </w:p>
        </w:tc>
      </w:tr>
      <w:tr>
        <w:tc>
          <w:tcPr>
            <w:tcW w:type="dxa" w:w="28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otx_o2c_delivery_inst</w:t>
            </w:r>
          </w:p>
        </w:tc>
        <w:tc>
          <w:tcPr>
            <w:tcW w:type="dxa" w:w="42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Header/TextValues[DeliveryInstructions]/Values/Value</w:t>
            </w:r>
          </w:p>
        </w:tc>
        <w:tc>
          <w:tcPr>
            <w:tcW w:type="dxa" w:w="20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1.00</w:t>
            </w:r>
          </w:p>
        </w:tc>
      </w:tr>
      <w:tr>
        <w:tc>
          <w:tcPr>
            <w:tcW w:type="dxa" w:w="28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otx_o2c_general_inst</w:t>
            </w:r>
          </w:p>
        </w:tc>
        <w:tc>
          <w:tcPr>
            <w:tcW w:type="dxa" w:w="42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Header/TextValues[GeneralInstructions]/Values/Value</w:t>
            </w:r>
          </w:p>
        </w:tc>
        <w:tc>
          <w:tcPr>
            <w:tcW w:type="dxa" w:w="20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1.00</w:t>
            </w:r>
          </w:p>
        </w:tc>
      </w:tr>
      <w:tr>
        <w:tc>
          <w:tcPr>
            <w:tcW w:type="dxa" w:w="28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otx_o2c_merch_code</w:t>
            </w:r>
          </w:p>
        </w:tc>
        <w:tc>
          <w:tcPr>
            <w:tcW w:type="dxa" w:w="42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Header/TextValues[MerchandiseTypeCode]/Values/Value</w:t>
            </w:r>
          </w:p>
        </w:tc>
        <w:tc>
          <w:tcPr>
            <w:tcW w:type="dxa" w:w="20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1.00</w:t>
            </w:r>
          </w:p>
        </w:tc>
      </w:tr>
      <w:tr>
        <w:tc>
          <w:tcPr>
            <w:tcW w:type="dxa" w:w="28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otx_o2c_merch_desc</w:t>
            </w:r>
          </w:p>
        </w:tc>
        <w:tc>
          <w:tcPr>
            <w:tcW w:type="dxa" w:w="42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Header/TextValues[MerchandiseTypeCode]/Description</w:t>
            </w:r>
          </w:p>
        </w:tc>
        <w:tc>
          <w:tcPr>
            <w:tcW w:type="dxa" w:w="20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1.00</w:t>
            </w:r>
          </w:p>
        </w:tc>
      </w:tr>
      <w:tr>
        <w:tc>
          <w:tcPr>
            <w:tcW w:type="dxa" w:w="28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Currency_Code</w:t>
            </w:r>
          </w:p>
        </w:tc>
        <w:tc>
          <w:tcPr>
            <w:tcW w:type="dxa" w:w="42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Header/Currencies[OrderCurrency]/Code</w:t>
            </w:r>
          </w:p>
        </w:tc>
        <w:tc>
          <w:tcPr>
            <w:tcW w:type="dxa" w:w="20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1.00</w:t>
            </w:r>
          </w:p>
        </w:tc>
      </w:tr>
      <w:tr>
        <w:tc>
          <w:tcPr>
            <w:tcW w:type="dxa" w:w="28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Payment_Terms_Code</w:t>
            </w:r>
          </w:p>
        </w:tc>
        <w:tc>
          <w:tcPr>
            <w:tcW w:type="dxa" w:w="42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Header/PaymentTerms/TermsTypeCode</w:t>
            </w:r>
          </w:p>
        </w:tc>
        <w:tc>
          <w:tcPr>
            <w:tcW w:type="dxa" w:w="20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1.00</w:t>
            </w:r>
          </w:p>
        </w:tc>
      </w:tr>
      <w:tr>
        <w:tc>
          <w:tcPr>
            <w:tcW w:type="dxa" w:w="28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Payment_Method_Code</w:t>
            </w:r>
          </w:p>
        </w:tc>
        <w:tc>
          <w:tcPr>
            <w:tcW w:type="dxa" w:w="42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Header/FobTerms/PaymentMethodCode</w:t>
            </w:r>
          </w:p>
        </w:tc>
        <w:tc>
          <w:tcPr>
            <w:tcW w:type="dxa" w:w="20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1.00</w:t>
            </w:r>
          </w:p>
        </w:tc>
      </w:tr>
      <w:tr>
        <w:tc>
          <w:tcPr>
            <w:tcW w:type="dxa" w:w="28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otx_o2c_scac</w:t>
            </w:r>
          </w:p>
        </w:tc>
        <w:tc>
          <w:tcPr>
            <w:tcW w:type="dxa" w:w="42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Header/Entities[Carrier]/Identifiers[SCAC]/Value</w:t>
            </w:r>
          </w:p>
        </w:tc>
        <w:tc>
          <w:tcPr>
            <w:tcW w:type="dxa" w:w="20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1.00</w:t>
            </w:r>
          </w:p>
        </w:tc>
      </w:tr>
      <w:tr>
        <w:tc>
          <w:tcPr>
            <w:tcW w:type="dxa" w:w="28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items.Quantity</w:t>
            </w:r>
          </w:p>
        </w:tc>
        <w:tc>
          <w:tcPr>
            <w:tcW w:type="dxa" w:w="42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Details/OrderLines/Quantities[OrderQuantity]/QuantityValue</w:t>
            </w:r>
          </w:p>
        </w:tc>
        <w:tc>
          <w:tcPr>
            <w:tcW w:type="dxa" w:w="20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1.00</w:t>
            </w:r>
          </w:p>
        </w:tc>
      </w:tr>
      <w:tr>
        <w:tc>
          <w:tcPr>
            <w:tcW w:type="dxa" w:w="28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items.Unit_Price</w:t>
            </w:r>
          </w:p>
        </w:tc>
        <w:tc>
          <w:tcPr>
            <w:tcW w:type="dxa" w:w="42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Details/OrderLines/Product/MonetaryAmounts[SpecifiedPrice]/Value</w:t>
            </w:r>
          </w:p>
        </w:tc>
        <w:tc>
          <w:tcPr>
            <w:tcW w:type="dxa" w:w="20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1.00</w:t>
            </w:r>
          </w:p>
        </w:tc>
      </w:tr>
      <w:tr>
        <w:tc>
          <w:tcPr>
            <w:tcW w:type="dxa" w:w="28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items.otx_o2c_po_item_no</w:t>
            </w:r>
          </w:p>
        </w:tc>
        <w:tc>
          <w:tcPr>
            <w:tcW w:type="dxa" w:w="42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Details/OrderLines/TextValues[OriginalLineReference]/Values/Value</w:t>
            </w:r>
          </w:p>
        </w:tc>
        <w:tc>
          <w:tcPr>
            <w:tcW w:type="dxa" w:w="20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1.00</w:t>
            </w:r>
          </w:p>
        </w:tc>
      </w:tr>
    </w:tbl>
    <w:p>
      <w:pPr>
        <w:spacing w:after="100" w:before="100"/>
      </w:pPr>
      <w:r>
        <w:t xml:space="preserve"/>
      </w:r>
    </w:p>
    <w:p>
      <w:pPr>
        <w:pStyle w:val="Heading2"/>
        <w:pBdr>
          <w:bottom w:val="single" w:color="2E75B6" w:sz="6" w:space="4"/>
        </w:pBdr>
        <w:spacing w:after="160" w:before="320"/>
      </w:pPr>
      <w:r>
        <w:rPr>
          <w:rFonts w:ascii="Arial" w:cs="Arial" w:eastAsia="Arial" w:hAnsi="Arial"/>
          <w:b/>
          <w:bCs/>
          <w:color w:val="2E75B6"/>
          <w:sz w:val="28"/>
          <w:szCs w:val="28"/>
        </w:rPr>
        <w:t xml:space="preserve">6.2  Adding Future ERPs</w:t>
      </w:r>
    </w:p>
    <w:p>
      <w:pPr>
        <w:pStyle w:val="ListParagraph"/>
        <w:numPr>
          <w:ilvl w:val="0"/>
          <w:numId w:val="2"/>
        </w:numPr>
        <w:spacing w:after="60" w:before="60"/>
      </w:pPr>
      <w:r>
        <w:rPr>
          <w:rFonts w:ascii="Arial" w:cs="Arial" w:eastAsia="Arial" w:hAnsi="Arial"/>
          <w:sz w:val="20"/>
          <w:szCs w:val="20"/>
        </w:rPr>
        <w:t xml:space="preserve">Create a new file in erp_adapters/ (e.g. sap_adapter.py)</w:t>
      </w:r>
    </w:p>
    <w:p>
      <w:pPr>
        <w:pStyle w:val="ListParagraph"/>
        <w:numPr>
          <w:ilvl w:val="0"/>
          <w:numId w:val="2"/>
        </w:numPr>
        <w:spacing w:after="60" w:before="60"/>
      </w:pPr>
      <w:r>
        <w:rPr>
          <w:rFonts w:ascii="Arial" w:cs="Arial" w:eastAsia="Arial" w:hAnsi="Arial"/>
          <w:sz w:val="20"/>
          <w:szCs w:val="20"/>
        </w:rPr>
        <w:t xml:space="preserve">Implement the same interface: get_known_mappings(), get_field_aliases(), get_doc_type_hint()</w:t>
      </w:r>
    </w:p>
    <w:p>
      <w:pPr>
        <w:pStyle w:val="ListParagraph"/>
        <w:numPr>
          <w:ilvl w:val="0"/>
          <w:numId w:val="2"/>
        </w:numPr>
        <w:spacing w:after="60" w:before="60"/>
      </w:pPr>
      <w:r>
        <w:rPr>
          <w:rFonts w:ascii="Arial" w:cs="Arial" w:eastAsia="Arial" w:hAnsi="Arial"/>
          <w:sz w:val="20"/>
          <w:szCs w:val="20"/>
        </w:rPr>
        <w:t xml:space="preserve">Register the new adapter in config/erp_registry.json</w:t>
      </w:r>
    </w:p>
    <w:p>
      <w:pPr>
        <w:pStyle w:val="ListParagraph"/>
        <w:numPr>
          <w:ilvl w:val="0"/>
          <w:numId w:val="2"/>
        </w:numPr>
        <w:spacing w:after="60" w:before="60"/>
      </w:pPr>
      <w:r>
        <w:rPr>
          <w:rFonts w:ascii="Arial" w:cs="Arial" w:eastAsia="Arial" w:hAnsi="Arial"/>
          <w:sz w:val="20"/>
          <w:szCs w:val="20"/>
        </w:rPr>
        <w:t xml:space="preserve">The rest of the pipeline (AI engine, validator, Excel writer) requires zero changes</w:t>
      </w:r>
    </w:p>
    <w:p>
      <w:pPr>
        <w:spacing w:after="100" w:before="100"/>
      </w:pPr>
      <w:r>
        <w:t xml:space="preserve"/>
      </w:r>
    </w:p>
    <w:p>
      <w:pPr>
        <w:pStyle w:val="Heading1"/>
        <w:spacing w:after="200" w:before="400"/>
      </w:pPr>
      <w:r>
        <w:rPr>
          <w:rFonts w:ascii="Arial" w:cs="Arial" w:eastAsia="Arial" w:hAnsi="Arial"/>
          <w:b/>
          <w:bCs/>
          <w:color w:val="1F4E79"/>
          <w:sz w:val="36"/>
          <w:szCs w:val="36"/>
        </w:rPr>
        <w:t xml:space="preserve">7. Implementation Guide — Step by Step</w:t>
      </w:r>
    </w:p>
    <w:p>
      <w:pPr>
        <w:pStyle w:val="Heading2"/>
        <w:pBdr>
          <w:bottom w:val="single" w:color="2E75B6" w:sz="6" w:space="4"/>
        </w:pBdr>
        <w:spacing w:after="160" w:before="320"/>
      </w:pPr>
      <w:r>
        <w:rPr>
          <w:rFonts w:ascii="Arial" w:cs="Arial" w:eastAsia="Arial" w:hAnsi="Arial"/>
          <w:b/>
          <w:bCs/>
          <w:color w:val="2E75B6"/>
          <w:sz w:val="28"/>
          <w:szCs w:val="28"/>
        </w:rPr>
        <w:t xml:space="preserve">Phase 1 — Foundation (Week 1)</w:t>
      </w:r>
    </w:p>
    <w:p>
      <w:pPr>
        <w:pStyle w:val="ListParagraph"/>
        <w:numPr>
          <w:ilvl w:val="0"/>
          <w:numId w:val="3"/>
        </w:numPr>
        <w:spacing w:after="60" w:before="60"/>
      </w:pPr>
      <w:r>
        <w:rPr>
          <w:rFonts w:ascii="Arial" w:cs="Arial" w:eastAsia="Arial" w:hAnsi="Arial"/>
          <w:sz w:val="20"/>
          <w:szCs w:val="20"/>
        </w:rPr>
        <w:t xml:space="preserve">Set up the project folder structure as defined in Section 2.2</w:t>
      </w:r>
    </w:p>
    <w:p>
      <w:pPr>
        <w:pStyle w:val="ListParagraph"/>
        <w:numPr>
          <w:ilvl w:val="0"/>
          <w:numId w:val="3"/>
        </w:numPr>
        <w:spacing w:after="60" w:before="60"/>
      </w:pPr>
      <w:r>
        <w:rPr>
          <w:rFonts w:ascii="Arial" w:cs="Arial" w:eastAsia="Arial" w:hAnsi="Arial"/>
          <w:sz w:val="20"/>
          <w:szCs w:val="20"/>
        </w:rPr>
        <w:t xml:space="preserve">Implement canonical_parser.py — extract all XPaths, dialect terms, function enums, and data types from the fixed canonical JSON schema</w:t>
      </w:r>
    </w:p>
    <w:p>
      <w:pPr>
        <w:pStyle w:val="ListParagraph"/>
        <w:numPr>
          <w:ilvl w:val="0"/>
          <w:numId w:val="3"/>
        </w:numPr>
        <w:spacing w:after="60" w:before="60"/>
      </w:pPr>
      <w:r>
        <w:rPr>
          <w:rFonts w:ascii="Arial" w:cs="Arial" w:eastAsia="Arial" w:hAnsi="Arial"/>
          <w:sz w:val="20"/>
          <w:szCs w:val="20"/>
        </w:rPr>
        <w:t xml:space="preserve">Implement erp_parser.py — flatten nested ERP JSON, detect header vs. line-level, extract sample values</w:t>
      </w:r>
    </w:p>
    <w:p>
      <w:pPr>
        <w:pStyle w:val="ListParagraph"/>
        <w:numPr>
          <w:ilvl w:val="0"/>
          <w:numId w:val="3"/>
        </w:numPr>
        <w:spacing w:after="60" w:before="60"/>
      </w:pPr>
      <w:r>
        <w:rPr>
          <w:rFonts w:ascii="Arial" w:cs="Arial" w:eastAsia="Arial" w:hAnsi="Arial"/>
          <w:sz w:val="20"/>
          <w:szCs w:val="20"/>
        </w:rPr>
        <w:t xml:space="preserve">Write unit tests for both parsers using the provided MSDBC sample file</w:t>
      </w:r>
    </w:p>
    <w:p>
      <w:pPr>
        <w:pStyle w:val="ListParagraph"/>
        <w:numPr>
          <w:ilvl w:val="0"/>
          <w:numId w:val="3"/>
        </w:numPr>
        <w:spacing w:after="60" w:before="60"/>
      </w:pPr>
      <w:r>
        <w:rPr>
          <w:rFonts w:ascii="Arial" w:cs="Arial" w:eastAsia="Arial" w:hAnsi="Arial"/>
          <w:sz w:val="20"/>
          <w:szCs w:val="20"/>
        </w:rPr>
        <w:t xml:space="preserve">Build erp_registry.json with MS Dynamics BC as the first entry</w:t>
      </w:r>
    </w:p>
    <w:p>
      <w:pPr>
        <w:spacing w:after="100" w:before="100"/>
      </w:pPr>
      <w:r>
        <w:t xml:space="preserve"/>
      </w:r>
    </w:p>
    <w:p>
      <w:pPr>
        <w:pStyle w:val="Heading2"/>
        <w:pBdr>
          <w:bottom w:val="single" w:color="2E75B6" w:sz="6" w:space="4"/>
        </w:pBdr>
        <w:spacing w:after="160" w:before="320"/>
      </w:pPr>
      <w:r>
        <w:rPr>
          <w:rFonts w:ascii="Arial" w:cs="Arial" w:eastAsia="Arial" w:hAnsi="Arial"/>
          <w:b/>
          <w:bCs/>
          <w:color w:val="2E75B6"/>
          <w:sz w:val="28"/>
          <w:szCs w:val="28"/>
        </w:rPr>
        <w:t xml:space="preserve">Phase 2 — AI Mapping Engine (Week 2)</w:t>
      </w:r>
    </w:p>
    <w:p>
      <w:pPr>
        <w:pStyle w:val="ListParagraph"/>
        <w:numPr>
          <w:ilvl w:val="0"/>
          <w:numId w:val="3"/>
        </w:numPr>
        <w:spacing w:after="60" w:before="60"/>
      </w:pPr>
      <w:r>
        <w:rPr>
          <w:rFonts w:ascii="Arial" w:cs="Arial" w:eastAsia="Arial" w:hAnsi="Arial"/>
          <w:sz w:val="20"/>
          <w:szCs w:val="20"/>
        </w:rPr>
        <w:t xml:space="preserve">Build prompt_builder.py — assemble the system + user prompts from Section 4.2</w:t>
      </w:r>
    </w:p>
    <w:p>
      <w:pPr>
        <w:pStyle w:val="ListParagraph"/>
        <w:numPr>
          <w:ilvl w:val="0"/>
          <w:numId w:val="3"/>
        </w:numPr>
        <w:spacing w:after="60" w:before="60"/>
      </w:pPr>
      <w:r>
        <w:rPr>
          <w:rFonts w:ascii="Arial" w:cs="Arial" w:eastAsia="Arial" w:hAnsi="Arial"/>
          <w:sz w:val="20"/>
          <w:szCs w:val="20"/>
        </w:rPr>
        <w:t xml:space="preserve">Build msdbc_adapter.py — encode all known mappings from Section 6.1</w:t>
      </w:r>
    </w:p>
    <w:p>
      <w:pPr>
        <w:pStyle w:val="ListParagraph"/>
        <w:numPr>
          <w:ilvl w:val="0"/>
          <w:numId w:val="3"/>
        </w:numPr>
        <w:spacing w:after="60" w:before="60"/>
      </w:pPr>
      <w:r>
        <w:rPr>
          <w:rFonts w:ascii="Arial" w:cs="Arial" w:eastAsia="Arial" w:hAnsi="Arial"/>
          <w:sz w:val="20"/>
          <w:szCs w:val="20"/>
        </w:rPr>
        <w:t xml:space="preserve">Build mapper.py — implement the 3-layer strategy: L1 adapter lookup → L2 AI → L3 fuzzy</w:t>
      </w:r>
    </w:p>
    <w:p>
      <w:pPr>
        <w:pStyle w:val="ListParagraph"/>
        <w:numPr>
          <w:ilvl w:val="0"/>
          <w:numId w:val="3"/>
        </w:numPr>
        <w:spacing w:after="60" w:before="60"/>
      </w:pPr>
      <w:r>
        <w:rPr>
          <w:rFonts w:ascii="Arial" w:cs="Arial" w:eastAsia="Arial" w:hAnsi="Arial"/>
          <w:sz w:val="20"/>
          <w:szCs w:val="20"/>
        </w:rPr>
        <w:t xml:space="preserve">Build confidence_scorer.py — normalize scores, detect conflicts, flag low-confidence</w:t>
      </w:r>
    </w:p>
    <w:p>
      <w:pPr>
        <w:pStyle w:val="ListParagraph"/>
        <w:numPr>
          <w:ilvl w:val="0"/>
          <w:numId w:val="3"/>
        </w:numPr>
        <w:spacing w:after="60" w:before="60"/>
      </w:pPr>
      <w:r>
        <w:rPr>
          <w:rFonts w:ascii="Arial" w:cs="Arial" w:eastAsia="Arial" w:hAnsi="Arial"/>
          <w:sz w:val="20"/>
          <w:szCs w:val="20"/>
        </w:rPr>
        <w:t xml:space="preserve">Test the full pipeline end-to-end with the MSDBC sample file</w:t>
      </w:r>
    </w:p>
    <w:p>
      <w:pPr>
        <w:spacing w:after="100" w:before="100"/>
      </w:pPr>
      <w:r>
        <w:t xml:space="preserve"/>
      </w:r>
    </w:p>
    <w:p>
      <w:pPr>
        <w:pStyle w:val="Heading2"/>
        <w:pBdr>
          <w:bottom w:val="single" w:color="2E75B6" w:sz="6" w:space="4"/>
        </w:pBdr>
        <w:spacing w:after="160" w:before="320"/>
      </w:pPr>
      <w:r>
        <w:rPr>
          <w:rFonts w:ascii="Arial" w:cs="Arial" w:eastAsia="Arial" w:hAnsi="Arial"/>
          <w:b/>
          <w:bCs/>
          <w:color w:val="2E75B6"/>
          <w:sz w:val="28"/>
          <w:szCs w:val="28"/>
        </w:rPr>
        <w:t xml:space="preserve">Phase 3 — Output &amp; UI (Week 3)</w:t>
      </w:r>
    </w:p>
    <w:p>
      <w:pPr>
        <w:pStyle w:val="ListParagraph"/>
        <w:numPr>
          <w:ilvl w:val="0"/>
          <w:numId w:val="3"/>
        </w:numPr>
        <w:spacing w:after="60" w:before="60"/>
      </w:pPr>
      <w:r>
        <w:rPr>
          <w:rFonts w:ascii="Arial" w:cs="Arial" w:eastAsia="Arial" w:hAnsi="Arial"/>
          <w:sz w:val="20"/>
          <w:szCs w:val="20"/>
        </w:rPr>
        <w:t xml:space="preserve">Build excel_writer.py — generate the 5-column SMR Excel with formatting rules from Section 5</w:t>
      </w:r>
    </w:p>
    <w:p>
      <w:pPr>
        <w:pStyle w:val="ListParagraph"/>
        <w:numPr>
          <w:ilvl w:val="0"/>
          <w:numId w:val="3"/>
        </w:numPr>
        <w:spacing w:after="60" w:before="60"/>
      </w:pPr>
      <w:r>
        <w:rPr>
          <w:rFonts w:ascii="Arial" w:cs="Arial" w:eastAsia="Arial" w:hAnsi="Arial"/>
          <w:sz w:val="20"/>
          <w:szCs w:val="20"/>
        </w:rPr>
        <w:t xml:space="preserve">Validate output against the reference SMR_CANONICAL_TO_MSDBC_ERP_JSON_V1.xlsx</w:t>
      </w:r>
    </w:p>
    <w:p>
      <w:pPr>
        <w:pStyle w:val="ListParagraph"/>
        <w:numPr>
          <w:ilvl w:val="0"/>
          <w:numId w:val="3"/>
        </w:numPr>
        <w:spacing w:after="60" w:before="60"/>
      </w:pPr>
      <w:r>
        <w:rPr>
          <w:rFonts w:ascii="Arial" w:cs="Arial" w:eastAsia="Arial" w:hAnsi="Arial"/>
          <w:sz w:val="20"/>
          <w:szCs w:val="20"/>
        </w:rPr>
        <w:t xml:space="preserve">Build main.py — the CLI/API entry point wiring all stages together</w:t>
      </w:r>
    </w:p>
    <w:p>
      <w:pPr>
        <w:pStyle w:val="ListParagraph"/>
        <w:numPr>
          <w:ilvl w:val="0"/>
          <w:numId w:val="3"/>
        </w:numPr>
        <w:spacing w:after="60" w:before="60"/>
      </w:pPr>
      <w:r>
        <w:rPr>
          <w:rFonts w:ascii="Arial" w:cs="Arial" w:eastAsia="Arial" w:hAnsi="Arial"/>
          <w:sz w:val="20"/>
          <w:szCs w:val="20"/>
        </w:rPr>
        <w:t xml:space="preserve">Add basic web UI (Streamlit or FastAPI) for ERP selection + file upload</w:t>
      </w:r>
    </w:p>
    <w:p>
      <w:pPr>
        <w:pStyle w:val="ListParagraph"/>
        <w:numPr>
          <w:ilvl w:val="0"/>
          <w:numId w:val="3"/>
        </w:numPr>
        <w:spacing w:after="60" w:before="60"/>
      </w:pPr>
      <w:r>
        <w:rPr>
          <w:rFonts w:ascii="Arial" w:cs="Arial" w:eastAsia="Arial" w:hAnsi="Arial"/>
          <w:sz w:val="20"/>
          <w:szCs w:val="20"/>
        </w:rPr>
        <w:t xml:space="preserve">QA pass: run 3 sample files, verify mapping accuracy &gt; 90%</w:t>
      </w:r>
    </w:p>
    <w:p>
      <w:pPr>
        <w:spacing w:after="100" w:before="100"/>
      </w:pPr>
      <w:r>
        <w:t xml:space="preserve"/>
      </w:r>
    </w:p>
    <w:p>
      <w:pPr>
        <w:pStyle w:val="Heading2"/>
        <w:pBdr>
          <w:bottom w:val="single" w:color="2E75B6" w:sz="6" w:space="4"/>
        </w:pBdr>
        <w:spacing w:after="160" w:before="320"/>
      </w:pPr>
      <w:r>
        <w:rPr>
          <w:rFonts w:ascii="Arial" w:cs="Arial" w:eastAsia="Arial" w:hAnsi="Arial"/>
          <w:b/>
          <w:bCs/>
          <w:color w:val="2E75B6"/>
          <w:sz w:val="28"/>
          <w:szCs w:val="28"/>
        </w:rPr>
        <w:t xml:space="preserve">Phase 4 — Scale &amp; Harden (Week 4)</w:t>
      </w:r>
    </w:p>
    <w:p>
      <w:pPr>
        <w:pStyle w:val="ListParagraph"/>
        <w:numPr>
          <w:ilvl w:val="0"/>
          <w:numId w:val="3"/>
        </w:numPr>
        <w:spacing w:after="60" w:before="60"/>
      </w:pPr>
      <w:r>
        <w:rPr>
          <w:rFonts w:ascii="Arial" w:cs="Arial" w:eastAsia="Arial" w:hAnsi="Arial"/>
          <w:sz w:val="20"/>
          <w:szCs w:val="20"/>
        </w:rPr>
        <w:t xml:space="preserve">Add SAP adapter (erp_adapters/sap_adapter.py) with known SAP field mappings</w:t>
      </w:r>
    </w:p>
    <w:p>
      <w:pPr>
        <w:pStyle w:val="ListParagraph"/>
        <w:numPr>
          <w:ilvl w:val="0"/>
          <w:numId w:val="3"/>
        </w:numPr>
        <w:spacing w:after="60" w:before="60"/>
      </w:pPr>
      <w:r>
        <w:rPr>
          <w:rFonts w:ascii="Arial" w:cs="Arial" w:eastAsia="Arial" w:hAnsi="Arial"/>
          <w:sz w:val="20"/>
          <w:szCs w:val="20"/>
        </w:rPr>
        <w:t xml:space="preserve">Add the remaining 3 canonical schemas: Purchase Order, Invoice, Shipment</w:t>
      </w:r>
    </w:p>
    <w:p>
      <w:pPr>
        <w:pStyle w:val="ListParagraph"/>
        <w:numPr>
          <w:ilvl w:val="0"/>
          <w:numId w:val="3"/>
        </w:numPr>
        <w:spacing w:after="60" w:before="60"/>
      </w:pPr>
      <w:r>
        <w:rPr>
          <w:rFonts w:ascii="Arial" w:cs="Arial" w:eastAsia="Arial" w:hAnsi="Arial"/>
          <w:sz w:val="20"/>
          <w:szCs w:val="20"/>
        </w:rPr>
        <w:t xml:space="preserve">Add document type auto-detection based on ERP JSON field signatures</w:t>
      </w:r>
    </w:p>
    <w:p>
      <w:pPr>
        <w:pStyle w:val="ListParagraph"/>
        <w:numPr>
          <w:ilvl w:val="0"/>
          <w:numId w:val="3"/>
        </w:numPr>
        <w:spacing w:after="60" w:before="60"/>
      </w:pPr>
      <w:r>
        <w:rPr>
          <w:rFonts w:ascii="Arial" w:cs="Arial" w:eastAsia="Arial" w:hAnsi="Arial"/>
          <w:sz w:val="20"/>
          <w:szCs w:val="20"/>
        </w:rPr>
        <w:t xml:space="preserve">Add a mapping review UI screen showing confidence scores and allowing manual overrides</w:t>
      </w:r>
    </w:p>
    <w:p>
      <w:pPr>
        <w:pStyle w:val="ListParagraph"/>
        <w:numPr>
          <w:ilvl w:val="0"/>
          <w:numId w:val="3"/>
        </w:numPr>
        <w:spacing w:after="60" w:before="60"/>
      </w:pPr>
      <w:r>
        <w:rPr>
          <w:rFonts w:ascii="Arial" w:cs="Arial" w:eastAsia="Arial" w:hAnsi="Arial"/>
          <w:sz w:val="20"/>
          <w:szCs w:val="20"/>
        </w:rPr>
        <w:t xml:space="preserve">Performance test: ensure full mapping completes in &lt; 30 seconds for a 200-field ERP file</w:t>
      </w:r>
    </w:p>
    <w:p>
      <w:pPr>
        <w:spacing w:after="100" w:before="100"/>
      </w:pPr>
      <w:r>
        <w:t xml:space="preserve"/>
      </w:r>
    </w:p>
    <w:p>
      <w:pPr>
        <w:pStyle w:val="Heading1"/>
        <w:spacing w:after="200" w:before="400"/>
      </w:pPr>
      <w:r>
        <w:rPr>
          <w:rFonts w:ascii="Arial" w:cs="Arial" w:eastAsia="Arial" w:hAnsi="Arial"/>
          <w:b/>
          <w:bCs/>
          <w:color w:val="1F4E79"/>
          <w:sz w:val="36"/>
          <w:szCs w:val="36"/>
        </w:rPr>
        <w:t xml:space="preserve">8. Complete AI Prompt — Ready to Use</w:t>
      </w:r>
    </w:p>
    <w:p>
      <w:pPr>
        <w:spacing w:after="80" w:before="80"/>
      </w:pPr>
      <w:r>
        <w:rPr>
          <w:rFonts w:ascii="Arial" w:cs="Arial" w:eastAsia="Arial" w:hAnsi="Arial"/>
          <w:sz w:val="20"/>
          <w:szCs w:val="20"/>
        </w:rPr>
        <w:t xml:space="preserve">This is the exact prompt to paste into your AI system (Claude, GPT-4, etc.) to perform a mapping run. Copy this, replace the placeholders, and send.</w:t>
      </w:r>
    </w:p>
    <w:p>
      <w:pPr>
        <w:spacing w:after="100" w:before="100"/>
      </w:pPr>
      <w:r>
        <w:t xml:space="preserve"/>
      </w:r>
    </w:p>
    <w:p>
      <w:pPr>
        <w:shd w:fill="0D1117" w:val="clear"/>
        <w:spacing w:after="40" w:before="100"/>
        <w:ind w:left="200" w:right="200"/>
      </w:pPr>
      <w:r>
        <w:rPr>
          <w:rFonts w:ascii="Courier New" w:cs="Courier New" w:eastAsia="Courier New" w:hAnsi="Courier New"/>
          <w:color w:val="444444"/>
          <w:sz w:val="16"/>
          <w:szCs w:val="16"/>
        </w:rPr>
        <w:t xml:space="preserve">══════════════════════════════════════════════</w:t>
      </w:r>
    </w:p>
    <w:p>
      <w:pPr>
        <w:shd w:fill="0D1117" w:val="clear"/>
        <w:spacing w:after="40" w:before="40"/>
        <w:ind w:left="200" w:right="200"/>
      </w:pPr>
      <w:r>
        <w:rPr>
          <w:rFonts w:ascii="Courier New" w:cs="Courier New" w:eastAsia="Courier New" w:hAnsi="Courier New"/>
          <w:b/>
          <w:bCs/>
          <w:color w:val="FFFF00"/>
          <w:sz w:val="18"/>
          <w:szCs w:val="18"/>
        </w:rPr>
        <w:t xml:space="preserve">SYSTEM:</w:t>
      </w:r>
    </w:p>
    <w:p>
      <w:pPr>
        <w:shd w:fill="0D1117" w:val="clear"/>
        <w:spacing w:after="40" w:before="40"/>
        <w:ind w:left="200" w:right="200"/>
      </w:pPr>
      <w:r>
        <w:rPr>
          <w:rFonts w:ascii="Courier New" w:cs="Courier New" w:eastAsia="Courier New" w:hAnsi="Courier New"/>
          <w:color w:val="E6E6E6"/>
          <w:sz w:val="18"/>
          <w:szCs w:val="18"/>
        </w:rPr>
        <w:t xml:space="preserve">You are an expert EDI/ERP integration engineer specialising in OpenText</w:t>
      </w:r>
    </w:p>
    <w:p>
      <w:pPr>
        <w:shd w:fill="0D1117" w:val="clear"/>
        <w:spacing w:after="40" w:before="40"/>
        <w:ind w:left="200" w:right="200"/>
      </w:pPr>
      <w:r>
        <w:rPr>
          <w:rFonts w:ascii="Courier New" w:cs="Courier New" w:eastAsia="Courier New" w:hAnsi="Courier New"/>
          <w:color w:val="E6E6E6"/>
          <w:sz w:val="18"/>
          <w:szCs w:val="18"/>
        </w:rPr>
        <w:t xml:space="preserve">BNStandard canonical schemas (Order, Invoice, PO, Shipment).</w:t>
      </w:r>
    </w:p>
    <w:p>
      <w:pPr>
        <w:shd w:fill="0D1117" w:val="clear"/>
        <w:spacing w:after="40" w:before="60"/>
        <w:ind w:left="200" w:right="200"/>
      </w:pPr>
      <w:r>
        <w:rPr>
          <w:rFonts w:ascii="Courier New" w:cs="Courier New" w:eastAsia="Courier New" w:hAnsi="Courier New"/>
          <w:b/>
          <w:bCs/>
          <w:color w:val="00BFFF"/>
          <w:sz w:val="18"/>
          <w:szCs w:val="18"/>
        </w:rPr>
        <w:t xml:space="preserve">MAPPING RULES:</w:t>
      </w:r>
    </w:p>
    <w:p>
      <w:pPr>
        <w:shd w:fill="0D1117" w:val="clear"/>
        <w:spacing w:after="30" w:before="30"/>
        <w:ind w:left="200" w:right="200"/>
      </w:pPr>
      <w:r>
        <w:rPr>
          <w:rFonts w:ascii="Courier New" w:cs="Courier New" w:eastAsia="Courier New" w:hAnsi="Courier New"/>
          <w:color w:val="AAFFAA"/>
          <w:sz w:val="18"/>
          <w:szCs w:val="18"/>
        </w:rPr>
        <w:t xml:space="preserve">R1: Match on BUSINESS MEANING, not just field name similarity.</w:t>
      </w:r>
    </w:p>
    <w:p>
      <w:pPr>
        <w:shd w:fill="0D1117" w:val="clear"/>
        <w:spacing w:after="30" w:before="30"/>
        <w:ind w:left="200" w:right="200"/>
      </w:pPr>
      <w:r>
        <w:rPr>
          <w:rFonts w:ascii="Courier New" w:cs="Courier New" w:eastAsia="Courier New" w:hAnsi="Courier New"/>
          <w:color w:val="AAFFAA"/>
          <w:sz w:val="18"/>
          <w:szCs w:val="18"/>
        </w:rPr>
        <w:t xml:space="preserve">R2: One ERP field CAN map to many canonical paths.</w:t>
      </w:r>
    </w:p>
    <w:p>
      <w:pPr>
        <w:shd w:fill="0D1117" w:val="clear"/>
        <w:spacing w:after="30" w:before="30"/>
        <w:ind w:left="200" w:right="200"/>
      </w:pPr>
      <w:r>
        <w:rPr>
          <w:rFonts w:ascii="Courier New" w:cs="Courier New" w:eastAsia="Courier New" w:hAnsi="Courier New"/>
          <w:color w:val="AAFFAA"/>
          <w:sz w:val="18"/>
          <w:szCs w:val="18"/>
        </w:rPr>
        <w:t xml:space="preserve">R3: One canonical path maps to AT MOST one ERP field.</w:t>
      </w:r>
    </w:p>
    <w:p>
      <w:pPr>
        <w:shd w:fill="0D1117" w:val="clear"/>
        <w:spacing w:after="30" w:before="30"/>
        <w:ind w:left="200" w:right="200"/>
      </w:pPr>
      <w:r>
        <w:rPr>
          <w:rFonts w:ascii="Courier New" w:cs="Courier New" w:eastAsia="Courier New" w:hAnsi="Courier New"/>
          <w:color w:val="AAFFAA"/>
          <w:sz w:val="18"/>
          <w:szCs w:val="18"/>
        </w:rPr>
        <w:t xml:space="preserve">R4: Header ERP fields → Header canonical paths ONLY.</w:t>
      </w:r>
    </w:p>
    <w:p>
      <w:pPr>
        <w:shd w:fill="0D1117" w:val="clear"/>
        <w:spacing w:after="30" w:before="30"/>
        <w:ind w:left="200" w:right="200"/>
      </w:pPr>
      <w:r>
        <w:rPr>
          <w:rFonts w:ascii="Courier New" w:cs="Courier New" w:eastAsia="Courier New" w:hAnsi="Courier New"/>
          <w:color w:val="AAFFAA"/>
          <w:sz w:val="18"/>
          <w:szCs w:val="18"/>
        </w:rPr>
        <w:t xml:space="preserve">R5: items[] ERP fields → OrderLines canonical paths ONLY.</w:t>
      </w:r>
    </w:p>
    <w:p>
      <w:pPr>
        <w:shd w:fill="0D1117" w:val="clear"/>
        <w:spacing w:after="30" w:before="30"/>
        <w:ind w:left="200" w:right="200"/>
      </w:pPr>
      <w:r>
        <w:rPr>
          <w:rFonts w:ascii="Courier New" w:cs="Courier New" w:eastAsia="Courier New" w:hAnsi="Courier New"/>
          <w:color w:val="AAFFAA"/>
          <w:sz w:val="18"/>
          <w:szCs w:val="18"/>
        </w:rPr>
        <w:t xml:space="preserve">R6: If ambiguous, prefer the mapping with the most specific function enum.</w:t>
      </w:r>
    </w:p>
    <w:p>
      <w:pPr>
        <w:shd w:fill="0D1117" w:val="clear"/>
        <w:spacing w:after="30" w:before="30"/>
        <w:ind w:left="200" w:right="200"/>
      </w:pPr>
      <w:r>
        <w:rPr>
          <w:rFonts w:ascii="Courier New" w:cs="Courier New" w:eastAsia="Courier New" w:hAnsi="Courier New"/>
          <w:color w:val="AAFFAA"/>
          <w:sz w:val="18"/>
          <w:szCs w:val="18"/>
        </w:rPr>
        <w:t xml:space="preserve">R7: Output strict JSON. No text outside the JSON block.</w:t>
      </w:r>
    </w:p>
    <w:p>
      <w:pPr>
        <w:shd w:fill="0D1117" w:val="clear"/>
        <w:spacing w:after="30" w:before="30"/>
        <w:ind w:left="200" w:right="200"/>
      </w:pPr>
      <w:r>
        <w:rPr>
          <w:rFonts w:ascii="Courier New" w:cs="Courier New" w:eastAsia="Courier New" w:hAnsi="Courier New"/>
          <w:color w:val="AAFFAA"/>
          <w:sz w:val="18"/>
          <w:szCs w:val="18"/>
        </w:rPr>
        <w:t xml:space="preserve">R8: Set confidence 0.0 and erp_json_path='' if no match exists.</w:t>
      </w:r>
    </w:p>
    <w:p>
      <w:pPr>
        <w:shd w:fill="0D1117" w:val="clear"/>
        <w:spacing w:after="40" w:before="60"/>
        <w:ind w:left="200" w:right="200"/>
      </w:pPr>
      <w:r>
        <w:rPr>
          <w:rFonts w:ascii="Courier New" w:cs="Courier New" w:eastAsia="Courier New" w:hAnsi="Courier New"/>
          <w:color w:val="444444"/>
          <w:sz w:val="16"/>
          <w:szCs w:val="16"/>
        </w:rPr>
        <w:t xml:space="preserve">══════════════════════════════════════════════</w:t>
      </w:r>
    </w:p>
    <w:p>
      <w:pPr>
        <w:shd w:fill="0D1117" w:val="clear"/>
        <w:spacing w:after="40" w:before="40"/>
        <w:ind w:left="200" w:right="200"/>
      </w:pPr>
      <w:r>
        <w:rPr>
          <w:rFonts w:ascii="Courier New" w:cs="Courier New" w:eastAsia="Courier New" w:hAnsi="Courier New"/>
          <w:b/>
          <w:bCs/>
          <w:color w:val="FFFF00"/>
          <w:sz w:val="18"/>
          <w:szCs w:val="18"/>
        </w:rPr>
        <w:t xml:space="preserve">USER:</w:t>
      </w:r>
    </w:p>
    <w:p>
      <w:pPr>
        <w:shd w:fill="0D1117" w:val="clear"/>
        <w:spacing w:after="40" w:before="40"/>
        <w:ind w:left="200" w:right="200"/>
      </w:pPr>
      <w:r>
        <w:rPr>
          <w:rFonts w:ascii="Courier New" w:cs="Courier New" w:eastAsia="Courier New" w:hAnsi="Courier New"/>
          <w:color w:val="FFAA44"/>
          <w:sz w:val="18"/>
          <w:szCs w:val="18"/>
        </w:rPr>
        <w:t xml:space="preserve">ERP: {ERP_NAME}  |  Document Type: {DOC_TYPE}</w:t>
      </w:r>
    </w:p>
    <w:p>
      <w:pPr>
        <w:shd w:fill="0D1117" w:val="clear"/>
        <w:spacing w:after="40" w:before="60"/>
        <w:ind w:left="200" w:right="200"/>
      </w:pPr>
      <w:r>
        <w:rPr>
          <w:rFonts w:ascii="Courier New" w:cs="Courier New" w:eastAsia="Courier New" w:hAnsi="Courier New"/>
          <w:color w:val="00BFFF"/>
          <w:sz w:val="18"/>
          <w:szCs w:val="18"/>
        </w:rPr>
        <w:t xml:space="preserve">ERP FIELDS (JSON array):</w:t>
      </w:r>
    </w:p>
    <w:p>
      <w:pPr>
        <w:shd w:fill="0D1117" w:val="clear"/>
        <w:spacing w:after="40" w:before="40"/>
        <w:ind w:left="200" w:right="200"/>
      </w:pPr>
      <w:r>
        <w:rPr>
          <w:rFonts w:ascii="Courier New" w:cs="Courier New" w:eastAsia="Courier New" w:hAnsi="Courier New"/>
          <w:color w:val="88CCFF"/>
          <w:sz w:val="16"/>
          <w:szCs w:val="16"/>
        </w:rPr>
        <w:t xml:space="preserve">[{"field_key":"External_Document_No","json_path":"JSON|JSON|External_Document_No",</w:t>
      </w:r>
    </w:p>
    <w:p>
      <w:pPr>
        <w:shd w:fill="0D1117" w:val="clear"/>
        <w:spacing w:after="40" w:before="40"/>
        <w:ind w:left="200" w:right="200"/>
      </w:pPr>
      <w:r>
        <w:rPr>
          <w:rFonts w:ascii="Courier New" w:cs="Courier New" w:eastAsia="Courier New" w:hAnsi="Courier New"/>
          <w:color w:val="88CCFF"/>
          <w:sz w:val="16"/>
          <w:szCs w:val="16"/>
        </w:rPr>
        <w:t xml:space="preserve">  "level":"header","sample_value":"55622167","data_type":"string"}, ...]</w:t>
      </w:r>
    </w:p>
    <w:p>
      <w:pPr>
        <w:shd w:fill="0D1117" w:val="clear"/>
        <w:spacing w:after="40" w:before="60"/>
        <w:ind w:left="200" w:right="200"/>
      </w:pPr>
      <w:r>
        <w:rPr>
          <w:rFonts w:ascii="Courier New" w:cs="Courier New" w:eastAsia="Courier New" w:hAnsi="Courier New"/>
          <w:color w:val="00BFFF"/>
          <w:sz w:val="18"/>
          <w:szCs w:val="18"/>
        </w:rPr>
        <w:t xml:space="preserve">CANONICAL FIELDS (JSON array):</w:t>
      </w:r>
    </w:p>
    <w:p>
      <w:pPr>
        <w:shd w:fill="0D1117" w:val="clear"/>
        <w:spacing w:after="40" w:before="40"/>
        <w:ind w:left="200" w:right="200"/>
      </w:pPr>
      <w:r>
        <w:rPr>
          <w:rFonts w:ascii="Courier New" w:cs="Courier New" w:eastAsia="Courier New" w:hAnsi="Courier New"/>
          <w:color w:val="88CCFF"/>
          <w:sz w:val="16"/>
          <w:szCs w:val="16"/>
        </w:rPr>
        <w:t xml:space="preserve">[{"xpath":"/Documents/Document/Order/Header/References</w:t>
      </w:r>
    </w:p>
    <w:p>
      <w:pPr>
        <w:shd w:fill="0D1117" w:val="clear"/>
        <w:spacing w:after="40" w:before="40"/>
        <w:ind w:left="200" w:right="200"/>
      </w:pPr>
      <w:r>
        <w:rPr>
          <w:rFonts w:ascii="Courier New" w:cs="Courier New" w:eastAsia="Courier New" w:hAnsi="Courier New"/>
          <w:color w:val="88CCFF"/>
          <w:sz w:val="16"/>
          <w:szCs w:val="16"/>
        </w:rPr>
        <w:t xml:space="preserve">  [function='OrderNumber-Purchaser']/Value",</w:t>
      </w:r>
    </w:p>
    <w:p>
      <w:pPr>
        <w:shd w:fill="0D1117" w:val="clear"/>
        <w:spacing w:after="40" w:before="40"/>
        <w:ind w:left="200" w:right="200"/>
      </w:pPr>
      <w:r>
        <w:rPr>
          <w:rFonts w:ascii="Courier New" w:cs="Courier New" w:eastAsia="Courier New" w:hAnsi="Courier New"/>
          <w:color w:val="88CCFF"/>
          <w:sz w:val="16"/>
          <w:szCs w:val="16"/>
        </w:rPr>
        <w:t xml:space="preserve">  "dialect_term":"Purchaser Order Number","section":"Header"}, ...]</w:t>
      </w:r>
    </w:p>
    <w:p>
      <w:pPr>
        <w:shd w:fill="0D1117" w:val="clear"/>
        <w:spacing w:after="40" w:before="60"/>
        <w:ind w:left="200" w:right="200"/>
      </w:pPr>
      <w:r>
        <w:rPr>
          <w:rFonts w:ascii="Courier New" w:cs="Courier New" w:eastAsia="Courier New" w:hAnsi="Courier New"/>
          <w:color w:val="00BFFF"/>
          <w:sz w:val="18"/>
          <w:szCs w:val="18"/>
        </w:rPr>
        <w:t xml:space="preserve">EXPECTED OUTPUT FORMAT:</w:t>
      </w:r>
    </w:p>
    <w:p>
      <w:pPr>
        <w:shd w:fill="0D1117" w:val="clear"/>
        <w:spacing w:after="40" w:before="40"/>
        <w:ind w:left="200" w:right="200"/>
      </w:pPr>
      <w:r>
        <w:rPr>
          <w:rFonts w:ascii="Courier New" w:cs="Courier New" w:eastAsia="Courier New" w:hAnsi="Courier New"/>
          <w:color w:val="88CCFF"/>
          <w:sz w:val="16"/>
          <w:szCs w:val="16"/>
        </w:rPr>
        <w:t xml:space="preserve">[{"canonical_xpath": "...", "erp_json_path": "JSON|JSON|...",</w:t>
      </w:r>
    </w:p>
    <w:p>
      <w:pPr>
        <w:shd w:fill="0D1117" w:val="clear"/>
        <w:spacing w:after="100" w:before="40"/>
        <w:ind w:left="200" w:right="200"/>
      </w:pPr>
      <w:r>
        <w:rPr>
          <w:rFonts w:ascii="Courier New" w:cs="Courier New" w:eastAsia="Courier New" w:hAnsi="Courier New"/>
          <w:color w:val="88CCFF"/>
          <w:sz w:val="16"/>
          <w:szCs w:val="16"/>
        </w:rPr>
        <w:t xml:space="preserve">  "confidence": 0.95, "rationale": "..."}]</w:t>
      </w:r>
    </w:p>
    <w:p>
      <w:pPr>
        <w:spacing w:after="100" w:before="100"/>
      </w:pPr>
      <w:r>
        <w:t xml:space="preserve"/>
      </w:r>
    </w:p>
    <w:p>
      <w:pPr>
        <w:pStyle w:val="Heading1"/>
        <w:spacing w:after="200" w:before="400"/>
      </w:pPr>
      <w:r>
        <w:rPr>
          <w:rFonts w:ascii="Arial" w:cs="Arial" w:eastAsia="Arial" w:hAnsi="Arial"/>
          <w:b/>
          <w:bCs/>
          <w:color w:val="1F4E79"/>
          <w:sz w:val="36"/>
          <w:szCs w:val="36"/>
        </w:rPr>
        <w:t xml:space="preserve">9. Quality &amp; Testing</w:t>
      </w:r>
    </w:p>
    <w:p>
      <w:pPr>
        <w:pStyle w:val="Heading2"/>
        <w:pBdr>
          <w:bottom w:val="single" w:color="2E75B6" w:sz="6" w:space="4"/>
        </w:pBdr>
        <w:spacing w:after="160" w:before="320"/>
      </w:pPr>
      <w:r>
        <w:rPr>
          <w:rFonts w:ascii="Arial" w:cs="Arial" w:eastAsia="Arial" w:hAnsi="Arial"/>
          <w:b/>
          <w:bCs/>
          <w:color w:val="2E75B6"/>
          <w:sz w:val="28"/>
          <w:szCs w:val="28"/>
        </w:rPr>
        <w:t xml:space="preserve">9.1  Accuracy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40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Measurement Method</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8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Correct mapping rate</w:t>
            </w:r>
          </w:p>
        </w:tc>
        <w:tc>
          <w:tcPr>
            <w:tcW w:type="dxa" w:w="24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&gt; 90% of all fields</w:t>
            </w:r>
          </w:p>
        </w:tc>
        <w:tc>
          <w:tcPr>
            <w:tcW w:type="dxa" w:w="24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Compare against reference SMR Excel</w:t>
            </w:r>
          </w:p>
        </w:tc>
        <w:tc>
          <w:tcPr>
            <w:tcW w:type="dxa" w:w="14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Critical</w:t>
            </w:r>
          </w:p>
        </w:tc>
      </w:tr>
      <w:tr>
        <w:tc>
          <w:tcPr>
            <w:tcW w:type="dxa" w:w="28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Unmapped required fields</w:t>
            </w:r>
          </w:p>
        </w:tc>
        <w:tc>
          <w:tcPr>
            <w:tcW w:type="dxa" w:w="24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0 required canonical fields missed</w:t>
            </w:r>
          </w:p>
        </w:tc>
        <w:tc>
          <w:tcPr>
            <w:tcW w:type="dxa" w:w="24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Cross-check canonical 'required' array</w:t>
            </w:r>
          </w:p>
        </w:tc>
        <w:tc>
          <w:tcPr>
            <w:tcW w:type="dxa" w:w="14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r>
              <w:rPr>
                <w:rFonts w:ascii="Arial" w:cs="Arial" w:eastAsia="Arial" w:hAnsi="Arial"/>
                <w:sz w:val="18"/>
                <w:szCs w:val="18"/>
              </w:rPr>
              <w:t xml:space="preserve">Critical</w:t>
            </w:r>
          </w:p>
        </w:tc>
      </w:tr>
      <w:tr>
        <w:tc>
          <w:tcPr>
            <w:tcW w:type="dxa" w:w="28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Duplicate canonical paths</w:t>
            </w:r>
          </w:p>
        </w:tc>
        <w:tc>
          <w:tcPr>
            <w:tcW w:type="dxa" w:w="24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0 duplicates</w:t>
            </w:r>
          </w:p>
        </w:tc>
        <w:tc>
          <w:tcPr>
            <w:tcW w:type="dxa" w:w="24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Assert uniqueness of column D values</w:t>
            </w:r>
          </w:p>
        </w:tc>
        <w:tc>
          <w:tcPr>
            <w:tcW w:type="dxa" w:w="14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High</w:t>
            </w:r>
          </w:p>
        </w:tc>
      </w:tr>
      <w:tr>
        <w:tc>
          <w:tcPr>
            <w:tcW w:type="dxa" w:w="28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ERP JSON path format</w:t>
            </w:r>
          </w:p>
        </w:tc>
        <w:tc>
          <w:tcPr>
            <w:tcW w:type="dxa" w:w="24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100% follow JSON|JSON|... convention</w:t>
            </w:r>
          </w:p>
        </w:tc>
        <w:tc>
          <w:tcPr>
            <w:tcW w:type="dxa" w:w="24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Regex validation on column E</w:t>
            </w:r>
          </w:p>
        </w:tc>
        <w:tc>
          <w:tcPr>
            <w:tcW w:type="dxa" w:w="14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High</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Processing time</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&lt; 30 seconds per file</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Timed integration test</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Medium</w:t>
            </w:r>
          </w:p>
        </w:tc>
      </w:tr>
    </w:tbl>
    <w:p>
      <w:pPr>
        <w:spacing w:after="100" w:before="100"/>
      </w:pPr>
      <w:r>
        <w:t xml:space="preserve"/>
      </w:r>
    </w:p>
    <w:p>
      <w:pPr>
        <w:pStyle w:val="Heading2"/>
        <w:pBdr>
          <w:bottom w:val="single" w:color="2E75B6" w:sz="6" w:space="4"/>
        </w:pBdr>
        <w:spacing w:after="160" w:before="320"/>
      </w:pPr>
      <w:r>
        <w:rPr>
          <w:rFonts w:ascii="Arial" w:cs="Arial" w:eastAsia="Arial" w:hAnsi="Arial"/>
          <w:b/>
          <w:bCs/>
          <w:color w:val="2E75B6"/>
          <w:sz w:val="28"/>
          <w:szCs w:val="28"/>
        </w:rPr>
        <w:t xml:space="preserve">9.2  Test Cases to Build</w:t>
      </w:r>
    </w:p>
    <w:p>
      <w:pPr>
        <w:pStyle w:val="ListParagraph"/>
        <w:numPr>
          <w:ilvl w:val="0"/>
          <w:numId w:val="2"/>
        </w:numPr>
        <w:spacing w:after="60" w:before="60"/>
      </w:pPr>
      <w:r>
        <w:rPr>
          <w:rFonts w:ascii="Arial" w:cs="Arial" w:eastAsia="Arial" w:hAnsi="Arial"/>
          <w:sz w:val="20"/>
          <w:szCs w:val="20"/>
        </w:rPr>
        <w:t xml:space="preserve">TC-01: Full MSDBC Sales Order — verify output matches reference Excel row-for-row</w:t>
      </w:r>
    </w:p>
    <w:p>
      <w:pPr>
        <w:pStyle w:val="ListParagraph"/>
        <w:numPr>
          <w:ilvl w:val="0"/>
          <w:numId w:val="2"/>
        </w:numPr>
        <w:spacing w:after="60" w:before="60"/>
      </w:pPr>
      <w:r>
        <w:rPr>
          <w:rFonts w:ascii="Arial" w:cs="Arial" w:eastAsia="Arial" w:hAnsi="Arial"/>
          <w:sz w:val="20"/>
          <w:szCs w:val="20"/>
        </w:rPr>
        <w:t xml:space="preserve">TC-02: Empty/null ERP fields — ensure agent handles gracefully, marks as unmapped</w:t>
      </w:r>
    </w:p>
    <w:p>
      <w:pPr>
        <w:pStyle w:val="ListParagraph"/>
        <w:numPr>
          <w:ilvl w:val="0"/>
          <w:numId w:val="2"/>
        </w:numPr>
        <w:spacing w:after="60" w:before="60"/>
      </w:pPr>
      <w:r>
        <w:rPr>
          <w:rFonts w:ascii="Arial" w:cs="Arial" w:eastAsia="Arial" w:hAnsi="Arial"/>
          <w:sz w:val="20"/>
          <w:szCs w:val="20"/>
        </w:rPr>
        <w:t xml:space="preserve">TC-03: Multi-line order (2+ items) — verify line-level fields are correctly prefixed</w:t>
      </w:r>
    </w:p>
    <w:p>
      <w:pPr>
        <w:pStyle w:val="ListParagraph"/>
        <w:numPr>
          <w:ilvl w:val="0"/>
          <w:numId w:val="2"/>
        </w:numPr>
        <w:spacing w:after="60" w:before="60"/>
      </w:pPr>
      <w:r>
        <w:rPr>
          <w:rFonts w:ascii="Arial" w:cs="Arial" w:eastAsia="Arial" w:hAnsi="Arial"/>
          <w:sz w:val="20"/>
          <w:szCs w:val="20"/>
        </w:rPr>
        <w:t xml:space="preserve">TC-04: Unknown ERP field names — verify AI fallback produces reasonable matches</w:t>
      </w:r>
    </w:p>
    <w:p>
      <w:pPr>
        <w:pStyle w:val="ListParagraph"/>
        <w:numPr>
          <w:ilvl w:val="0"/>
          <w:numId w:val="2"/>
        </w:numPr>
        <w:spacing w:after="60" w:before="60"/>
      </w:pPr>
      <w:r>
        <w:rPr>
          <w:rFonts w:ascii="Arial" w:cs="Arial" w:eastAsia="Arial" w:hAnsi="Arial"/>
          <w:sz w:val="20"/>
          <w:szCs w:val="20"/>
        </w:rPr>
        <w:t xml:space="preserve">TC-05: Wrong document type upload — verify error message is clear and informative</w:t>
      </w:r>
    </w:p>
    <w:p>
      <w:pPr>
        <w:spacing w:after="100" w:before="100"/>
      </w:pPr>
      <w:r>
        <w:t xml:space="preserve"/>
      </w:r>
    </w:p>
    <w:p>
      <w:pPr>
        <w:pStyle w:val="Heading1"/>
        <w:spacing w:after="200" w:before="400"/>
      </w:pPr>
      <w:r>
        <w:rPr>
          <w:rFonts w:ascii="Arial" w:cs="Arial" w:eastAsia="Arial" w:hAnsi="Arial"/>
          <w:b/>
          <w:bCs/>
          <w:color w:val="1F4E79"/>
          <w:sz w:val="36"/>
          <w:szCs w:val="36"/>
        </w:rPr>
        <w:t xml:space="preserve">10. Quick Reference Card</w:t>
      </w:r>
    </w:p>
    <w:p>
      <w:pPr>
        <w:pStyle w:val="Heading2"/>
        <w:pBdr>
          <w:bottom w:val="single" w:color="2E75B6" w:sz="6" w:space="4"/>
        </w:pBdr>
        <w:spacing w:after="160" w:before="320"/>
      </w:pPr>
      <w:r>
        <w:rPr>
          <w:rFonts w:ascii="Arial" w:cs="Arial" w:eastAsia="Arial" w:hAnsi="Arial"/>
          <w:b/>
          <w:bCs/>
          <w:color w:val="2E75B6"/>
          <w:sz w:val="28"/>
          <w:szCs w:val="28"/>
        </w:rPr>
        <w:t xml:space="preserve">ERP JSON Path Format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0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 Location</w:t>
            </w:r>
          </w:p>
        </w:tc>
        <w:tc>
          <w:tcPr>
            <w:tcW w:type="dxa" w:w="3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3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2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Header field</w:t>
            </w:r>
          </w:p>
        </w:tc>
        <w:tc>
          <w:tcPr>
            <w:tcW w:type="dxa" w:w="33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JSON|JSON|{field_name}</w:t>
            </w:r>
          </w:p>
        </w:tc>
        <w:tc>
          <w:tcPr>
            <w:tcW w:type="dxa" w:w="35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JSON|JSON|External_Document_No</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Line item field</w:t>
            </w:r>
          </w:p>
        </w:tc>
        <w:tc>
          <w:tcPr>
            <w:tcW w:type="dxa" w:w="3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JSON|JSON|items|{field_name}</w:t>
            </w:r>
          </w:p>
        </w:tc>
        <w:tc>
          <w:tcPr>
            <w:tcW w:type="dxa" w:w="3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JSON|JSON|items|Quantity</w:t>
            </w:r>
          </w:p>
        </w:tc>
      </w:tr>
      <w:tr>
        <w:tc>
          <w:tcPr>
            <w:tcW w:type="dxa" w:w="22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Composite (multiple)</w:t>
            </w:r>
          </w:p>
        </w:tc>
        <w:tc>
          <w:tcPr>
            <w:tcW w:type="dxa" w:w="33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JSON|JSON|field1,JSON|JSON|field2</w:t>
            </w:r>
          </w:p>
        </w:tc>
        <w:tc>
          <w:tcPr>
            <w:tcW w:type="dxa" w:w="35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JSON|JSON|Bill_to_Name,JSON|JSON|Bill_to_Address</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No match / unmapped</w:t>
            </w:r>
          </w:p>
        </w:tc>
        <w:tc>
          <w:tcPr>
            <w:tcW w:type="dxa" w:w="3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(empty string)</w:t>
            </w:r>
          </w:p>
        </w:tc>
        <w:tc>
          <w:tcPr>
            <w:tcW w:type="dxa" w:w="3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
            </w:r>
          </w:p>
        </w:tc>
      </w:tr>
    </w:tbl>
    <w:p>
      <w:pPr>
        <w:spacing w:after="100" w:before="100"/>
      </w:pPr>
      <w:r>
        <w:t xml:space="preserve"/>
      </w:r>
    </w:p>
    <w:p>
      <w:pPr>
        <w:pStyle w:val="Heading2"/>
        <w:pBdr>
          <w:bottom w:val="single" w:color="2E75B6" w:sz="6" w:space="4"/>
        </w:pBdr>
        <w:spacing w:after="160" w:before="320"/>
      </w:pPr>
      <w:r>
        <w:rPr>
          <w:rFonts w:ascii="Arial" w:cs="Arial" w:eastAsia="Arial" w:hAnsi="Arial"/>
          <w:b/>
          <w:bCs/>
          <w:color w:val="2E75B6"/>
          <w:sz w:val="28"/>
          <w:szCs w:val="28"/>
        </w:rPr>
        <w:t xml:space="preserve">Canonical XPath Format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Pattern</w:t>
            </w:r>
          </w:p>
        </w:tc>
        <w:tc>
          <w:tcPr>
            <w:tcW w:type="dxa" w:w="7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Example XPath</w:t>
            </w:r>
          </w:p>
        </w:tc>
      </w:tr>
      <w:tr>
        <w:tc>
          <w:tcPr>
            <w:tcW w:type="dxa" w:w="20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Simple field</w:t>
            </w:r>
          </w:p>
        </w:tc>
        <w:tc>
          <w:tcPr>
            <w:tcW w:type="dxa" w:w="70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/Documents/Document/Order/Header/Status</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Array with function enum</w:t>
            </w:r>
          </w:p>
        </w:tc>
        <w:tc>
          <w:tcPr>
            <w:tcW w:type="dxa" w:w="7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/Documents/Document/Order/Header/References[function='OrderNumber-Purchaser']/Value</w:t>
            </w:r>
          </w:p>
        </w:tc>
      </w:tr>
      <w:tr>
        <w:tc>
          <w:tcPr>
            <w:tcW w:type="dxa" w:w="20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Nested entity field</w:t>
            </w:r>
          </w:p>
        </w:tc>
        <w:tc>
          <w:tcPr>
            <w:tcW w:type="dxa" w:w="7000"/>
            <w:tcBorders>
              <w:top w:val="single" w:color="BFBFBF" w:sz="4"/>
              <w:left w:val="single" w:color="BFBFBF" w:sz="4"/>
              <w:bottom w:val="single" w:color="BFBFBF" w:sz="4"/>
              <w:right w:val="single" w:color="BFBFBF" w:sz="4"/>
            </w:tcBorders>
            <w:shd w:fill="E8F4FD" w:val="clear"/>
            <w:tcMar>
              <w:top w:type="dxa" w:w="60"/>
              <w:left w:type="dxa" w:w="120"/>
              <w:bottom w:type="dxa" w:w="60"/>
              <w:right w:type="dxa" w:w="120"/>
            </w:tcMar>
          </w:tcPr>
          <w:p>
            <w:r>
              <w:rPr>
                <w:rFonts w:ascii="Arial" w:cs="Arial" w:eastAsia="Arial" w:hAnsi="Arial"/>
                <w:sz w:val="18"/>
                <w:szCs w:val="18"/>
              </w:rPr>
              <w:t xml:space="preserve">/Documents/Document/Order/Header/Entities[function='BillTo']/Identifiers[function='GLN']/Value</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Line-level field</w:t>
            </w:r>
          </w:p>
        </w:tc>
        <w:tc>
          <w:tcPr>
            <w:tcW w:type="dxa" w:w="7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sz w:val="18"/>
                <w:szCs w:val="18"/>
              </w:rPr>
              <w:t xml:space="preserve">/Documents/Document/Order/Details/OrderLines/Quantities[function='OrderQuantity']/QuantityValue</w:t>
            </w:r>
          </w:p>
        </w:tc>
      </w:tr>
    </w:tbl>
    <w:p>
      <w:pPr>
        <w:spacing w:after="100" w:before="100"/>
      </w:pPr>
      <w:r>
        <w:t xml:space="preserve"/>
      </w:r>
    </w:p>
    <w:p>
      <w:pPr>
        <w:pBdr>
          <w:top w:val="single" w:color="2E75B6" w:sz="6" w:space="4"/>
        </w:pBdr>
        <w:spacing w:after="100" w:before="200"/>
      </w:pPr>
      <w:r>
        <w:rPr>
          <w:rFonts w:ascii="Arial" w:cs="Arial" w:eastAsia="Arial" w:hAnsi="Arial"/>
          <w:color w:val="888888"/>
          <w:sz w:val="16"/>
          <w:szCs w:val="16"/>
        </w:rPr>
        <w:t xml:space="preserve">ERP-to-Canonical Field Mapping Agent  |  Project Specification v1.0  |  OpenText BNStandard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2026-04-16T04:51:14.830Z</dcterms:created>
  <dcterms:modified xsi:type="dcterms:W3CDTF">2026-04-16T04:51:14.832Z</dcterms:modified>
</cp:coreProperties>
</file>

<file path=docProps/custom.xml><?xml version="1.0" encoding="utf-8"?>
<Properties xmlns="http://schemas.openxmlformats.org/officeDocument/2006/custom-properties" xmlns:vt="http://schemas.openxmlformats.org/officeDocument/2006/docPropsVTypes"/>
</file>