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0"/>
        <w:jc w:val="center"/>
      </w:pPr>
      <w:r>
        <w:rPr>
          <w:b/>
          <w:bCs/>
          <w:color w:val="1A5276"/>
          <w:sz w:val="72"/>
          <w:szCs w:val="72"/>
        </w:rPr>
        <w:t xml:space="preserve">PrevDengue</w:t>
      </w:r>
    </w:p>
    <w:p>
      <w:pPr>
        <w:spacing w:after="120" w:before="0"/>
        <w:jc w:val="center"/>
      </w:pPr>
      <w:r>
        <w:rPr>
          <w:color w:val="2E86C1"/>
          <w:sz w:val="36"/>
          <w:szCs w:val="36"/>
        </w:rPr>
        <w:t xml:space="preserve">Product Requirements Document</w:t>
      </w:r>
    </w:p>
    <w:p>
      <w:pPr>
        <w:pBdr>
          <w:bottom w:val="single" w:color="2E86C1" w:sz="6" w:space="1"/>
        </w:pBdr>
        <w:spacing w:after="240" w:before="0"/>
        <w:jc w:val="center"/>
      </w:pPr>
      <w:r>
        <w:t xml:space="preserve"/>
      </w:r>
    </w:p>
    <w:p>
      <w:pPr>
        <w:spacing w:after="60" w:before="120"/>
        <w:jc w:val="center"/>
      </w:pPr>
      <w:r>
        <w:rPr>
          <w:i/>
          <w:iCs/>
          <w:color w:val="1C2833"/>
          <w:sz w:val="28"/>
          <w:szCs w:val="28"/>
        </w:rPr>
        <w:t xml:space="preserve">ML-Powered Dengue Outbreak Prediction &amp; Early Warning System</w:t>
      </w:r>
    </w:p>
    <w:p>
      <w:pPr>
        <w:spacing w:after="60" w:before="60"/>
        <w:jc w:val="center"/>
      </w:pPr>
      <w:r>
        <w:rPr>
          <w:color w:val="555555"/>
          <w:sz w:val="24"/>
          <w:szCs w:val="24"/>
        </w:rPr>
        <w:t xml:space="preserve">Designed for Bangladesh — All 64 Districts</w:t>
      </w:r>
    </w:p>
    <w:p>
      <w:pPr>
        <w:spacing w:after="60" w:before="60"/>
      </w:pPr>
      <w:r>
        <w:t xml:space="preserve"/>
      </w:r>
    </w:p>
    <w:p>
      <w:pPr>
        <w:spacing w:after="6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bCs/>
                <w:sz w:val="20"/>
                <w:szCs w:val="20"/>
              </w:rPr>
              <w:t xml:space="preserve">Version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1.0 — Initial Release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bCs/>
                <w:sz w:val="20"/>
                <w:szCs w:val="20"/>
              </w:rPr>
              <w:t xml:space="preserve">Status</w:t>
            </w:r>
          </w:p>
        </w:tc>
        <w:tc>
          <w:tcPr>
            <w:tcW w:type="dxa" w:w="4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Draft for Review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bCs/>
                <w:sz w:val="20"/>
                <w:szCs w:val="20"/>
              </w:rPr>
              <w:t xml:space="preserve">Date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June 2026</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bCs/>
                <w:sz w:val="20"/>
                <w:szCs w:val="20"/>
              </w:rPr>
              <w:t xml:space="preserve">Classification</w:t>
            </w:r>
          </w:p>
        </w:tc>
        <w:tc>
          <w:tcPr>
            <w:tcW w:type="dxa" w:w="4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Internal — Product &amp; Engineering</w:t>
            </w:r>
          </w:p>
        </w:tc>
      </w:tr>
    </w:tbl>
    <w:p>
      <w:pPr>
        <w:spacing w:after="60" w:before="60"/>
      </w:pPr>
      <w:r>
        <w:t xml:space="preserve"/>
      </w:r>
    </w:p>
    <w:p>
      <w:pPr>
        <w:spacing w:after="60" w:before="60"/>
      </w:pPr>
      <w:r>
        <w:t xml:space="preserve"/>
      </w:r>
    </w:p>
    <w:p>
      <w:r>
        <w:br w:type="page"/>
      </w:r>
    </w:p>
    <w:p>
      <w:pPr>
        <w:pStyle w:val="Heading1"/>
      </w:pPr>
      <w:r>
        <w:rPr>
          <w:b/>
          <w:bCs/>
        </w:rPr>
        <w:t xml:space="preserve">Table of Contents</w:t>
      </w:r>
    </w:p>
    <w:p>
      <w:pPr>
        <w:spacing w:after="80" w:before="80"/>
      </w:pPr>
      <w:r>
        <w:t xml:space="preserve">This document is organized into the following major sections:</w:t>
      </w:r>
    </w:p>
    <w:p>
      <w:pPr>
        <w:spacing w:after="60" w:before="60"/>
      </w:pPr>
      <w:r>
        <w:t xml:space="preserve"/>
      </w:r>
    </w:p>
    <w:p>
      <w:pPr>
        <w:spacing w:after="80" w:before="80"/>
      </w:pPr>
      <w:r>
        <w:t xml:space="preserve">1. Executive Summary</w:t>
      </w:r>
    </w:p>
    <w:p>
      <w:pPr>
        <w:spacing w:after="80" w:before="80"/>
      </w:pPr>
      <w:r>
        <w:t xml:space="preserve">2. Problem Statement &amp; Background</w:t>
      </w:r>
    </w:p>
    <w:p>
      <w:pPr>
        <w:spacing w:after="80" w:before="80"/>
      </w:pPr>
      <w:r>
        <w:t xml:space="preserve">3. Product Vision &amp; Goals</w:t>
      </w:r>
    </w:p>
    <w:p>
      <w:pPr>
        <w:spacing w:after="80" w:before="80"/>
      </w:pPr>
      <w:r>
        <w:t xml:space="preserve">4. Stakeholder Analysis</w:t>
      </w:r>
    </w:p>
    <w:p>
      <w:pPr>
        <w:spacing w:after="80" w:before="80"/>
      </w:pPr>
      <w:r>
        <w:t xml:space="preserve">5. Scope &amp; Boundaries</w:t>
      </w:r>
    </w:p>
    <w:p>
      <w:pPr>
        <w:spacing w:after="80" w:before="80"/>
      </w:pPr>
      <w:r>
        <w:t xml:space="preserve">6. Functional Requirements</w:t>
      </w:r>
    </w:p>
    <w:p>
      <w:pPr>
        <w:spacing w:after="80" w:before="80"/>
      </w:pPr>
      <w:r>
        <w:t xml:space="preserve">   6.1  Machine Learning &amp; Prediction Engine</w:t>
      </w:r>
    </w:p>
    <w:p>
      <w:pPr>
        <w:spacing w:after="80" w:before="80"/>
      </w:pPr>
      <w:r>
        <w:t xml:space="preserve">   6.2  Risk Scoring &amp; Classification</w:t>
      </w:r>
    </w:p>
    <w:p>
      <w:pPr>
        <w:spacing w:after="80" w:before="80"/>
      </w:pPr>
      <w:r>
        <w:t xml:space="preserve">   6.3  Alert &amp; Notification System</w:t>
      </w:r>
    </w:p>
    <w:p>
      <w:pPr>
        <w:spacing w:after="80" w:before="80"/>
      </w:pPr>
      <w:r>
        <w:t xml:space="preserve">   6.4  Interactive Dashboard &amp; Map</w:t>
      </w:r>
    </w:p>
    <w:p>
      <w:pPr>
        <w:spacing w:after="80" w:before="80"/>
      </w:pPr>
      <w:r>
        <w:t xml:space="preserve">   6.5  Citizen Portal</w:t>
      </w:r>
    </w:p>
    <w:p>
      <w:pPr>
        <w:spacing w:after="80" w:before="80"/>
      </w:pPr>
      <w:r>
        <w:t xml:space="preserve">   6.6  Authentication &amp; Role-Based Access Control</w:t>
      </w:r>
    </w:p>
    <w:p>
      <w:pPr>
        <w:spacing w:after="80" w:before="80"/>
      </w:pPr>
      <w:r>
        <w:t xml:space="preserve">   6.7  API Layer</w:t>
      </w:r>
    </w:p>
    <w:p>
      <w:pPr>
        <w:spacing w:after="80" w:before="80"/>
      </w:pPr>
      <w:r>
        <w:t xml:space="preserve">   6.8  Reporting &amp; Exports</w:t>
      </w:r>
    </w:p>
    <w:p>
      <w:pPr>
        <w:spacing w:after="80" w:before="80"/>
      </w:pPr>
      <w:r>
        <w:t xml:space="preserve">7. Non-Functional Requirements</w:t>
      </w:r>
    </w:p>
    <w:p>
      <w:pPr>
        <w:spacing w:after="80" w:before="80"/>
      </w:pPr>
      <w:r>
        <w:t xml:space="preserve">8. Technology Stack</w:t>
      </w:r>
    </w:p>
    <w:p>
      <w:pPr>
        <w:spacing w:after="80" w:before="80"/>
      </w:pPr>
      <w:r>
        <w:t xml:space="preserve">9. System Architecture</w:t>
      </w:r>
    </w:p>
    <w:p>
      <w:pPr>
        <w:spacing w:after="80" w:before="80"/>
      </w:pPr>
      <w:r>
        <w:t xml:space="preserve">10. Database Schema Overview</w:t>
      </w:r>
    </w:p>
    <w:p>
      <w:pPr>
        <w:spacing w:after="80" w:before="80"/>
      </w:pPr>
      <w:r>
        <w:t xml:space="preserve">11. User Roles &amp; Permissions Matrix</w:t>
      </w:r>
    </w:p>
    <w:p>
      <w:pPr>
        <w:spacing w:after="80" w:before="80"/>
      </w:pPr>
      <w:r>
        <w:t xml:space="preserve">12. Alert Workflows</w:t>
      </w:r>
    </w:p>
    <w:p>
      <w:pPr>
        <w:spacing w:after="80" w:before="80"/>
      </w:pPr>
      <w:r>
        <w:t xml:space="preserve">13. Deployment &amp; Infrastructure</w:t>
      </w:r>
    </w:p>
    <w:p>
      <w:pPr>
        <w:spacing w:after="80" w:before="80"/>
      </w:pPr>
      <w:r>
        <w:t xml:space="preserve">14. Scalability Roadmap (Phase 1–3)</w:t>
      </w:r>
    </w:p>
    <w:p>
      <w:pPr>
        <w:spacing w:after="80" w:before="80"/>
      </w:pPr>
      <w:r>
        <w:t xml:space="preserve">15. Monitoring &amp; Observability</w:t>
      </w:r>
    </w:p>
    <w:p>
      <w:pPr>
        <w:spacing w:after="80" w:before="80"/>
      </w:pPr>
      <w:r>
        <w:t xml:space="preserve">16. Security Requirements</w:t>
      </w:r>
    </w:p>
    <w:p>
      <w:pPr>
        <w:spacing w:after="80" w:before="80"/>
      </w:pPr>
      <w:r>
        <w:t xml:space="preserve">17. Localization &amp; Accessibility</w:t>
      </w:r>
    </w:p>
    <w:p>
      <w:pPr>
        <w:spacing w:after="80" w:before="80"/>
      </w:pPr>
      <w:r>
        <w:t xml:space="preserve">18. Assumptions &amp; Dependencies</w:t>
      </w:r>
    </w:p>
    <w:p>
      <w:pPr>
        <w:spacing w:after="80" w:before="80"/>
      </w:pPr>
      <w:r>
        <w:t xml:space="preserve">19. Risks &amp; Mitigations</w:t>
      </w:r>
    </w:p>
    <w:p>
      <w:pPr>
        <w:spacing w:after="80" w:before="80"/>
      </w:pPr>
      <w:r>
        <w:t xml:space="preserve">20. Glossary</w:t>
      </w:r>
    </w:p>
    <w:p>
      <w:r>
        <w:br w:type="page"/>
      </w:r>
    </w:p>
    <w:p>
      <w:pPr>
        <w:pStyle w:val="Heading1"/>
      </w:pPr>
      <w:r>
        <w:rPr>
          <w:b/>
          <w:bCs/>
        </w:rPr>
        <w:t xml:space="preserve">1. Executive Summary</w:t>
      </w:r>
    </w:p>
    <w:p>
      <w:pPr>
        <w:spacing w:after="80" w:before="80"/>
      </w:pPr>
      <w:r>
        <w:t xml:space="preserve">PrevDengue is a machine learning-powered dengue outbreak prediction and early warning system purpose-built for Bangladesh. The platform combines ensemble tree-based models (XGBoost and LightGBM) with multivariate epidemiological, climatic, and sociodemographic data to produce district-level dengue risk scores and 2-to-4-week outbreak forecasts across all 64 districts of the country.</w:t>
      </w:r>
    </w:p>
    <w:p>
      <w:pPr>
        <w:spacing w:after="60" w:before="60"/>
      </w:pPr>
      <w:r>
        <w:t xml:space="preserve"/>
      </w:r>
    </w:p>
    <w:p>
      <w:pPr>
        <w:spacing w:after="80" w:before="80"/>
      </w:pPr>
      <w:r>
        <w:t xml:space="preserve">Bangladesh suffered its worst dengue season on record in 2023, with 321,179 confirmed cases and 1,705 deaths — more fatalities than the preceding 23 years combined. A critical epidemiological shift occurred simultaneously: all 64 districts were affected for the first time, with 63% of cases reported outside Dhaka. District-level health infrastructure received no advance warning, resulting in overwhelmed facilities and late-stage hospital presentations. Critically, 67.4% of deaths occurred within a single day of admission, a statistic that underscores the systemic failure of early detection.</w:t>
      </w:r>
    </w:p>
    <w:p>
      <w:pPr>
        <w:spacing w:after="60" w:before="60"/>
      </w:pPr>
      <w:r>
        <w:t xml:space="preserve"/>
      </w:r>
    </w:p>
    <w:p>
      <w:pPr>
        <w:spacing w:after="80" w:before="80"/>
      </w:pPr>
      <w:r>
        <w:t xml:space="preserve">PrevDengue directly addresses this gap. By providing actionable 2–4 week advance warning to health officials, the system enables pre-emptive fogging operations, hospital bed pre-allocation, and targeted public health advisories — the interventions with the highest potential to reduce preventable fatalities.</w:t>
      </w:r>
    </w:p>
    <w:p>
      <w:pPr>
        <w:spacing w:after="60" w:before="60"/>
      </w:pPr>
      <w:r>
        <w:t xml:space="preserve"/>
      </w:r>
    </w:p>
    <w:p>
      <w:pPr>
        <w:spacing w:after="80" w:before="80"/>
      </w:pPr>
      <w:r>
        <w:t xml:space="preserve">The platform serves three distinct user groups: public health administrators at the Directorate General of Health Services (DGHS), district hospital administrators managing surge capacity planning, and ordinary citizens seeking risk information and health guidance. A bilingual interface (English and Bengali) maximizes reach across user populations.</w:t>
      </w:r>
    </w:p>
    <w:p>
      <w:pPr>
        <w:spacing w:after="60" w:before="60"/>
      </w:pPr>
      <w:r>
        <w:t xml:space="preserve"/>
      </w:r>
    </w:p>
    <w:p>
      <w:pPr>
        <w:spacing w:after="80" w:before="80"/>
      </w:pPr>
      <w:r>
        <w:t xml:space="preserve">The recommended final technology stack is: Next.js 15 (frontend on Vercel), FastAPI (ML backend), Supabase PostgreSQL with PostGIS (database), Supabase Auth (authentication and RBAC), Leaflet (interactive mapping), Resend (email alerts), Twilio (SMS alerts), XGBoost/LightGBM/SHAP (ML layer), and Sentry plus Vercel Analytics (monitoring).</w:t>
      </w:r>
    </w:p>
    <w:p>
      <w:r>
        <w:br w:type="page"/>
      </w:r>
    </w:p>
    <w:p>
      <w:pPr>
        <w:pStyle w:val="Heading1"/>
      </w:pPr>
      <w:r>
        <w:rPr>
          <w:b/>
          <w:bCs/>
        </w:rPr>
        <w:t xml:space="preserve">2. Problem Statement &amp; Background</w:t>
      </w:r>
    </w:p>
    <w:p>
      <w:pPr>
        <w:pStyle w:val="Heading2"/>
      </w:pPr>
      <w:r>
        <w:rPr>
          <w:b/>
          <w:bCs/>
        </w:rPr>
        <w:t xml:space="preserve">2.1 The 2023 Dengue Crisis in Bangladesh</w:t>
      </w:r>
    </w:p>
    <w:p>
      <w:pPr>
        <w:spacing w:after="80" w:before="80"/>
      </w:pPr>
      <w:r>
        <w:t xml:space="preserve">Dengue fever is a vector-borne viral disease transmitted primarily by Aedes aegypti mosquitoes. Bangladesh has experienced endemic dengue since 2000, but the 2023 outbreak represented a qualitative shift in both scale and geographic distribution:</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Metric</w:t>
            </w:r>
          </w:p>
        </w:tc>
        <w:tc>
          <w:tcPr>
            <w:tcW w:type="dxa" w:w="5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Value / Observation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Confirmed cases (2023)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321,179 — highest on record since 2000</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Fatalities (2023)</w:t>
            </w:r>
          </w:p>
        </w:tc>
        <w:tc>
          <w:tcPr>
            <w:tcW w:type="dxa" w:w="5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1,705 — exceeding the prior 23-year cumulative total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Geographic spread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All 64 districts affected simultaneously — a first in Bangladesh</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Cases outside Dhaka</w:t>
            </w:r>
          </w:p>
        </w:tc>
        <w:tc>
          <w:tcPr>
            <w:tcW w:type="dxa" w:w="5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63% of total cases — historic shift from urban concentration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Same-day fatality rate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67.4% of deaths occurred within 24 hours of hospital admission</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Root cause</w:t>
            </w:r>
          </w:p>
        </w:tc>
        <w:tc>
          <w:tcPr>
            <w:tcW w:type="dxa" w:w="5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No advance warning system; district hospitals unprepared for surge</w:t>
            </w:r>
          </w:p>
        </w:tc>
      </w:tr>
    </w:tbl>
    <w:p>
      <w:pPr>
        <w:spacing w:after="60" w:before="60"/>
      </w:pPr>
      <w:r>
        <w:t xml:space="preserve"/>
      </w:r>
    </w:p>
    <w:p>
      <w:pPr>
        <w:pStyle w:val="Heading2"/>
      </w:pPr>
      <w:r>
        <w:rPr>
          <w:b/>
          <w:bCs/>
        </w:rPr>
        <w:t xml:space="preserve">2.2 The Early Warning Gap</w:t>
      </w:r>
    </w:p>
    <w:p>
      <w:pPr>
        <w:spacing w:after="80" w:before="80"/>
      </w:pPr>
      <w:r>
        <w:t xml:space="preserve">Bangladesh currently lacks a real-time, data-driven early warning system for dengue at the district level. Surveillance data collected by DGHS is retrospective — it describes what has already happened, not what is about to happen. By the time a surge is observed in hospitalization data, local health systems are already under severe strain. The 2023 crisis demonstrated that even a 2-week advance warning would have enabled fogging deployments, bed pre-allocation, and public advisories that could have meaningfully reduced the death toll.</w:t>
      </w:r>
    </w:p>
    <w:p>
      <w:pPr>
        <w:spacing w:after="60" w:before="60"/>
      </w:pPr>
      <w:r>
        <w:t xml:space="preserve"/>
      </w:r>
    </w:p>
    <w:p>
      <w:pPr>
        <w:pStyle w:val="Heading2"/>
      </w:pPr>
      <w:r>
        <w:rPr>
          <w:b/>
          <w:bCs/>
        </w:rPr>
        <w:t xml:space="preserve">2.3 Why Machine Learning?</w:t>
      </w:r>
    </w:p>
    <w:p>
      <w:pPr>
        <w:spacing w:after="80" w:before="80"/>
      </w:pPr>
      <w:r>
        <w:t xml:space="preserve">Dengue transmission dynamics are governed by a complex, nonlinear interplay of climate variables (temperature, rainfall, humidity), landscape (urbanization, agricultural land use), human mobility, and historical case patterns. Traditional threshold-based surveillance systems are incapable of modeling these interactions. Ensemble tree-based models such as XGBoost and LightGBM excel at capturing such nonlinear relationships, are robust to multicollinearity between climate features, provide feature importance estimates natively, and perform well on moderate-sized tabular epidemiological datasets. The addition of SHAP (SHapley Additive exPlanations) enables health officials to understand not just the prediction, but the specific environmental drivers elevating risk in any given district on any given week.</w:t>
      </w:r>
    </w:p>
    <w:p>
      <w:r>
        <w:br w:type="page"/>
      </w:r>
    </w:p>
    <w:p>
      <w:pPr>
        <w:pStyle w:val="Heading1"/>
      </w:pPr>
      <w:r>
        <w:rPr>
          <w:b/>
          <w:bCs/>
        </w:rPr>
        <w:t xml:space="preserve">3. Product Vision &amp; Goals</w:t>
      </w:r>
    </w:p>
    <w:p>
      <w:pPr>
        <w:pStyle w:val="Heading2"/>
      </w:pPr>
      <w:r>
        <w:rPr>
          <w:b/>
          <w:bCs/>
        </w:rPr>
        <w:t xml:space="preserve">3.1 Vision Statement</w:t>
      </w:r>
    </w:p>
    <w:p>
      <w:pPr>
        <w:pBdr>
          <w:left w:val="single" w:color="2E86C1" w:sz="12" w:space="10"/>
        </w:pBdr>
        <w:spacing w:after="120" w:before="120"/>
        <w:ind w:left="720" w:right="720"/>
      </w:pPr>
      <w:r>
        <w:rPr>
          <w:i/>
          <w:iCs/>
          <w:color w:val="1A5276"/>
          <w:sz w:val="24"/>
          <w:szCs w:val="24"/>
        </w:rPr>
        <w:t xml:space="preserve">"Provide Bangladesh's health officials and citizens with 2–4 weeks of advance warning before dengue outbreaks, enabling pre-emptive intervention that saves lives."</w:t>
      </w:r>
    </w:p>
    <w:p>
      <w:pPr>
        <w:spacing w:after="60" w:before="60"/>
      </w:pPr>
      <w:r>
        <w:t xml:space="preserve"/>
      </w:r>
    </w:p>
    <w:p>
      <w:pPr>
        <w:pStyle w:val="Heading2"/>
      </w:pPr>
      <w:r>
        <w:rPr>
          <w:b/>
          <w:bCs/>
        </w:rPr>
        <w:t xml:space="preserve">3.2 Primary Goals</w:t>
      </w:r>
    </w:p>
    <w:p>
      <w:pPr>
        <w:pStyle w:val="ListParagraph"/>
        <w:numPr>
          <w:ilvl w:val="0"/>
          <w:numId w:val="2"/>
        </w:numPr>
        <w:spacing w:after="40" w:before="40"/>
      </w:pPr>
      <w:r>
        <w:t xml:space="preserve">Deliver district-level dengue risk forecasts (Low / Medium / High / Critical) 2–4 weeks in advance for all 64 districts of Bangladesh.</w:t>
      </w:r>
    </w:p>
    <w:p>
      <w:pPr>
        <w:pStyle w:val="ListParagraph"/>
        <w:numPr>
          <w:ilvl w:val="0"/>
          <w:numId w:val="2"/>
        </w:numPr>
        <w:spacing w:after="40" w:before="40"/>
      </w:pPr>
      <w:r>
        <w:t xml:space="preserve">Automate alert delivery to district health officers via SMS and email when risk crosses defined thresholds.</w:t>
      </w:r>
    </w:p>
    <w:p>
      <w:pPr>
        <w:pStyle w:val="ListParagraph"/>
        <w:numPr>
          <w:ilvl w:val="0"/>
          <w:numId w:val="2"/>
        </w:numPr>
        <w:spacing w:after="40" w:before="40"/>
      </w:pPr>
      <w:r>
        <w:t xml:space="preserve">Provide DGHS administrators with a real-time national dashboard featuring an interactive choropleth map and district trend charts.</w:t>
      </w:r>
    </w:p>
    <w:p>
      <w:pPr>
        <w:pStyle w:val="ListParagraph"/>
        <w:numPr>
          <w:ilvl w:val="0"/>
          <w:numId w:val="2"/>
        </w:numPr>
        <w:spacing w:after="40" w:before="40"/>
      </w:pPr>
      <w:r>
        <w:t xml:space="preserve">Offer district hospital administrators surge capacity planning information tied to predictive risk scores.</w:t>
      </w:r>
    </w:p>
    <w:p>
      <w:pPr>
        <w:pStyle w:val="ListParagraph"/>
        <w:numPr>
          <w:ilvl w:val="0"/>
          <w:numId w:val="2"/>
        </w:numPr>
        <w:spacing w:after="40" w:before="40"/>
      </w:pPr>
      <w:r>
        <w:t xml:space="preserve">Make district-level risk information accessible to ordinary citizens in both English and Bengali.</w:t>
      </w:r>
    </w:p>
    <w:p>
      <w:pPr>
        <w:pStyle w:val="ListParagraph"/>
        <w:numPr>
          <w:ilvl w:val="0"/>
          <w:numId w:val="2"/>
        </w:numPr>
        <w:spacing w:after="40" w:before="40"/>
      </w:pPr>
      <w:r>
        <w:t xml:space="preserve">Expose a REST API for integration with existing DGHS surveillance infrastructure.</w:t>
      </w:r>
    </w:p>
    <w:p>
      <w:pPr>
        <w:pStyle w:val="ListParagraph"/>
        <w:numPr>
          <w:ilvl w:val="0"/>
          <w:numId w:val="2"/>
        </w:numPr>
        <w:spacing w:after="40" w:before="40"/>
      </w:pPr>
      <w:r>
        <w:t xml:space="preserve">Ensure model explainability through SHAP feature attributions visible to health officials.</w:t>
      </w:r>
    </w:p>
    <w:p>
      <w:pPr>
        <w:spacing w:after="60" w:before="60"/>
      </w:pPr>
      <w:r>
        <w:t xml:space="preserve"/>
      </w:r>
    </w:p>
    <w:p>
      <w:pPr>
        <w:pStyle w:val="Heading2"/>
      </w:pPr>
      <w:r>
        <w:rPr>
          <w:b/>
          <w:bCs/>
        </w:rPr>
        <w:t xml:space="preserve">3.3 Success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c>
          <w:tcPr>
            <w:tcW w:type="dxa" w:w="32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Target</w:t>
            </w:r>
          </w:p>
        </w:tc>
        <w:tc>
          <w:tcPr>
            <w:tcW w:type="dxa" w:w="28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Measurement Method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Model AUC-ROC (High/Critical prediction)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 0.82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Cross-validation on holdout set</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Alert delivery latency (SMS + Email)</w:t>
            </w:r>
          </w:p>
        </w:tc>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&lt; 5 minutes after risk threshold breach</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Alert log timestamps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Forecast generation time (all 64 districts)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&lt; 60 seconds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API response timing</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Dashboard load time (P95)</w:t>
            </w:r>
          </w:p>
        </w:tc>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&lt; 2 seconds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Vercel Analytics / Sentry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System uptime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99.5% monthly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Vercel / Supabase SLA monitoring</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Citizen portal bilingual coverage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100% of UI strings in English and Bengali</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i18n string audit</w:t>
            </w:r>
          </w:p>
        </w:tc>
      </w:tr>
    </w:tbl>
    <w:p>
      <w:r>
        <w:br w:type="page"/>
      </w:r>
    </w:p>
    <w:p>
      <w:pPr>
        <w:pStyle w:val="Heading1"/>
      </w:pPr>
      <w:r>
        <w:rPr>
          <w:b/>
          <w:bCs/>
        </w:rPr>
        <w:t xml:space="preserve">4. Stakeholder Analysis</w:t>
      </w:r>
    </w:p>
    <w:p>
      <w:pPr>
        <w:pStyle w:val="Heading2"/>
      </w:pPr>
      <w:r>
        <w:rPr>
          <w:b/>
          <w:bCs/>
        </w:rPr>
        <w:t xml:space="preserve">4.1 Primary Users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600"/>
      </w:tblGrid>
      <w:tr>
        <w:tc>
          <w:tcPr>
            <w:tcW w:type="dxa" w:w="22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User Role</w:t>
            </w:r>
          </w:p>
        </w:tc>
        <w:tc>
          <w:tcPr>
            <w:tcW w:type="dxa" w:w="24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Organization</w:t>
            </w:r>
          </w:p>
        </w:tc>
        <w:tc>
          <w:tcPr>
            <w:tcW w:type="dxa" w:w="4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Core Needs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DGHS Administrator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Directorate General of Health Services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National-level view of all 64 districts; ability to configure alert thresholds; access to historical trend data; export reports for policy briefings; compare model predictions with actual outcomes.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District Health Officer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District Health Office</w:t>
            </w:r>
          </w:p>
        </w:tc>
        <w:tc>
          <w:tcPr>
            <w:tcW w:type="dxa" w:w="4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Timely SMS and email alerts when their district's risk escalates; district-specific forecast with SHAP explanations; downloadable PDF advisories; mobile-accessible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Hospital Administrator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District General Hospital / Upazila Health Complex</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Upcoming risk trajectory for bed allocation planning; integration with hospital capacity data; early notification of predicted surges; historical comparison with prior outbreak peaks.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Citizen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General Public</w:t>
            </w:r>
          </w:p>
        </w:tc>
        <w:tc>
          <w:tcPr>
            <w:tcW w:type="dxa" w:w="4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Simple query for current district risk level; actionable public health advice in Bengali; symptom guidance; nearest health facility information; preventive measures.</w:t>
            </w:r>
          </w:p>
        </w:tc>
      </w:tr>
    </w:tbl>
    <w:p>
      <w:pPr>
        <w:spacing w:after="60" w:before="60"/>
      </w:pPr>
      <w:r>
        <w:t xml:space="preserve"/>
      </w:r>
    </w:p>
    <w:p>
      <w:pPr>
        <w:pStyle w:val="Heading2"/>
      </w:pPr>
      <w:r>
        <w:rPr>
          <w:b/>
          <w:bCs/>
        </w:rPr>
        <w:t xml:space="preserve">4.2 Secondary Stakeholders</w:t>
      </w:r>
    </w:p>
    <w:p>
      <w:pPr>
        <w:pStyle w:val="ListParagraph"/>
        <w:numPr>
          <w:ilvl w:val="0"/>
          <w:numId w:val="2"/>
        </w:numPr>
        <w:spacing w:after="40" w:before="40"/>
      </w:pPr>
      <w:r>
        <w:t xml:space="preserve">World Health Organization (WHO) Bangladesh Country Office — data-sharing and validation partner</w:t>
      </w:r>
    </w:p>
    <w:p>
      <w:pPr>
        <w:pStyle w:val="ListParagraph"/>
        <w:numPr>
          <w:ilvl w:val="0"/>
          <w:numId w:val="2"/>
        </w:numPr>
        <w:spacing w:after="40" w:before="40"/>
      </w:pPr>
      <w:r>
        <w:t xml:space="preserve">Institute of Epidemiology, Disease Control and Research (IEDCR) — epidemiological validation of model outputs</w:t>
      </w:r>
    </w:p>
    <w:p>
      <w:pPr>
        <w:pStyle w:val="ListParagraph"/>
        <w:numPr>
          <w:ilvl w:val="0"/>
          <w:numId w:val="2"/>
        </w:numPr>
        <w:spacing w:after="40" w:before="40"/>
      </w:pPr>
      <w:r>
        <w:t xml:space="preserve">Bangladesh Meteorological Department (BMD) — source of real-time and forecast climate data</w:t>
      </w:r>
    </w:p>
    <w:p>
      <w:pPr>
        <w:pStyle w:val="ListParagraph"/>
        <w:numPr>
          <w:ilvl w:val="0"/>
          <w:numId w:val="2"/>
        </w:numPr>
        <w:spacing w:after="40" w:before="40"/>
      </w:pPr>
      <w:r>
        <w:t xml:space="preserve">Local Government Division — coordination for fogging and vector control operations</w:t>
      </w:r>
    </w:p>
    <w:p>
      <w:pPr>
        <w:pStyle w:val="ListParagraph"/>
        <w:numPr>
          <w:ilvl w:val="0"/>
          <w:numId w:val="2"/>
        </w:numPr>
        <w:spacing w:after="40" w:before="40"/>
      </w:pPr>
      <w:r>
        <w:t xml:space="preserve">Journalists and researchers — public health transparency and accountability</w:t>
      </w:r>
    </w:p>
    <w:p>
      <w:r>
        <w:br w:type="page"/>
      </w:r>
    </w:p>
    <w:p>
      <w:pPr>
        <w:pStyle w:val="Heading1"/>
      </w:pPr>
      <w:r>
        <w:rPr>
          <w:b/>
          <w:bCs/>
        </w:rPr>
        <w:t xml:space="preserve">5. Scope &amp; Boundaries</w:t>
      </w:r>
    </w:p>
    <w:p>
      <w:pPr>
        <w:pStyle w:val="Heading2"/>
      </w:pPr>
      <w:r>
        <w:rPr>
          <w:b/>
          <w:bCs/>
        </w:rPr>
        <w:t xml:space="preserve">5.1 In Scope (v1.0)</w:t>
      </w:r>
    </w:p>
    <w:p>
      <w:pPr>
        <w:pStyle w:val="ListParagraph"/>
        <w:numPr>
          <w:ilvl w:val="0"/>
          <w:numId w:val="2"/>
        </w:numPr>
        <w:spacing w:after="40" w:before="40"/>
      </w:pPr>
      <w:r>
        <w:t xml:space="preserve">District-level dengue risk prediction for all 64 districts of Bangladesh</w:t>
      </w:r>
    </w:p>
    <w:p>
      <w:pPr>
        <w:pStyle w:val="ListParagraph"/>
        <w:numPr>
          <w:ilvl w:val="0"/>
          <w:numId w:val="2"/>
        </w:numPr>
        <w:spacing w:after="40" w:before="40"/>
      </w:pPr>
      <w:r>
        <w:t xml:space="preserve">Weekly forecast horizon: 2–4 weeks ahead</w:t>
      </w:r>
    </w:p>
    <w:p>
      <w:pPr>
        <w:pStyle w:val="ListParagraph"/>
        <w:numPr>
          <w:ilvl w:val="0"/>
          <w:numId w:val="2"/>
        </w:numPr>
        <w:spacing w:after="40" w:before="40"/>
      </w:pPr>
      <w:r>
        <w:t xml:space="preserve">Multivariate model inputs: climate, demographic, land use, and historical case data</w:t>
      </w:r>
    </w:p>
    <w:p>
      <w:pPr>
        <w:pStyle w:val="ListParagraph"/>
        <w:numPr>
          <w:ilvl w:val="0"/>
          <w:numId w:val="2"/>
        </w:numPr>
        <w:spacing w:after="40" w:before="40"/>
      </w:pPr>
      <w:r>
        <w:t xml:space="preserve">Four-tier risk classification: Low, Medium, High, Critical</w:t>
      </w:r>
    </w:p>
    <w:p>
      <w:pPr>
        <w:pStyle w:val="ListParagraph"/>
        <w:numPr>
          <w:ilvl w:val="0"/>
          <w:numId w:val="2"/>
        </w:numPr>
        <w:spacing w:after="40" w:before="40"/>
      </w:pPr>
      <w:r>
        <w:t xml:space="preserve">SHAP-based model explainability for health officials</w:t>
      </w:r>
    </w:p>
    <w:p>
      <w:pPr>
        <w:pStyle w:val="ListParagraph"/>
        <w:numPr>
          <w:ilvl w:val="0"/>
          <w:numId w:val="2"/>
        </w:numPr>
        <w:spacing w:after="40" w:before="40"/>
      </w:pPr>
      <w:r>
        <w:t xml:space="preserve">Automated SMS and email alerts to District Health Officers</w:t>
      </w:r>
    </w:p>
    <w:p>
      <w:pPr>
        <w:pStyle w:val="ListParagraph"/>
        <w:numPr>
          <w:ilvl w:val="0"/>
          <w:numId w:val="2"/>
        </w:numPr>
        <w:spacing w:after="40" w:before="40"/>
      </w:pPr>
      <w:r>
        <w:t xml:space="preserve">National choropleth map dashboard for DGHS administrators</w:t>
      </w:r>
    </w:p>
    <w:p>
      <w:pPr>
        <w:pStyle w:val="ListParagraph"/>
        <w:numPr>
          <w:ilvl w:val="0"/>
          <w:numId w:val="2"/>
        </w:numPr>
        <w:spacing w:after="40" w:before="40"/>
      </w:pPr>
      <w:r>
        <w:t xml:space="preserve">Citizen portal in English and Bengali</w:t>
      </w:r>
    </w:p>
    <w:p>
      <w:pPr>
        <w:pStyle w:val="ListParagraph"/>
        <w:numPr>
          <w:ilvl w:val="0"/>
          <w:numId w:val="2"/>
        </w:numPr>
        <w:spacing w:after="40" w:before="40"/>
      </w:pPr>
      <w:r>
        <w:t xml:space="preserve">Role-based access control with four roles (Citizen, District Health Officer, Hospital Administrator, DGHS Administrator)</w:t>
      </w:r>
    </w:p>
    <w:p>
      <w:pPr>
        <w:pStyle w:val="ListParagraph"/>
        <w:numPr>
          <w:ilvl w:val="0"/>
          <w:numId w:val="2"/>
        </w:numPr>
        <w:spacing w:after="40" w:before="40"/>
      </w:pPr>
      <w:r>
        <w:t xml:space="preserve">REST API for external DGHS system integration</w:t>
      </w:r>
    </w:p>
    <w:p>
      <w:pPr>
        <w:pStyle w:val="ListParagraph"/>
        <w:numPr>
          <w:ilvl w:val="0"/>
          <w:numId w:val="2"/>
        </w:numPr>
        <w:spacing w:after="40" w:before="40"/>
      </w:pPr>
      <w:r>
        <w:t xml:space="preserve">Report generation and data export (CSV, PDF)</w:t>
      </w:r>
    </w:p>
    <w:p>
      <w:pPr>
        <w:pStyle w:val="ListParagraph"/>
        <w:numPr>
          <w:ilvl w:val="0"/>
          <w:numId w:val="2"/>
        </w:numPr>
        <w:spacing w:after="40" w:before="40"/>
      </w:pPr>
      <w:r>
        <w:t xml:space="preserve">Dataset upload interface for DGHS data ingestion</w:t>
      </w:r>
    </w:p>
    <w:p>
      <w:pPr>
        <w:spacing w:after="60" w:before="60"/>
      </w:pPr>
      <w:r>
        <w:t xml:space="preserve"/>
      </w:r>
    </w:p>
    <w:p>
      <w:pPr>
        <w:pStyle w:val="Heading2"/>
      </w:pPr>
      <w:r>
        <w:rPr>
          <w:b/>
          <w:bCs/>
        </w:rPr>
        <w:t xml:space="preserve">5.2 Out of Scope (v1.0)</w:t>
      </w:r>
    </w:p>
    <w:p>
      <w:pPr>
        <w:pStyle w:val="ListParagraph"/>
        <w:numPr>
          <w:ilvl w:val="0"/>
          <w:numId w:val="2"/>
        </w:numPr>
        <w:spacing w:after="40" w:before="40"/>
      </w:pPr>
      <w:r>
        <w:t xml:space="preserve">Upazila-level (sub-district) predictions — Phase 2 consideration</w:t>
      </w:r>
    </w:p>
    <w:p>
      <w:pPr>
        <w:pStyle w:val="ListParagraph"/>
        <w:numPr>
          <w:ilvl w:val="0"/>
          <w:numId w:val="2"/>
        </w:numPr>
        <w:spacing w:after="40" w:before="40"/>
      </w:pPr>
      <w:r>
        <w:t xml:space="preserve">Real-time case data ingestion via hospital EHR integration</w:t>
      </w:r>
    </w:p>
    <w:p>
      <w:pPr>
        <w:pStyle w:val="ListParagraph"/>
        <w:numPr>
          <w:ilvl w:val="0"/>
          <w:numId w:val="2"/>
        </w:numPr>
        <w:spacing w:after="40" w:before="40"/>
      </w:pPr>
      <w:r>
        <w:t xml:space="preserve">Mobile native application (iOS/Android) — Phase 3</w:t>
      </w:r>
    </w:p>
    <w:p>
      <w:pPr>
        <w:pStyle w:val="ListParagraph"/>
        <w:numPr>
          <w:ilvl w:val="0"/>
          <w:numId w:val="2"/>
        </w:numPr>
        <w:spacing w:after="40" w:before="40"/>
      </w:pPr>
      <w:r>
        <w:t xml:space="preserve">Prediction of other vector-borne diseases (malaria, chikungunya)</w:t>
      </w:r>
    </w:p>
    <w:p>
      <w:pPr>
        <w:pStyle w:val="ListParagraph"/>
        <w:numPr>
          <w:ilvl w:val="0"/>
          <w:numId w:val="2"/>
        </w:numPr>
        <w:spacing w:after="40" w:before="40"/>
      </w:pPr>
      <w:r>
        <w:t xml:space="preserve">Real-time mosquito population / larval index data integration</w:t>
      </w:r>
    </w:p>
    <w:p>
      <w:pPr>
        <w:pStyle w:val="ListParagraph"/>
        <w:numPr>
          <w:ilvl w:val="0"/>
          <w:numId w:val="2"/>
        </w:numPr>
        <w:spacing w:after="40" w:before="40"/>
      </w:pPr>
      <w:r>
        <w:t xml:space="preserve">Automated fogging operation scheduling</w:t>
      </w:r>
    </w:p>
    <w:p>
      <w:pPr>
        <w:pStyle w:val="ListParagraph"/>
        <w:numPr>
          <w:ilvl w:val="0"/>
          <w:numId w:val="2"/>
        </w:numPr>
        <w:spacing w:after="40" w:before="40"/>
      </w:pPr>
      <w:r>
        <w:t xml:space="preserve">Cross-country deployment — Phase 3</w:t>
      </w:r>
    </w:p>
    <w:p>
      <w:pPr>
        <w:spacing w:after="60" w:before="60"/>
      </w:pPr>
      <w:r>
        <w:t xml:space="preserve"/>
      </w:r>
    </w:p>
    <w:p>
      <w:pPr>
        <w:pStyle w:val="Heading2"/>
      </w:pPr>
      <w:r>
        <w:rPr>
          <w:b/>
          <w:bCs/>
        </w:rPr>
        <w:t xml:space="preserve">5.3 Assumptions</w:t>
      </w:r>
    </w:p>
    <w:p>
      <w:pPr>
        <w:pStyle w:val="ListParagraph"/>
        <w:numPr>
          <w:ilvl w:val="0"/>
          <w:numId w:val="2"/>
        </w:numPr>
        <w:spacing w:after="40" w:before="40"/>
      </w:pPr>
      <w:r>
        <w:t xml:space="preserve">Climate data (temperature, rainfall, humidity) is available weekly from the Bangladesh Meteorological Department or equivalent open-source APIs (ERA5, Open-Meteo).</w:t>
      </w:r>
    </w:p>
    <w:p>
      <w:pPr>
        <w:pStyle w:val="ListParagraph"/>
        <w:numPr>
          <w:ilvl w:val="0"/>
          <w:numId w:val="2"/>
        </w:numPr>
        <w:spacing w:after="40" w:before="40"/>
      </w:pPr>
      <w:r>
        <w:t xml:space="preserve">Historical dengue case data (2000–2023) from DGHS has been validated and is available for model training.</w:t>
      </w:r>
    </w:p>
    <w:p>
      <w:pPr>
        <w:pStyle w:val="ListParagraph"/>
        <w:numPr>
          <w:ilvl w:val="0"/>
          <w:numId w:val="2"/>
        </w:numPr>
        <w:spacing w:after="40" w:before="40"/>
      </w:pPr>
      <w:r>
        <w:t xml:space="preserve">District-level shapefiles for Bangladesh (GeoJSON format) are available under open license.</w:t>
      </w:r>
    </w:p>
    <w:p>
      <w:pPr>
        <w:pStyle w:val="ListParagraph"/>
        <w:numPr>
          <w:ilvl w:val="0"/>
          <w:numId w:val="2"/>
        </w:numPr>
        <w:spacing w:after="40" w:before="40"/>
      </w:pPr>
      <w:r>
        <w:t xml:space="preserve">District Health Officers have functional SMS-capable mobile phones and institutional email addresses.</w:t>
      </w:r>
    </w:p>
    <w:p>
      <w:pPr>
        <w:pStyle w:val="ListParagraph"/>
        <w:numPr>
          <w:ilvl w:val="0"/>
          <w:numId w:val="2"/>
        </w:numPr>
        <w:spacing w:after="40" w:before="40"/>
      </w:pPr>
      <w:r>
        <w:t xml:space="preserve">Supabase free/pro tier is sufficient for MVP; usage will be monitored against quota limits.</w:t>
      </w:r>
    </w:p>
    <w:p>
      <w:r>
        <w:br w:type="page"/>
      </w:r>
    </w:p>
    <w:p>
      <w:pPr>
        <w:pStyle w:val="Heading1"/>
      </w:pPr>
      <w:r>
        <w:rPr>
          <w:b/>
          <w:bCs/>
        </w:rPr>
        <w:t xml:space="preserve">6. Functional Requirements</w:t>
      </w:r>
    </w:p>
    <w:p>
      <w:pPr>
        <w:pStyle w:val="Heading2"/>
      </w:pPr>
      <w:r>
        <w:rPr>
          <w:b/>
          <w:bCs/>
        </w:rPr>
        <w:t xml:space="preserve">6.1 Machine Learning &amp; Prediction Engine</w:t>
      </w:r>
    </w:p>
    <w:p>
      <w:pPr>
        <w:spacing w:after="80" w:before="80"/>
      </w:pPr>
      <w:r>
        <w:t xml:space="preserve">The prediction engine is the core intelligence of PrevDengue. It must satisfy the following requirements:</w:t>
      </w:r>
    </w:p>
    <w:p>
      <w:pPr>
        <w:spacing w:after="60" w:before="60"/>
      </w:pPr>
      <w:r>
        <w:t xml:space="preserve"/>
      </w:r>
    </w:p>
    <w:p>
      <w:pPr>
        <w:pStyle w:val="Heading3"/>
      </w:pPr>
      <w:r>
        <w:rPr>
          <w:b/>
          <w:bCs/>
        </w:rPr>
        <w:t xml:space="preserve">6.1.1 Model Architecture</w:t>
      </w:r>
    </w:p>
    <w:p>
      <w:pPr>
        <w:pStyle w:val="ListParagraph"/>
        <w:numPr>
          <w:ilvl w:val="0"/>
          <w:numId w:val="2"/>
        </w:numPr>
        <w:spacing w:after="40" w:before="40"/>
      </w:pPr>
      <w:r>
        <w:t xml:space="preserve">The system shall train and maintain two ensemble tree-based models: XGBoost and LightGBM.</w:t>
      </w:r>
    </w:p>
    <w:p>
      <w:pPr>
        <w:pStyle w:val="ListParagraph"/>
        <w:numPr>
          <w:ilvl w:val="0"/>
          <w:numId w:val="2"/>
        </w:numPr>
        <w:spacing w:after="40" w:before="40"/>
      </w:pPr>
      <w:r>
        <w:t xml:space="preserve">Both models shall be trained on a multivariate dataset spanning 2000–2023.</w:t>
      </w:r>
    </w:p>
    <w:p>
      <w:pPr>
        <w:pStyle w:val="ListParagraph"/>
        <w:numPr>
          <w:ilvl w:val="0"/>
          <w:numId w:val="2"/>
        </w:numPr>
        <w:spacing w:after="40" w:before="40"/>
      </w:pPr>
      <w:r>
        <w:t xml:space="preserve">Model predictions shall be ensembled (averaged or stacked) to produce a final risk score.</w:t>
      </w:r>
    </w:p>
    <w:p>
      <w:pPr>
        <w:pStyle w:val="ListParagraph"/>
        <w:numPr>
          <w:ilvl w:val="0"/>
          <w:numId w:val="2"/>
        </w:numPr>
        <w:spacing w:after="40" w:before="40"/>
      </w:pPr>
      <w:r>
        <w:t xml:space="preserve">Models shall be retrained automatically on a configurable schedule (default: monthly) as new surveillance data becomes available.</w:t>
      </w:r>
    </w:p>
    <w:p>
      <w:pPr>
        <w:pStyle w:val="ListParagraph"/>
        <w:numPr>
          <w:ilvl w:val="0"/>
          <w:numId w:val="2"/>
        </w:numPr>
        <w:spacing w:after="40" w:before="40"/>
      </w:pPr>
      <w:r>
        <w:t xml:space="preserve">Model artifacts (.pkl / .joblib files) shall be versioned and stored in Supabase Storage with metadata (training date, feature set version, AUC score).</w:t>
      </w:r>
    </w:p>
    <w:p>
      <w:pPr>
        <w:spacing w:after="60" w:before="60"/>
      </w:pPr>
      <w:r>
        <w:t xml:space="preserve"/>
      </w:r>
    </w:p>
    <w:p>
      <w:pPr>
        <w:pStyle w:val="Heading3"/>
      </w:pPr>
      <w:r>
        <w:rPr>
          <w:b/>
          <w:bCs/>
        </w:rPr>
        <w:t xml:space="preserve">6.1.2 Feature Set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00"/>
      </w:tblGrid>
      <w:tr>
        <w:tc>
          <w:tcPr>
            <w:tcW w:type="dxa" w:w="24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Feature Category</w:t>
            </w:r>
          </w:p>
        </w:tc>
        <w:tc>
          <w:tcPr>
            <w:tcW w:type="dxa" w:w="24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Feature Name</w:t>
            </w:r>
          </w:p>
        </w:tc>
        <w:tc>
          <w:tcPr>
            <w:tcW w:type="dxa" w:w="44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bCs/>
                <w:sz w:val="20"/>
                <w:szCs w:val="20"/>
              </w:rPr>
              <w:t xml:space="preserve">Climate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mean_temp_t1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Mean temperature, 1-week lag</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Climate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mean_temp_t2</w:t>
            </w:r>
          </w:p>
        </w:tc>
        <w:tc>
          <w:tcPr>
            <w:tcW w:type="dxa" w:w="4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Mean temperature, 2-week 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Climate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mean_humidity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Weekly mean relative humidity (%)</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Climate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humidity_flag</w:t>
            </w:r>
          </w:p>
        </w:tc>
        <w:tc>
          <w:tcPr>
            <w:tcW w:type="dxa" w:w="4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Binary: 1 if humidity &gt; 70% for ≥5 days in the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Climate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total_rainfall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Total weekly rainfall (mm)</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Climate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rainfall_4wk_rolling</w:t>
            </w:r>
          </w:p>
        </w:tc>
        <w:tc>
          <w:tcPr>
            <w:tcW w:type="dxa" w:w="4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4-week cumulative rolling rainfall (mm)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Demographic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pop_density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Population per sq km (district level)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Demographic</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urban_proportion</w:t>
            </w:r>
          </w:p>
        </w:tc>
        <w:tc>
          <w:tcPr>
            <w:tcW w:type="dxa" w:w="4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 of district population in urban areas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Land 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agri_land_pct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 of district area classified as agricultural land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Epidemiological</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cases_t1</w:t>
            </w:r>
          </w:p>
        </w:tc>
        <w:tc>
          <w:tcPr>
            <w:tcW w:type="dxa" w:w="4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Confirmed dengue cases, 1-week 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Epidemiological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cases_t2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Confirmed dengue cases, 2-week lag</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Epidemiological</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cases_4wk_avg</w:t>
            </w:r>
          </w:p>
        </w:tc>
        <w:tc>
          <w:tcPr>
            <w:tcW w:type="dxa" w:w="4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4-week rolling average of confirmed cases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Temporal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week_of_year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ISO week number (1–52); captures seasonality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Temporal</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year</w:t>
            </w:r>
          </w:p>
        </w:tc>
        <w:tc>
          <w:tcPr>
            <w:tcW w:type="dxa" w:w="4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Calendar year; captures secular trends</w:t>
            </w:r>
          </w:p>
        </w:tc>
      </w:tr>
    </w:tbl>
    <w:p>
      <w:pPr>
        <w:spacing w:after="60" w:before="60"/>
      </w:pPr>
      <w:r>
        <w:t xml:space="preserve"/>
      </w:r>
    </w:p>
    <w:p>
      <w:pPr>
        <w:pStyle w:val="Heading3"/>
      </w:pPr>
      <w:r>
        <w:rPr>
          <w:b/>
          <w:bCs/>
        </w:rPr>
        <w:t xml:space="preserve">6.1.3 SHAP Explainability</w:t>
      </w:r>
    </w:p>
    <w:p>
      <w:pPr>
        <w:pStyle w:val="ListParagraph"/>
        <w:numPr>
          <w:ilvl w:val="0"/>
          <w:numId w:val="2"/>
        </w:numPr>
        <w:spacing w:after="40" w:before="40"/>
      </w:pPr>
      <w:r>
        <w:t xml:space="preserve">The system shall compute SHAP values for every district prediction in every forecast cycle.</w:t>
      </w:r>
    </w:p>
    <w:p>
      <w:pPr>
        <w:pStyle w:val="ListParagraph"/>
        <w:numPr>
          <w:ilvl w:val="0"/>
          <w:numId w:val="2"/>
        </w:numPr>
        <w:spacing w:after="40" w:before="40"/>
      </w:pPr>
      <w:r>
        <w:t xml:space="preserve">SHAP explanations shall display the top 5 feature contributors (positive and negative) for each district risk score.</w:t>
      </w:r>
    </w:p>
    <w:p>
      <w:pPr>
        <w:pStyle w:val="ListParagraph"/>
        <w:numPr>
          <w:ilvl w:val="0"/>
          <w:numId w:val="2"/>
        </w:numPr>
        <w:spacing w:after="40" w:before="40"/>
      </w:pPr>
      <w:r>
        <w:t xml:space="preserve">SHAP output shall be rendered as a horizontal bar chart in the district detail view visible to District Health Officers and DGHS Administrators.</w:t>
      </w:r>
    </w:p>
    <w:p>
      <w:pPr>
        <w:pStyle w:val="ListParagraph"/>
        <w:numPr>
          <w:ilvl w:val="0"/>
          <w:numId w:val="2"/>
        </w:numPr>
        <w:spacing w:after="40" w:before="40"/>
      </w:pPr>
      <w:r>
        <w:t xml:space="preserve">SHAP values shall be stored per-prediction in the database to enable historical attribution analysis.</w:t>
      </w:r>
    </w:p>
    <w:p>
      <w:pPr>
        <w:spacing w:after="60" w:before="60"/>
      </w:pPr>
      <w:r>
        <w:t xml:space="preserve"/>
      </w:r>
    </w:p>
    <w:p>
      <w:pPr>
        <w:pStyle w:val="Heading3"/>
      </w:pPr>
      <w:r>
        <w:rPr>
          <w:b/>
          <w:bCs/>
        </w:rPr>
        <w:t xml:space="preserve">6.1.4 Forecast Output</w:t>
      </w:r>
    </w:p>
    <w:p>
      <w:pPr>
        <w:pStyle w:val="ListParagraph"/>
        <w:numPr>
          <w:ilvl w:val="0"/>
          <w:numId w:val="2"/>
        </w:numPr>
        <w:spacing w:after="40" w:before="40"/>
      </w:pPr>
      <w:r>
        <w:t xml:space="preserve">The system shall produce risk scores for each of the 64 districts for each of the next 4 weeks.</w:t>
      </w:r>
    </w:p>
    <w:p>
      <w:pPr>
        <w:pStyle w:val="ListParagraph"/>
        <w:numPr>
          <w:ilvl w:val="0"/>
          <w:numId w:val="2"/>
        </w:numPr>
        <w:spacing w:after="40" w:before="40"/>
      </w:pPr>
      <w:r>
        <w:t xml:space="preserve">Each risk score shall be a continuous probability value (0–1) and a discrete classification (Low / Medium / High / Critical).</w:t>
      </w:r>
    </w:p>
    <w:p>
      <w:pPr>
        <w:pStyle w:val="ListParagraph"/>
        <w:numPr>
          <w:ilvl w:val="0"/>
          <w:numId w:val="2"/>
        </w:numPr>
        <w:spacing w:after="40" w:before="40"/>
      </w:pPr>
      <w:r>
        <w:t xml:space="preserve">Forecasts shall be generated on a weekly schedule and on-demand via API.</w:t>
      </w:r>
    </w:p>
    <w:p>
      <w:pPr>
        <w:pBdr>
          <w:bottom w:val="single" w:color="2E86C1" w:sz="4" w:space="1"/>
        </w:pBdr>
        <w:spacing w:after="160" w:before="160"/>
      </w:pPr>
      <w:r>
        <w:t xml:space="preserve"/>
      </w:r>
    </w:p>
    <w:p>
      <w:pPr>
        <w:pStyle w:val="Heading2"/>
      </w:pPr>
      <w:r>
        <w:rPr>
          <w:b/>
          <w:bCs/>
        </w:rPr>
        <w:t xml:space="preserve">6.2 Risk Scoring &amp; Classification</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000"/>
      </w:tblGrid>
      <w:tr>
        <w:tc>
          <w:tcPr>
            <w:tcW w:type="dxa" w:w="18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Risk Level</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Score Range</w:t>
            </w:r>
          </w:p>
        </w:tc>
        <w:tc>
          <w:tcPr>
            <w:tcW w:type="dxa" w:w="24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Map Color</w:t>
            </w:r>
          </w:p>
        </w:tc>
        <w:tc>
          <w:tcPr>
            <w:tcW w:type="dxa" w:w="30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Recommended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bCs/>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0.00 – 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Green (#27AE60)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Routine surveillance; no immediate action required.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bCs/>
                <w:sz w:val="20"/>
                <w:szCs w:val="20"/>
              </w:rPr>
              <w:t xml:space="preserve">Medium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0.26 – 0.50</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Yellow (#F1C40F)</w:t>
            </w:r>
          </w:p>
        </w:tc>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Heightened monitoring; prepare fogging equipment; public awareness messaging.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bCs/>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0.51 – 0.75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Orange (#E67E22)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Deploy fogging teams; pre-allocate hospital beds; activate media advisories.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bCs/>
                <w:sz w:val="20"/>
                <w:szCs w:val="20"/>
              </w:rPr>
              <w:t xml:space="preserve">Critical</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0.76 – 1.00</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Red (#C0392B)</w:t>
            </w:r>
          </w:p>
        </w:tc>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Immediate emergency response; mobilize surge capacity; escalate to DGHS central.</w:t>
            </w:r>
          </w:p>
        </w:tc>
      </w:tr>
    </w:tbl>
    <w:p>
      <w:pPr>
        <w:spacing w:after="60" w:before="60"/>
      </w:pPr>
      <w:r>
        <w:t xml:space="preserve"/>
      </w:r>
    </w:p>
    <w:p>
      <w:pPr>
        <w:pStyle w:val="ListParagraph"/>
        <w:numPr>
          <w:ilvl w:val="0"/>
          <w:numId w:val="2"/>
        </w:numPr>
        <w:spacing w:after="40" w:before="40"/>
      </w:pPr>
      <w:r>
        <w:t xml:space="preserve">Risk classification thresholds shall be configurable by DGHS Administrators via the admin panel.</w:t>
      </w:r>
    </w:p>
    <w:p>
      <w:pPr>
        <w:pStyle w:val="ListParagraph"/>
        <w:numPr>
          <w:ilvl w:val="0"/>
          <w:numId w:val="2"/>
        </w:numPr>
        <w:spacing w:after="40" w:before="40"/>
      </w:pPr>
      <w:r>
        <w:t xml:space="preserve">A "risk trajectory" indicator shall display week-over-week change (increasing / stable / decreasing) alongside each district score.</w:t>
      </w:r>
    </w:p>
    <w:p>
      <w:pPr>
        <w:pStyle w:val="ListParagraph"/>
        <w:numPr>
          <w:ilvl w:val="0"/>
          <w:numId w:val="2"/>
        </w:numPr>
        <w:spacing w:after="40" w:before="40"/>
      </w:pPr>
      <w:r>
        <w:t xml:space="preserve">Historical risk score timelines shall be available per district going back to the start of the prediction record.</w:t>
      </w:r>
    </w:p>
    <w:p>
      <w:pPr>
        <w:pBdr>
          <w:bottom w:val="single" w:color="2E86C1" w:sz="4" w:space="1"/>
        </w:pBdr>
        <w:spacing w:after="160" w:before="160"/>
      </w:pPr>
      <w:r>
        <w:t xml:space="preserve"/>
      </w:r>
    </w:p>
    <w:p>
      <w:pPr>
        <w:pStyle w:val="Heading2"/>
      </w:pPr>
      <w:r>
        <w:rPr>
          <w:b/>
          <w:bCs/>
        </w:rPr>
        <w:t xml:space="preserve">6.3 Alert &amp; Notification System</w:t>
      </w:r>
    </w:p>
    <w:p>
      <w:pPr>
        <w:spacing w:after="60" w:before="60"/>
      </w:pPr>
      <w:r>
        <w:t xml:space="preserve"/>
      </w:r>
    </w:p>
    <w:p>
      <w:pPr>
        <w:pStyle w:val="Heading3"/>
      </w:pPr>
      <w:r>
        <w:rPr>
          <w:b/>
          <w:bCs/>
        </w:rPr>
        <w:t xml:space="preserve">6.3.1 Alert Triggers</w:t>
      </w:r>
    </w:p>
    <w:p>
      <w:pPr>
        <w:pStyle w:val="ListParagraph"/>
        <w:numPr>
          <w:ilvl w:val="0"/>
          <w:numId w:val="2"/>
        </w:numPr>
        <w:spacing w:after="40" w:before="40"/>
      </w:pPr>
      <w:r>
        <w:t xml:space="preserve">Automatic alert when a district transitions from Medium to High risk.</w:t>
      </w:r>
    </w:p>
    <w:p>
      <w:pPr>
        <w:pStyle w:val="ListParagraph"/>
        <w:numPr>
          <w:ilvl w:val="0"/>
          <w:numId w:val="2"/>
        </w:numPr>
        <w:spacing w:after="40" w:before="40"/>
      </w:pPr>
      <w:r>
        <w:t xml:space="preserve">Automatic alert when a district transitions from High to Critical risk.</w:t>
      </w:r>
    </w:p>
    <w:p>
      <w:pPr>
        <w:pStyle w:val="ListParagraph"/>
        <w:numPr>
          <w:ilvl w:val="0"/>
          <w:numId w:val="2"/>
        </w:numPr>
        <w:spacing w:after="40" w:before="40"/>
      </w:pPr>
      <w:r>
        <w:t xml:space="preserve">Scheduled weekly summary alerts to all registered District Health Officers every Monday at 8:00 AM Bangladesh Standard Time (BST, UTC+6).</w:t>
      </w:r>
    </w:p>
    <w:p>
      <w:pPr>
        <w:pStyle w:val="ListParagraph"/>
        <w:numPr>
          <w:ilvl w:val="0"/>
          <w:numId w:val="2"/>
        </w:numPr>
        <w:spacing w:after="40" w:before="40"/>
      </w:pPr>
      <w:r>
        <w:t xml:space="preserve">On-demand manual alerts from DGHS Administrators to selected districts or all districts.</w:t>
      </w:r>
    </w:p>
    <w:p>
      <w:pPr>
        <w:spacing w:after="60" w:before="60"/>
      </w:pPr>
      <w:r>
        <w:t xml:space="preserve"/>
      </w:r>
    </w:p>
    <w:p>
      <w:pPr>
        <w:pStyle w:val="Heading3"/>
      </w:pPr>
      <w:r>
        <w:rPr>
          <w:b/>
          <w:bCs/>
        </w:rPr>
        <w:t xml:space="preserve">6.3.2 Alert Channels</w:t>
      </w:r>
    </w:p>
    <w:p>
      <w:pPr>
        <w:pStyle w:val="ListParagraph"/>
        <w:numPr>
          <w:ilvl w:val="0"/>
          <w:numId w:val="2"/>
        </w:numPr>
        <w:spacing w:after="40" w:before="40"/>
      </w:pPr>
      <w:r>
        <w:t xml:space="preserve">Email: delivered via Resend API. Template-driven HTML emails with district name, risk level badge, top SHAP drivers, recommended actions, and a direct link to the district dashboard.</w:t>
      </w:r>
    </w:p>
    <w:p>
      <w:pPr>
        <w:pStyle w:val="ListParagraph"/>
        <w:numPr>
          <w:ilvl w:val="0"/>
          <w:numId w:val="2"/>
        </w:numPr>
        <w:spacing w:after="40" w:before="40"/>
      </w:pPr>
      <w:r>
        <w:t xml:space="preserve">SMS: delivered via Twilio primary with a local SMS Gateway as failover. SMS content must fit within 160 characters and include district name, risk level, and dashboard link.</w:t>
      </w:r>
    </w:p>
    <w:p>
      <w:pPr>
        <w:pStyle w:val="ListParagraph"/>
        <w:numPr>
          <w:ilvl w:val="0"/>
          <w:numId w:val="2"/>
        </w:numPr>
        <w:spacing w:after="40" w:before="40"/>
      </w:pPr>
      <w:r>
        <w:t xml:space="preserve">In-app notifications: displayed in the notification bell in the dashboard header for authenticated users.</w:t>
      </w:r>
    </w:p>
    <w:p>
      <w:pPr>
        <w:spacing w:after="60" w:before="60"/>
      </w:pPr>
      <w:r>
        <w:t xml:space="preserve"/>
      </w:r>
    </w:p>
    <w:p>
      <w:pPr>
        <w:pStyle w:val="Heading3"/>
      </w:pPr>
      <w:r>
        <w:rPr>
          <w:b/>
          <w:bCs/>
        </w:rPr>
        <w:t xml:space="preserve">6.3.3 Alert Management</w:t>
      </w:r>
    </w:p>
    <w:p>
      <w:pPr>
        <w:pStyle w:val="ListParagraph"/>
        <w:numPr>
          <w:ilvl w:val="0"/>
          <w:numId w:val="2"/>
        </w:numPr>
        <w:spacing w:after="40" w:before="40"/>
      </w:pPr>
      <w:r>
        <w:t xml:space="preserve">DGHS Administrators shall be able to configure per-district alert recipients (email and phone number).</w:t>
      </w:r>
    </w:p>
    <w:p>
      <w:pPr>
        <w:pStyle w:val="ListParagraph"/>
        <w:numPr>
          <w:ilvl w:val="0"/>
          <w:numId w:val="2"/>
        </w:numPr>
        <w:spacing w:after="40" w:before="40"/>
      </w:pPr>
      <w:r>
        <w:t xml:space="preserve">Each alert shall be logged in the database with timestamp, channel, recipient, delivery status, and retry count.</w:t>
      </w:r>
    </w:p>
    <w:p>
      <w:pPr>
        <w:pStyle w:val="ListParagraph"/>
        <w:numPr>
          <w:ilvl w:val="0"/>
          <w:numId w:val="2"/>
        </w:numPr>
        <w:spacing w:after="40" w:before="40"/>
      </w:pPr>
      <w:r>
        <w:t xml:space="preserve">Failed alerts shall be retried up to 3 times with exponential backoff.</w:t>
      </w:r>
    </w:p>
    <w:p>
      <w:pPr>
        <w:pStyle w:val="ListParagraph"/>
        <w:numPr>
          <w:ilvl w:val="0"/>
          <w:numId w:val="2"/>
        </w:numPr>
        <w:spacing w:after="40" w:before="40"/>
      </w:pPr>
      <w:r>
        <w:t xml:space="preserve">Alert delivery status (delivered / failed / pending) shall be visible in the admin panel.</w:t>
      </w:r>
    </w:p>
    <w:p>
      <w:pPr>
        <w:pStyle w:val="ListParagraph"/>
        <w:numPr>
          <w:ilvl w:val="0"/>
          <w:numId w:val="2"/>
        </w:numPr>
        <w:spacing w:after="40" w:before="40"/>
      </w:pPr>
      <w:r>
        <w:t xml:space="preserve">Recipients may opt out of SMS alerts (but not email alerts for critical risk levels, per compliance requirements).</w:t>
      </w:r>
    </w:p>
    <w:p>
      <w:pPr>
        <w:pBdr>
          <w:bottom w:val="single" w:color="2E86C1" w:sz="4" w:space="1"/>
        </w:pBdr>
        <w:spacing w:after="160" w:before="160"/>
      </w:pPr>
      <w:r>
        <w:t xml:space="preserve"/>
      </w:r>
    </w:p>
    <w:p>
      <w:pPr>
        <w:pStyle w:val="Heading2"/>
      </w:pPr>
      <w:r>
        <w:rPr>
          <w:b/>
          <w:bCs/>
        </w:rPr>
        <w:t xml:space="preserve">6.4 Interactive Dashboard &amp; Map</w:t>
      </w:r>
    </w:p>
    <w:p>
      <w:pPr>
        <w:spacing w:after="60" w:before="60"/>
      </w:pPr>
      <w:r>
        <w:t xml:space="preserve"/>
      </w:r>
    </w:p>
    <w:p>
      <w:pPr>
        <w:pStyle w:val="Heading3"/>
      </w:pPr>
      <w:r>
        <w:rPr>
          <w:b/>
          <w:bCs/>
        </w:rPr>
        <w:t xml:space="preserve">6.4.1 National Overview (DGHS Administrator View)</w:t>
      </w:r>
    </w:p>
    <w:p>
      <w:pPr>
        <w:pStyle w:val="ListParagraph"/>
        <w:numPr>
          <w:ilvl w:val="0"/>
          <w:numId w:val="2"/>
        </w:numPr>
        <w:spacing w:after="40" w:before="40"/>
      </w:pPr>
      <w:r>
        <w:t xml:space="preserve">A full-screen interactive choropleth map of Bangladesh displaying all 64 districts color-coded by current risk level (Low/Medium/High/Critical).</w:t>
      </w:r>
    </w:p>
    <w:p>
      <w:pPr>
        <w:pStyle w:val="ListParagraph"/>
        <w:numPr>
          <w:ilvl w:val="0"/>
          <w:numId w:val="2"/>
        </w:numPr>
        <w:spacing w:after="40" w:before="40"/>
      </w:pPr>
      <w:r>
        <w:t xml:space="preserve">Map implemented using Leaflet with GeoJSON layers; district shapefiles stored in Supabase Storage.</w:t>
      </w:r>
    </w:p>
    <w:p>
      <w:pPr>
        <w:pStyle w:val="ListParagraph"/>
        <w:numPr>
          <w:ilvl w:val="0"/>
          <w:numId w:val="2"/>
        </w:numPr>
        <w:spacing w:after="40" w:before="40"/>
      </w:pPr>
      <w:r>
        <w:t xml:space="preserve">Hover tooltip: district name, current risk score, risk level, week-over-week trend arrow.</w:t>
      </w:r>
    </w:p>
    <w:p>
      <w:pPr>
        <w:pStyle w:val="ListParagraph"/>
        <w:numPr>
          <w:ilvl w:val="0"/>
          <w:numId w:val="2"/>
        </w:numPr>
        <w:spacing w:after="40" w:before="40"/>
      </w:pPr>
      <w:r>
        <w:t xml:space="preserve">Click on district: opens a right-panel detail view without leaving the map.</w:t>
      </w:r>
    </w:p>
    <w:p>
      <w:pPr>
        <w:pStyle w:val="ListParagraph"/>
        <w:numPr>
          <w:ilvl w:val="0"/>
          <w:numId w:val="2"/>
        </w:numPr>
        <w:spacing w:after="40" w:before="40"/>
      </w:pPr>
      <w:r>
        <w:t xml:space="preserve">Map controls: zoom in/out, reset to full-country view, toggle between current week and forecast weeks (W+1 through W+4).</w:t>
      </w:r>
    </w:p>
    <w:p>
      <w:pPr>
        <w:pStyle w:val="ListParagraph"/>
        <w:numPr>
          <w:ilvl w:val="0"/>
          <w:numId w:val="2"/>
        </w:numPr>
        <w:spacing w:after="40" w:before="40"/>
      </w:pPr>
      <w:r>
        <w:t xml:space="preserve">Summary statistics bar: total districts at each risk level, national trend indicator.</w:t>
      </w:r>
    </w:p>
    <w:p>
      <w:pPr>
        <w:spacing w:after="60" w:before="60"/>
      </w:pPr>
      <w:r>
        <w:t xml:space="preserve"/>
      </w:r>
    </w:p>
    <w:p>
      <w:pPr>
        <w:pStyle w:val="Heading3"/>
      </w:pPr>
      <w:r>
        <w:rPr>
          <w:b/>
          <w:bCs/>
        </w:rPr>
        <w:t xml:space="preserve">6.4.2 District Detail View</w:t>
      </w:r>
    </w:p>
    <w:p>
      <w:pPr>
        <w:pStyle w:val="ListParagraph"/>
        <w:numPr>
          <w:ilvl w:val="0"/>
          <w:numId w:val="2"/>
        </w:numPr>
        <w:spacing w:after="40" w:before="40"/>
      </w:pPr>
      <w:r>
        <w:t xml:space="preserve">District name, division, current population, current risk score and classification badge.</w:t>
      </w:r>
    </w:p>
    <w:p>
      <w:pPr>
        <w:pStyle w:val="ListParagraph"/>
        <w:numPr>
          <w:ilvl w:val="0"/>
          <w:numId w:val="2"/>
        </w:numPr>
        <w:spacing w:after="40" w:before="40"/>
      </w:pPr>
      <w:r>
        <w:t xml:space="preserve">4-week forecast timeline chart (line chart) showing predicted risk score trajectory.</w:t>
      </w:r>
    </w:p>
    <w:p>
      <w:pPr>
        <w:pStyle w:val="ListParagraph"/>
        <w:numPr>
          <w:ilvl w:val="0"/>
          <w:numId w:val="2"/>
        </w:numPr>
        <w:spacing w:after="40" w:before="40"/>
      </w:pPr>
      <w:r>
        <w:t xml:space="preserve">SHAP feature attribution chart (horizontal bar, top 5 positive and negative contributors).</w:t>
      </w:r>
    </w:p>
    <w:p>
      <w:pPr>
        <w:pStyle w:val="ListParagraph"/>
        <w:numPr>
          <w:ilvl w:val="0"/>
          <w:numId w:val="2"/>
        </w:numPr>
        <w:spacing w:after="40" w:before="40"/>
      </w:pPr>
      <w:r>
        <w:t xml:space="preserve">Historical case count chart overlaid with historical risk score predictions (for validation).</w:t>
      </w:r>
    </w:p>
    <w:p>
      <w:pPr>
        <w:pStyle w:val="ListParagraph"/>
        <w:numPr>
          <w:ilvl w:val="0"/>
          <w:numId w:val="2"/>
        </w:numPr>
        <w:spacing w:after="40" w:before="40"/>
      </w:pPr>
      <w:r>
        <w:t xml:space="preserve">Active alerts for this district.</w:t>
      </w:r>
    </w:p>
    <w:p>
      <w:pPr>
        <w:pStyle w:val="ListParagraph"/>
        <w:numPr>
          <w:ilvl w:val="0"/>
          <w:numId w:val="2"/>
        </w:numPr>
        <w:spacing w:after="40" w:before="40"/>
      </w:pPr>
      <w:r>
        <w:t xml:space="preserve">Download district report as PDF button.</w:t>
      </w:r>
    </w:p>
    <w:p>
      <w:pPr>
        <w:spacing w:after="60" w:before="60"/>
      </w:pPr>
      <w:r>
        <w:t xml:space="preserve"/>
      </w:r>
    </w:p>
    <w:p>
      <w:pPr>
        <w:pStyle w:val="Heading3"/>
      </w:pPr>
      <w:r>
        <w:rPr>
          <w:b/>
          <w:bCs/>
        </w:rPr>
        <w:t xml:space="preserve">6.4.3 Hospital Administrator View</w:t>
      </w:r>
    </w:p>
    <w:p>
      <w:pPr>
        <w:pStyle w:val="ListParagraph"/>
        <w:numPr>
          <w:ilvl w:val="0"/>
          <w:numId w:val="2"/>
        </w:numPr>
        <w:spacing w:after="40" w:before="40"/>
      </w:pPr>
      <w:r>
        <w:t xml:space="preserve">Table view of upcoming 4-week risk trajectory for their district.</w:t>
      </w:r>
    </w:p>
    <w:p>
      <w:pPr>
        <w:pStyle w:val="ListParagraph"/>
        <w:numPr>
          <w:ilvl w:val="0"/>
          <w:numId w:val="2"/>
        </w:numPr>
        <w:spacing w:after="40" w:before="40"/>
      </w:pPr>
      <w:r>
        <w:t xml:space="preserve">Estimated case range (based on model confidence intervals) for surge planning.</w:t>
      </w:r>
    </w:p>
    <w:p>
      <w:pPr>
        <w:pStyle w:val="ListParagraph"/>
        <w:numPr>
          <w:ilvl w:val="0"/>
          <w:numId w:val="2"/>
        </w:numPr>
        <w:spacing w:after="40" w:before="40"/>
      </w:pPr>
      <w:r>
        <w:t xml:space="preserve">Comparison with same-period data from prior years.</w:t>
      </w:r>
    </w:p>
    <w:p>
      <w:pPr>
        <w:pStyle w:val="ListParagraph"/>
        <w:numPr>
          <w:ilvl w:val="0"/>
          <w:numId w:val="2"/>
        </w:numPr>
        <w:spacing w:after="40" w:before="40"/>
      </w:pPr>
      <w:r>
        <w:t xml:space="preserve">Resource pre-allocation checklist (bed allocation, IV drip inventory, dengue test kit status) — editable fields saved to the district record.</w:t>
      </w:r>
    </w:p>
    <w:p>
      <w:pPr>
        <w:pBdr>
          <w:bottom w:val="single" w:color="2E86C1" w:sz="4" w:space="1"/>
        </w:pBdr>
        <w:spacing w:after="160" w:before="160"/>
      </w:pPr>
      <w:r>
        <w:t xml:space="preserve"/>
      </w:r>
    </w:p>
    <w:p>
      <w:pPr>
        <w:pStyle w:val="Heading2"/>
      </w:pPr>
      <w:r>
        <w:rPr>
          <w:b/>
          <w:bCs/>
        </w:rPr>
        <w:t xml:space="preserve">6.5 Citizen Portal</w:t>
      </w:r>
    </w:p>
    <w:p>
      <w:pPr>
        <w:pStyle w:val="ListParagraph"/>
        <w:numPr>
          <w:ilvl w:val="0"/>
          <w:numId w:val="2"/>
        </w:numPr>
        <w:spacing w:after="40" w:before="40"/>
      </w:pPr>
      <w:r>
        <w:t xml:space="preserve">Simple landing page: search bar for district name or GPS-based detection.</w:t>
      </w:r>
    </w:p>
    <w:p>
      <w:pPr>
        <w:pStyle w:val="ListParagraph"/>
        <w:numPr>
          <w:ilvl w:val="0"/>
          <w:numId w:val="2"/>
        </w:numPr>
        <w:spacing w:after="40" w:before="40"/>
      </w:pPr>
      <w:r>
        <w:t xml:space="preserve">Results page: district name, current risk level (plain language), risk level badge, last updated date.</w:t>
      </w:r>
    </w:p>
    <w:p>
      <w:pPr>
        <w:pStyle w:val="ListParagraph"/>
        <w:numPr>
          <w:ilvl w:val="0"/>
          <w:numId w:val="2"/>
        </w:numPr>
        <w:spacing w:after="40" w:before="40"/>
      </w:pPr>
      <w:r>
        <w:t xml:space="preserve">Contextual public health guidance based on risk level (e.g., "Use mosquito repellent," "Seek medical attention if you develop fever and rash").</w:t>
      </w:r>
    </w:p>
    <w:p>
      <w:pPr>
        <w:pStyle w:val="ListParagraph"/>
        <w:numPr>
          <w:ilvl w:val="0"/>
          <w:numId w:val="2"/>
        </w:numPr>
        <w:spacing w:after="40" w:before="40"/>
      </w:pPr>
      <w:r>
        <w:t xml:space="preserve">Symptom checker: brief Q&amp;A flow that recommends whether to self-monitor, visit a clinic, or go to hospital.</w:t>
      </w:r>
    </w:p>
    <w:p>
      <w:pPr>
        <w:pStyle w:val="ListParagraph"/>
        <w:numPr>
          <w:ilvl w:val="0"/>
          <w:numId w:val="2"/>
        </w:numPr>
        <w:spacing w:after="40" w:before="40"/>
      </w:pPr>
      <w:r>
        <w:t xml:space="preserve">Nearest health facility list sourced from DGHS facility registry.</w:t>
      </w:r>
    </w:p>
    <w:p>
      <w:pPr>
        <w:pStyle w:val="ListParagraph"/>
        <w:numPr>
          <w:ilvl w:val="0"/>
          <w:numId w:val="2"/>
        </w:numPr>
        <w:spacing w:after="40" w:before="40"/>
      </w:pPr>
      <w:r>
        <w:t xml:space="preserve">Bilingual: all UI strings available in English and Bengali (bn-BD locale); user can toggle language.</w:t>
      </w:r>
    </w:p>
    <w:p>
      <w:pPr>
        <w:pStyle w:val="ListParagraph"/>
        <w:numPr>
          <w:ilvl w:val="0"/>
          <w:numId w:val="2"/>
        </w:numPr>
        <w:spacing w:after="40" w:before="40"/>
      </w:pPr>
      <w:r>
        <w:t xml:space="preserve">Mobile-responsive design; accessible without authentication.</w:t>
      </w:r>
    </w:p>
    <w:p>
      <w:pPr>
        <w:pStyle w:val="ListParagraph"/>
        <w:numPr>
          <w:ilvl w:val="0"/>
          <w:numId w:val="2"/>
        </w:numPr>
        <w:spacing w:after="40" w:before="40"/>
      </w:pPr>
      <w:r>
        <w:t xml:space="preserve">No personally identifiable data is collected from anonymous citizens.</w:t>
      </w:r>
    </w:p>
    <w:p>
      <w:pPr>
        <w:pBdr>
          <w:bottom w:val="single" w:color="2E86C1" w:sz="4" w:space="1"/>
        </w:pBdr>
        <w:spacing w:after="160" w:before="160"/>
      </w:pPr>
      <w:r>
        <w:t xml:space="preserve"/>
      </w:r>
    </w:p>
    <w:p>
      <w:pPr>
        <w:pStyle w:val="Heading2"/>
      </w:pPr>
      <w:r>
        <w:rPr>
          <w:b/>
          <w:bCs/>
        </w:rPr>
        <w:t xml:space="preserve">6.6 Authentication &amp; Role-Based Access Control</w:t>
      </w:r>
    </w:p>
    <w:p>
      <w:pPr>
        <w:spacing w:after="60" w:before="60"/>
      </w:pPr>
      <w:r>
        <w:t xml:space="preserve"/>
      </w:r>
    </w:p>
    <w:p>
      <w:pPr>
        <w:pStyle w:val="Heading3"/>
      </w:pPr>
      <w:r>
        <w:rPr>
          <w:b/>
          <w:bCs/>
        </w:rPr>
        <w:t xml:space="preserve">6.6.1 Authentication</w:t>
      </w:r>
    </w:p>
    <w:p>
      <w:pPr>
        <w:pStyle w:val="ListParagraph"/>
        <w:numPr>
          <w:ilvl w:val="0"/>
          <w:numId w:val="2"/>
        </w:numPr>
        <w:spacing w:after="40" w:before="40"/>
      </w:pPr>
      <w:r>
        <w:t xml:space="preserve">Authentication implemented via Supabase Auth with JWT tokens.</w:t>
      </w:r>
    </w:p>
    <w:p>
      <w:pPr>
        <w:pStyle w:val="ListParagraph"/>
        <w:numPr>
          <w:ilvl w:val="0"/>
          <w:numId w:val="2"/>
        </w:numPr>
        <w:spacing w:after="40" w:before="40"/>
      </w:pPr>
      <w:r>
        <w:t xml:space="preserve">Login methods: email + password, with optional OTP (one-time password) via email for additional security.</w:t>
      </w:r>
    </w:p>
    <w:p>
      <w:pPr>
        <w:pStyle w:val="ListParagraph"/>
        <w:numPr>
          <w:ilvl w:val="0"/>
          <w:numId w:val="2"/>
        </w:numPr>
        <w:spacing w:after="40" w:before="40"/>
      </w:pPr>
      <w:r>
        <w:t xml:space="preserve">Password recovery via email reset link.</w:t>
      </w:r>
    </w:p>
    <w:p>
      <w:pPr>
        <w:pStyle w:val="ListParagraph"/>
        <w:numPr>
          <w:ilvl w:val="0"/>
          <w:numId w:val="2"/>
        </w:numPr>
        <w:spacing w:after="40" w:before="40"/>
      </w:pPr>
      <w:r>
        <w:t xml:space="preserve">Email verification required on new account creation.</w:t>
      </w:r>
    </w:p>
    <w:p>
      <w:pPr>
        <w:pStyle w:val="ListParagraph"/>
        <w:numPr>
          <w:ilvl w:val="0"/>
          <w:numId w:val="2"/>
        </w:numPr>
        <w:spacing w:after="40" w:before="40"/>
      </w:pPr>
      <w:r>
        <w:t xml:space="preserve">Session expiry: 8 hours for standard users; configurable for administrators.</w:t>
      </w:r>
    </w:p>
    <w:p>
      <w:pPr>
        <w:spacing w:after="60" w:before="60"/>
      </w:pPr>
      <w:r>
        <w:t xml:space="preserve"/>
      </w:r>
    </w:p>
    <w:p>
      <w:pPr>
        <w:pStyle w:val="Heading3"/>
      </w:pPr>
      <w:r>
        <w:rPr>
          <w:b/>
          <w:bCs/>
        </w:rPr>
        <w:t xml:space="preserve">6.6.2 Role Definitions &amp; Permissions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200"/>
      </w:tblGrid>
      <w:tr>
        <w:tc>
          <w:tcPr>
            <w:tcW w:type="dxa" w:w="28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Feature / Action</w:t>
            </w:r>
          </w:p>
        </w:tc>
        <w:tc>
          <w:tcPr>
            <w:tcW w:type="dxa" w:w="14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Citizen</w:t>
            </w:r>
          </w:p>
        </w:tc>
        <w:tc>
          <w:tcPr>
            <w:tcW w:type="dxa" w:w="14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DHO</w:t>
            </w:r>
          </w:p>
        </w:tc>
        <w:tc>
          <w:tcPr>
            <w:tcW w:type="dxa" w:w="14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Hospital Admin</w:t>
            </w:r>
          </w:p>
        </w:tc>
        <w:tc>
          <w:tcPr>
            <w:tcW w:type="dxa" w:w="22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DGHS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View national choropleth 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Read-only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Full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Full</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View district risk score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Own district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Own district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Own district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All districts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View SHAP explanations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Yes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Receive SMS/email alerts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Yes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Export data / reports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Own district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Own district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All</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Upload datasets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No</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Configure alert thresholds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Yes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Manage user accounts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No</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Trigger manual alerts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Yes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View model performance metrics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No</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Yes</w:t>
            </w:r>
          </w:p>
        </w:tc>
      </w:tr>
    </w:tbl>
    <w:p>
      <w:pPr>
        <w:pBdr>
          <w:bottom w:val="single" w:color="2E86C1" w:sz="4" w:space="1"/>
        </w:pBdr>
        <w:spacing w:after="160" w:before="160"/>
      </w:pPr>
      <w:r>
        <w:t xml:space="preserve"/>
      </w:r>
    </w:p>
    <w:p>
      <w:pPr>
        <w:pStyle w:val="Heading2"/>
      </w:pPr>
      <w:r>
        <w:rPr>
          <w:b/>
          <w:bCs/>
        </w:rPr>
        <w:t xml:space="preserve">6.7 REST API Layer</w:t>
      </w:r>
    </w:p>
    <w:p>
      <w:pPr>
        <w:pStyle w:val="ListParagraph"/>
        <w:numPr>
          <w:ilvl w:val="0"/>
          <w:numId w:val="2"/>
        </w:numPr>
        <w:spacing w:after="40" w:before="40"/>
      </w:pPr>
      <w:r>
        <w:t xml:space="preserve">All ML and data operations shall be exposed as versioned REST API endpoints under /api/v1/.</w:t>
      </w:r>
    </w:p>
    <w:p>
      <w:pPr>
        <w:pStyle w:val="ListParagraph"/>
        <w:numPr>
          <w:ilvl w:val="0"/>
          <w:numId w:val="2"/>
        </w:numPr>
        <w:spacing w:after="40" w:before="40"/>
      </w:pPr>
      <w:r>
        <w:t xml:space="preserve">API authentication: Bearer token (JWT issued by Supabase Auth).</w:t>
      </w:r>
    </w:p>
    <w:p>
      <w:pPr>
        <w:pStyle w:val="ListParagraph"/>
        <w:numPr>
          <w:ilvl w:val="0"/>
          <w:numId w:val="2"/>
        </w:numPr>
        <w:spacing w:after="40" w:before="40"/>
      </w:pPr>
      <w:r>
        <w:t xml:space="preserve">API documentation: auto-generated via FastAPI /docs (Swagger UI) and /redoc endpoints.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3400"/>
      </w:tblGrid>
      <w:tr>
        <w:tc>
          <w:tcPr>
            <w:tcW w:type="dxa" w:w="14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Auth Required</w:t>
            </w:r>
          </w:p>
        </w:tc>
        <w:tc>
          <w:tcPr>
            <w:tcW w:type="dxa" w:w="34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/api/v1/forecasts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Yes (any role)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Latest 4-week risk scores for all 64 districts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GET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/api/v1/forecasts/{district_id}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Yes (any role)</w:t>
            </w:r>
          </w:p>
        </w:tc>
        <w:tc>
          <w:tcPr>
            <w:tcW w:type="dxa" w:w="3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Forecast + SHAP values for a specific district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/api/v1/history/{district_id}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Yes (DHO+)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Historical risk scores and case counts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POST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/api/v1/forecasts/generate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Yes (DGHS Admin)</w:t>
            </w:r>
          </w:p>
        </w:tc>
        <w:tc>
          <w:tcPr>
            <w:tcW w:type="dxa" w:w="3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Trigger on-demand forecast generation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/api/v1/alerts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Yes (DGHS 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List all alerts with delivery status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POST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/api/v1/alerts/send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Yes (DGHS Admin)</w:t>
            </w:r>
          </w:p>
        </w:tc>
        <w:tc>
          <w:tcPr>
            <w:tcW w:type="dxa" w:w="3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Manually trigger alert to district(s)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/api/v1/districts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No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List all districts with GeoJSON data</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GET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/api/v1/citizens/risk/{district}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No</w:t>
            </w:r>
          </w:p>
        </w:tc>
        <w:tc>
          <w:tcPr>
            <w:tcW w:type="dxa" w:w="3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Public endpoint: risk level + public health advice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/api/v1/data/upload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Yes (DGHS 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Upload surveillance or climate dataset (CSV)</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GET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/api/v1/model/metrics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Yes (DGHS Admin)</w:t>
            </w:r>
          </w:p>
        </w:tc>
        <w:tc>
          <w:tcPr>
            <w:tcW w:type="dxa" w:w="3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Current model performance metrics (AUC, F1)</w:t>
            </w:r>
          </w:p>
        </w:tc>
      </w:tr>
    </w:tbl>
    <w:p>
      <w:pPr>
        <w:pBdr>
          <w:bottom w:val="single" w:color="2E86C1" w:sz="4" w:space="1"/>
        </w:pBdr>
        <w:spacing w:after="160" w:before="160"/>
      </w:pPr>
      <w:r>
        <w:t xml:space="preserve"/>
      </w:r>
    </w:p>
    <w:p>
      <w:pPr>
        <w:pStyle w:val="Heading2"/>
      </w:pPr>
      <w:r>
        <w:rPr>
          <w:b/>
          <w:bCs/>
        </w:rPr>
        <w:t xml:space="preserve">6.8 Reporting &amp; Exports</w:t>
      </w:r>
    </w:p>
    <w:p>
      <w:pPr>
        <w:pStyle w:val="ListParagraph"/>
        <w:numPr>
          <w:ilvl w:val="0"/>
          <w:numId w:val="2"/>
        </w:numPr>
        <w:spacing w:after="40" w:before="40"/>
      </w:pPr>
      <w:r>
        <w:t xml:space="preserve">DGHS Administrators shall be able to export a full national risk report (all 64 districts, current + 4-week forecast) as a PDF.</w:t>
      </w:r>
    </w:p>
    <w:p>
      <w:pPr>
        <w:pStyle w:val="ListParagraph"/>
        <w:numPr>
          <w:ilvl w:val="0"/>
          <w:numId w:val="2"/>
        </w:numPr>
        <w:spacing w:after="40" w:before="40"/>
      </w:pPr>
      <w:r>
        <w:t xml:space="preserve">District Health Officers shall be able to export their district report as a PDF.</w:t>
      </w:r>
    </w:p>
    <w:p>
      <w:pPr>
        <w:pStyle w:val="ListParagraph"/>
        <w:numPr>
          <w:ilvl w:val="0"/>
          <w:numId w:val="2"/>
        </w:numPr>
        <w:spacing w:after="40" w:before="40"/>
      </w:pPr>
      <w:r>
        <w:t xml:space="preserve">DGHS Administrators shall be able to export raw prediction data as CSV for any date range.</w:t>
      </w:r>
    </w:p>
    <w:p>
      <w:pPr>
        <w:pStyle w:val="ListParagraph"/>
        <w:numPr>
          <w:ilvl w:val="0"/>
          <w:numId w:val="2"/>
        </w:numPr>
        <w:spacing w:after="40" w:before="40"/>
      </w:pPr>
      <w:r>
        <w:t xml:space="preserve">Reports shall include the generation timestamp, model version, and data source provenance.</w:t>
      </w:r>
    </w:p>
    <w:p>
      <w:pPr>
        <w:pStyle w:val="ListParagraph"/>
        <w:numPr>
          <w:ilvl w:val="0"/>
          <w:numId w:val="2"/>
        </w:numPr>
        <w:spacing w:after="40" w:before="40"/>
      </w:pPr>
      <w:r>
        <w:t xml:space="preserve">Generated reports shall be stored in Supabase Storage and accessible for 90 days.</w:t>
      </w:r>
    </w:p>
    <w:p>
      <w:r>
        <w:br w:type="page"/>
      </w:r>
    </w:p>
    <w:p>
      <w:pPr>
        <w:pStyle w:val="Heading1"/>
      </w:pPr>
      <w:r>
        <w:rPr>
          <w:b/>
          <w:bCs/>
        </w:rPr>
        <w:t xml:space="preserve">7. Non-Functional Requirements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tblGrid>
      <w:tr>
        <w:tc>
          <w:tcPr>
            <w:tcW w:type="dxa" w:w="20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Requirement</w:t>
            </w:r>
          </w:p>
        </w:tc>
        <w:tc>
          <w:tcPr>
            <w:tcW w:type="dxa" w:w="40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Acceptance Criterion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bCs/>
                <w:sz w:val="20"/>
                <w:szCs w:val="20"/>
              </w:rPr>
              <w:t xml:space="preserve">Performance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Dashboard initial load 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P95 &lt; 2 seconds on a 4G mobile connection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Performance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Forecast API response time</w:t>
            </w:r>
          </w:p>
        </w:tc>
        <w:tc>
          <w:tcPr>
            <w:tcW w:type="dxa" w:w="4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P99 &lt; 500ms for cached forecasts; &lt; 60s for on-demand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Availability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System uptime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99.5% monthly (scheduled maintenance windows &lt; 30 min, notified 24h in advance)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Scalability</w:t>
            </w:r>
          </w:p>
        </w:tc>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Concurrent users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Support 500 concurrent authenticated users without degradation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Security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Data in transit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All API and web traffic over TLS 1.2+</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Security</w:t>
            </w:r>
          </w:p>
        </w:tc>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Data at rest</w:t>
            </w:r>
          </w:p>
        </w:tc>
        <w:tc>
          <w:tcPr>
            <w:tcW w:type="dxa" w:w="4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Supabase AES-256 encryption for all stored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Security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API rate limiting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Public endpoints: 100 requests/minute per IP; authenticated: 1000/minute per user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Reliability</w:t>
            </w:r>
          </w:p>
        </w:tc>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Alert delivery</w:t>
            </w:r>
          </w:p>
        </w:tc>
        <w:tc>
          <w:tcPr>
            <w:tcW w:type="dxa" w:w="4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99% of triggered alerts delivered within 5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Maintainability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Code coverage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 80% test coverage for ML pipeline and API layer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Accessibility</w:t>
            </w:r>
          </w:p>
        </w:tc>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WCAG compliance</w:t>
            </w:r>
          </w:p>
        </w:tc>
        <w:tc>
          <w:tcPr>
            <w:tcW w:type="dxa" w:w="4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Citizen portal WCAG 2.1 AA compliant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Localization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Language support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100% of citizen-facing strings available in bn-BD locale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Data Retention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Prediction records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Stored indefinitely; raw training data backed up for 10 years</w:t>
            </w:r>
          </w:p>
        </w:tc>
      </w:tr>
    </w:tbl>
    <w:p>
      <w:r>
        <w:br w:type="page"/>
      </w:r>
    </w:p>
    <w:p>
      <w:pPr>
        <w:pStyle w:val="Heading1"/>
      </w:pPr>
      <w:r>
        <w:rPr>
          <w:b/>
          <w:bCs/>
        </w:rPr>
        <w:t xml:space="preserve">8. Technology Stack</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200"/>
      </w:tblGrid>
      <w:tr>
        <w:tc>
          <w:tcPr>
            <w:tcW w:type="dxa" w:w="22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Technology</w:t>
            </w:r>
          </w:p>
        </w:tc>
        <w:tc>
          <w:tcPr>
            <w:tcW w:type="dxa" w:w="42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bCs/>
                <w:sz w:val="20"/>
                <w:szCs w:val="20"/>
              </w:rPr>
              <w:t xml:space="preserve">Frontend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Next.js 15 (React)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Server-side rendering for SEO and fast initial loads; App Router for nested layouts per role; TypeScript-native.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Frontend UI</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Tailwind CSS + shadcn/ui</w:t>
            </w:r>
          </w:p>
        </w:tc>
        <w:tc>
          <w:tcPr>
            <w:tcW w:type="dxa" w:w="4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Utility-first styling for rapid iteration; shadcn/ui provides accessible component primitives with full customization.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Interactive Maps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Leaflet.js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Open-source, lightweight, battle-tested for choropleth GeoJSON rendering. Mapbox as upgrade path if vector tiles are needed.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Frontend Hosting</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Vercel</w:t>
            </w:r>
          </w:p>
        </w:tc>
        <w:tc>
          <w:tcPr>
            <w:tcW w:type="dxa" w:w="4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Zero-config Next.js deployment; global CDN edge network; preview deployments for PRs; integrated analytics.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Backend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FastAPI (Python 3.11+)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Native async support; Pydantic validation; auto-generated OpenAPI docs; ideal for ML-heavy workloads in Python ecosystem.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ML Models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XGBoost + LightGBM</w:t>
            </w:r>
          </w:p>
        </w:tc>
        <w:tc>
          <w:tcPr>
            <w:tcW w:type="dxa" w:w="4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State-of-the-art gradient boosting; handles tabular epidemiological data well; supports SHAP natively; fast inference.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Explainability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SHAP (shap library)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Industry standard for tree model explainability; TreeExplainer is O(n) for XGBoost/LightGBM; produces additive feature attributions.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Database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Supabase (PostgreSQL 16)</w:t>
            </w:r>
          </w:p>
        </w:tc>
        <w:tc>
          <w:tcPr>
            <w:tcW w:type="dxa" w:w="4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Managed Postgres with built-in auth, real-time, and storage; row-level security enforces RBAC at DB layer; generous free tier for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GIS Extension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PostGIS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Enables spatial queries on district boundaries; needed for within-polygon point-in-district lookups for citizen GPS queries.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Supabase Auth</w:t>
            </w:r>
          </w:p>
        </w:tc>
        <w:tc>
          <w:tcPr>
            <w:tcW w:type="dxa" w:w="4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JWT-based auth with row-level security integration; supports email/OTP; no additional service needed; RBAC via custom claims.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Supabase Storage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S3-compatible object storage; used for model artifacts, uploaded datasets, GIS shapefiles, and generated PDF reports.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Email Alerts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Resend</w:t>
            </w:r>
          </w:p>
        </w:tc>
        <w:tc>
          <w:tcPr>
            <w:tcW w:type="dxa" w:w="4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Modern transactional email API; React-based email templates; reliable deliverability; simple SDK integration with FastAPI.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SMS Alerts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Twilio (+ local gateway failover)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Global SMS delivery with Bangladesh carrier support; local gateway (e.g., SSL Wireless) as failover for reliability.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Error Tracking</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Sentry</w:t>
            </w:r>
          </w:p>
        </w:tc>
        <w:tc>
          <w:tcPr>
            <w:tcW w:type="dxa" w:w="4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Full-stack error tracking (Next.js + FastAPI SDKs); performance monitoring; alert on error rate spikes.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Vercel Analytics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Privacy-first web analytics built into Vercel; tracks page views, Core Web Vitals, and real user metrics without cookies.</w:t>
            </w:r>
          </w:p>
        </w:tc>
      </w:tr>
    </w:tbl>
    <w:p>
      <w:r>
        <w:br w:type="page"/>
      </w:r>
    </w:p>
    <w:p>
      <w:pPr>
        <w:pStyle w:val="Heading1"/>
      </w:pPr>
      <w:r>
        <w:rPr>
          <w:b/>
          <w:bCs/>
        </w:rPr>
        <w:t xml:space="preserve">9. System Architecture</w:t>
      </w:r>
    </w:p>
    <w:p>
      <w:pPr>
        <w:pStyle w:val="Heading2"/>
      </w:pPr>
      <w:r>
        <w:rPr>
          <w:b/>
          <w:bCs/>
        </w:rPr>
        <w:t xml:space="preserve">9.1 High-Level Architecture</w:t>
      </w:r>
    </w:p>
    <w:p>
      <w:pPr>
        <w:spacing w:after="80" w:before="80"/>
      </w:pPr>
      <w:r>
        <w:t xml:space="preserve">PrevDengue follows a layered architecture with clear separation between the presentation layer (Next.js on Vercel), the API and ML layer (FastAPI), and the data layer (Supabase PostgreSQL + Storage). The citizen portal is served through the same Next.js frontend with a public-facing route group that requires no authentication.</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Layer</w:t>
            </w:r>
          </w:p>
        </w:tc>
        <w:tc>
          <w:tcPr>
            <w:tcW w:type="dxa" w:w="72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Components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bCs/>
                <w:sz w:val="20"/>
                <w:szCs w:val="20"/>
              </w:rPr>
              <w:t xml:space="preserve">Client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Web Browser / Mobile Browser → Next.js 15 App (Vercel CDN Edge)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Presentation</w:t>
            </w:r>
          </w:p>
        </w:tc>
        <w:tc>
          <w:tcPr>
            <w:tcW w:type="dxa" w:w="7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Next.js App Router: Dashboard (DGHS Admin) | District View (DHO) | Hospital View | Citizen Portal | Auth Pages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API</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FastAPI service: /api/v1/* endpoints for forecasts, alerts, data management, model metrics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ML Engine</w:t>
            </w:r>
          </w:p>
        </w:tc>
        <w:tc>
          <w:tcPr>
            <w:tcW w:type="dxa" w:w="7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XGBoost + LightGBM ensemble → SHAP explainer → Risk classifier → Forecast persistence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Alert Service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Alert scheduler (APScheduler / Celery) → Resend (email) + Twilio (SMS) + In-app notification writer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Data</w:t>
            </w:r>
          </w:p>
        </w:tc>
        <w:tc>
          <w:tcPr>
            <w:tcW w:type="dxa" w:w="7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Supabase PostgreSQL + PostGIS: case data, climate data, predictions, users, alerts, GIS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Storage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Supabase Storage: model artifacts, uploaded datasets, GIS shapefiles, generated PDF reports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Auth</w:t>
            </w:r>
          </w:p>
        </w:tc>
        <w:tc>
          <w:tcPr>
            <w:tcW w:type="dxa" w:w="7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Supabase Auth: JWT issuance, email verification, password reset, role claims</w:t>
            </w:r>
          </w:p>
        </w:tc>
      </w:tr>
    </w:tbl>
    <w:p>
      <w:pPr>
        <w:spacing w:after="60" w:before="60"/>
      </w:pPr>
      <w:r>
        <w:t xml:space="preserve"/>
      </w:r>
    </w:p>
    <w:p>
      <w:pPr>
        <w:pStyle w:val="Heading2"/>
      </w:pPr>
      <w:r>
        <w:rPr>
          <w:b/>
          <w:bCs/>
        </w:rPr>
        <w:t xml:space="preserve">9.2 Data Flow: Weekly Forecast Cycle</w:t>
      </w:r>
    </w:p>
    <w:p>
      <w:pPr>
        <w:pStyle w:val="ListParagraph"/>
        <w:numPr>
          <w:ilvl w:val="0"/>
          <w:numId w:val="3"/>
        </w:numPr>
        <w:spacing w:after="40" w:before="40"/>
      </w:pPr>
      <w:r>
        <w:t xml:space="preserve">Climate data ingestion: FastAPI scheduled job fetches weekly climate data from Bangladesh Meteorological Department API (or ERA5/Open-Meteo as fallback) and writes to the climate_data table.</w:t>
      </w:r>
    </w:p>
    <w:p>
      <w:pPr>
        <w:pStyle w:val="ListParagraph"/>
        <w:numPr>
          <w:ilvl w:val="0"/>
          <w:numId w:val="3"/>
        </w:numPr>
        <w:spacing w:after="40" w:before="40"/>
      </w:pPr>
      <w:r>
        <w:t xml:space="preserve">Feature engineering: Python pipeline reads climate, demographic, land use, and historical case data from PostgreSQL; computes lagged features, rolling aggregates, and threshold flags.</w:t>
      </w:r>
    </w:p>
    <w:p>
      <w:pPr>
        <w:pStyle w:val="ListParagraph"/>
        <w:numPr>
          <w:ilvl w:val="0"/>
          <w:numId w:val="3"/>
        </w:numPr>
        <w:spacing w:after="40" w:before="40"/>
      </w:pPr>
      <w:r>
        <w:t xml:space="preserve">Model inference: Engineered feature matrix (64 districts × feature count) is passed through the XGBoost and LightGBM ensemble; predicted risk scores are averaged.</w:t>
      </w:r>
    </w:p>
    <w:p>
      <w:pPr>
        <w:pStyle w:val="ListParagraph"/>
        <w:numPr>
          <w:ilvl w:val="0"/>
          <w:numId w:val="3"/>
        </w:numPr>
        <w:spacing w:after="40" w:before="40"/>
      </w:pPr>
      <w:r>
        <w:t xml:space="preserve">SHAP computation: TreeExplainer computes SHAP values for each district prediction; top-5 features extracted and serialized.</w:t>
      </w:r>
    </w:p>
    <w:p>
      <w:pPr>
        <w:pStyle w:val="ListParagraph"/>
        <w:numPr>
          <w:ilvl w:val="0"/>
          <w:numId w:val="3"/>
        </w:numPr>
        <w:spacing w:after="40" w:before="40"/>
      </w:pPr>
      <w:r>
        <w:t xml:space="preserve">Risk classification: Continuous scores mapped to Low/Medium/High/Critical based on configured thresholds.</w:t>
      </w:r>
    </w:p>
    <w:p>
      <w:pPr>
        <w:pStyle w:val="ListParagraph"/>
        <w:numPr>
          <w:ilvl w:val="0"/>
          <w:numId w:val="3"/>
        </w:numPr>
        <w:spacing w:after="40" w:before="40"/>
      </w:pPr>
      <w:r>
        <w:t xml:space="preserve">Forecast persistence: Results written to the predictions table with forecast_week, district_id, risk_score, risk_level, and shap_values (JSON).</w:t>
      </w:r>
    </w:p>
    <w:p>
      <w:pPr>
        <w:pStyle w:val="ListParagraph"/>
        <w:numPr>
          <w:ilvl w:val="0"/>
          <w:numId w:val="3"/>
        </w:numPr>
        <w:spacing w:after="40" w:before="40"/>
      </w:pPr>
      <w:r>
        <w:t xml:space="preserve">Alert evaluation: Alert service queries predictions where risk_level IN ('High', 'Critical'); compares to last week's classification; triggers alerts for districts with risk elevation.</w:t>
      </w:r>
    </w:p>
    <w:p>
      <w:pPr>
        <w:pStyle w:val="ListParagraph"/>
        <w:numPr>
          <w:ilvl w:val="0"/>
          <w:numId w:val="3"/>
        </w:numPr>
        <w:spacing w:after="40" w:before="40"/>
      </w:pPr>
      <w:r>
        <w:t xml:space="preserve">Alert dispatch: For each alert, Resend sends HTML email and Twilio sends SMS to the registered DHO; alert record written to alerts table with status "sent".</w:t>
      </w:r>
    </w:p>
    <w:p>
      <w:pPr>
        <w:pStyle w:val="ListParagraph"/>
        <w:numPr>
          <w:ilvl w:val="0"/>
          <w:numId w:val="3"/>
        </w:numPr>
        <w:spacing w:after="40" w:before="40"/>
      </w:pPr>
      <w:r>
        <w:t xml:space="preserve">Dashboard refresh: Next.js dashboard polls /api/v1/forecasts every 5 minutes; Supabase real-time subscriptions push in-app notifications instantly.</w:t>
      </w:r>
    </w:p>
    <w:p>
      <w:r>
        <w:br w:type="page"/>
      </w:r>
    </w:p>
    <w:p>
      <w:pPr>
        <w:pStyle w:val="Heading1"/>
      </w:pPr>
      <w:r>
        <w:rPr>
          <w:b/>
          <w:bCs/>
        </w:rPr>
        <w:t xml:space="preserve">10. Database Schema Overview</w:t>
      </w:r>
    </w:p>
    <w:p>
      <w:pPr>
        <w:spacing w:after="80" w:before="80"/>
      </w:pPr>
      <w:r>
        <w:t xml:space="preserve">All tables reside in a single Supabase PostgreSQL instance with PostGIS extension enabled. Row-Level Security (RLS) policies enforce data access boundaries at the database layer.</w:t>
      </w:r>
    </w:p>
    <w:p>
      <w:pPr>
        <w:spacing w:after="60" w:before="60"/>
      </w:pPr>
      <w:r>
        <w:t xml:space="preserve"/>
      </w:r>
    </w:p>
    <w:p>
      <w:pPr>
        <w:pStyle w:val="Heading2"/>
      </w:pPr>
      <w:r>
        <w:rPr>
          <w:b/>
          <w:bCs/>
        </w:rPr>
        <w:t xml:space="preserve">10.1 Core Tables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200"/>
      </w:tblGrid>
      <w:tr>
        <w:tc>
          <w:tcPr>
            <w:tcW w:type="dxa" w:w="20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Table</w:t>
            </w:r>
          </w:p>
        </w:tc>
        <w:tc>
          <w:tcPr>
            <w:tcW w:type="dxa" w:w="30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Key Columns</w:t>
            </w:r>
          </w:p>
        </w:tc>
        <w:tc>
          <w:tcPr>
            <w:tcW w:type="dxa" w:w="42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bCs/>
                <w:sz w:val="20"/>
                <w:szCs w:val="20"/>
              </w:rPr>
              <w:t xml:space="preserve">districts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id, name, division, population, area_sqkm, geom (PostGIS geometry)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Master record for all 64 districts with geospatial boundary for map rendering.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climate_data</w:t>
            </w:r>
          </w:p>
        </w:tc>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id, district_id, week_start, mean_temp, mean_humidity, total_rainfall, source</w:t>
            </w:r>
          </w:p>
        </w:tc>
        <w:tc>
          <w:tcPr>
            <w:tcW w:type="dxa" w:w="4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Weekly climate observations per district. Source field tracks BMD vs ERA5 fallback.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dengue_cases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id, district_id, report_week, confirmed_cases, deaths, hospitalized, source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Historical and ongoing dengue surveillance data. Ingested from DGHS reports.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predictions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id, district_id, generated_at, forecast_week, risk_score, risk_level, shap_values (JSONB), model_version</w:t>
            </w:r>
          </w:p>
        </w:tc>
        <w:tc>
          <w:tcPr>
            <w:tcW w:type="dxa" w:w="4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ML model outputs per district per forecast week. SHAP stored as JSONB for flexible querying.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alerts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id, district_id, alert_type, risk_level, triggered_at, channel, recipient_id, status, retry_count, delivered_at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Full audit log of all alert events. Status: pending / sent / failed / delivered.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users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id (UUID, FK to auth.users), role, district_id (nullable), phone, email_verified, created_at</w:t>
            </w:r>
          </w:p>
        </w:tc>
        <w:tc>
          <w:tcPr>
            <w:tcW w:type="dxa" w:w="4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Extended user profiles linked to Supabase Auth. District-scoped users have district_id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alert_recipients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id, district_id, user_id, email, phone, active_channels (ARRAY)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Configurable alert contact list per district. Allows multiple recipients per district.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model_versions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id, version_tag, trained_at, training_data_range, auc_xgb, auc_lgbm, feature_set_version, artifact_path</w:t>
            </w:r>
          </w:p>
        </w:tc>
        <w:tc>
          <w:tcPr>
            <w:tcW w:type="dxa" w:w="4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Model registry. Tracks which model version produced each prediction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uploaded_datasets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id, uploaded_by, filename, file_path, dataset_type, upload_date, processing_status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Tracks DGHS-uploaded datasets (surveillance, climate). processing_status: pending / processed / failed.</w:t>
            </w:r>
          </w:p>
        </w:tc>
      </w:tr>
    </w:tbl>
    <w:p>
      <w:pPr>
        <w:spacing w:after="60" w:before="60"/>
      </w:pPr>
      <w:r>
        <w:t xml:space="preserve"/>
      </w:r>
    </w:p>
    <w:p>
      <w:pPr>
        <w:spacing w:after="80" w:before="80"/>
      </w:pPr>
      <w:r>
        <w:t xml:space="preserve">PostGIS enables spatial queries such as finding the district containing a citizen's GPS coordinates, used by the citizen portal's "detect my location" feature.</w:t>
      </w:r>
    </w:p>
    <w:p>
      <w:r>
        <w:br w:type="page"/>
      </w:r>
    </w:p>
    <w:p>
      <w:pPr>
        <w:pStyle w:val="Heading1"/>
      </w:pPr>
      <w:r>
        <w:rPr>
          <w:b/>
          <w:bCs/>
        </w:rPr>
        <w:t xml:space="preserve">13. Deployment &amp; Infrastructure</w:t>
      </w:r>
    </w:p>
    <w:p>
      <w:pPr>
        <w:pStyle w:val="Heading2"/>
      </w:pPr>
      <w:r>
        <w:rPr>
          <w:b/>
          <w:bCs/>
        </w:rPr>
        <w:t xml:space="preserve">13.1 Frontend — Vercel</w:t>
      </w:r>
    </w:p>
    <w:p>
      <w:pPr>
        <w:pStyle w:val="ListParagraph"/>
        <w:numPr>
          <w:ilvl w:val="0"/>
          <w:numId w:val="2"/>
        </w:numPr>
        <w:spacing w:after="40" w:before="40"/>
      </w:pPr>
      <w:r>
        <w:t xml:space="preserve">Production deployment: Vercel production environment connected to the main branch of the GitHub repository.</w:t>
      </w:r>
    </w:p>
    <w:p>
      <w:pPr>
        <w:pStyle w:val="ListParagraph"/>
        <w:numPr>
          <w:ilvl w:val="0"/>
          <w:numId w:val="2"/>
        </w:numPr>
        <w:spacing w:after="40" w:before="40"/>
      </w:pPr>
      <w:r>
        <w:t xml:space="preserve">Preview deployments: Automatic deployment for every pull request to a unique preview URL.</w:t>
      </w:r>
    </w:p>
    <w:p>
      <w:pPr>
        <w:pStyle w:val="ListParagraph"/>
        <w:numPr>
          <w:ilvl w:val="0"/>
          <w:numId w:val="2"/>
        </w:numPr>
        <w:spacing w:after="40" w:before="40"/>
      </w:pPr>
      <w:r>
        <w:t xml:space="preserve">Environment variables: All secrets (Supabase URL, anon key, API base URL) stored in Vercel environment variables; never committed to source code.</w:t>
      </w:r>
    </w:p>
    <w:p>
      <w:pPr>
        <w:pStyle w:val="ListParagraph"/>
        <w:numPr>
          <w:ilvl w:val="0"/>
          <w:numId w:val="2"/>
        </w:numPr>
        <w:spacing w:after="40" w:before="40"/>
      </w:pPr>
      <w:r>
        <w:t xml:space="preserve">Custom domain: prevdengue.dghs.gov.bd (or equivalent) configured in Vercel with automatic TLS certificate provisioning.</w:t>
      </w:r>
    </w:p>
    <w:p>
      <w:pPr>
        <w:pStyle w:val="ListParagraph"/>
        <w:numPr>
          <w:ilvl w:val="0"/>
          <w:numId w:val="2"/>
        </w:numPr>
        <w:spacing w:after="40" w:before="40"/>
      </w:pPr>
      <w:r>
        <w:t xml:space="preserve">Edge functions: Next.js middleware handles JWT validation at the edge before routing to protected pages.</w:t>
      </w:r>
    </w:p>
    <w:p>
      <w:pPr>
        <w:spacing w:after="60" w:before="60"/>
      </w:pPr>
      <w:r>
        <w:t xml:space="preserve"/>
      </w:r>
    </w:p>
    <w:p>
      <w:pPr>
        <w:pStyle w:val="Heading2"/>
      </w:pPr>
      <w:r>
        <w:rPr>
          <w:b/>
          <w:bCs/>
        </w:rPr>
        <w:t xml:space="preserve">13.2 Backend — FastAPI</w:t>
      </w:r>
    </w:p>
    <w:p>
      <w:pPr>
        <w:pStyle w:val="ListParagraph"/>
        <w:numPr>
          <w:ilvl w:val="0"/>
          <w:numId w:val="2"/>
        </w:numPr>
        <w:spacing w:after="40" w:before="40"/>
      </w:pPr>
      <w:r>
        <w:t xml:space="preserve">Containerized: FastAPI application packaged as a Docker container.</w:t>
      </w:r>
    </w:p>
    <w:p>
      <w:pPr>
        <w:pStyle w:val="ListParagraph"/>
        <w:numPr>
          <w:ilvl w:val="0"/>
          <w:numId w:val="2"/>
        </w:numPr>
        <w:spacing w:after="40" w:before="40"/>
      </w:pPr>
      <w:r>
        <w:t xml:space="preserve">Hosting options (in order of preference): Railway.app or Render.com for managed container hosting; Google Cloud Run for serverless container scaling; AWS ECS for larger-scale Phase 2 deployment.</w:t>
      </w:r>
    </w:p>
    <w:p>
      <w:pPr>
        <w:pStyle w:val="ListParagraph"/>
        <w:numPr>
          <w:ilvl w:val="0"/>
          <w:numId w:val="2"/>
        </w:numPr>
        <w:spacing w:after="40" w:before="40"/>
      </w:pPr>
      <w:r>
        <w:t xml:space="preserve">CI/CD: GitHub Actions pipeline runs tests, builds Docker image, pushes to container registry, and deploys on merge to main.</w:t>
      </w:r>
    </w:p>
    <w:p>
      <w:pPr>
        <w:pStyle w:val="ListParagraph"/>
        <w:numPr>
          <w:ilvl w:val="0"/>
          <w:numId w:val="2"/>
        </w:numPr>
        <w:spacing w:after="40" w:before="40"/>
      </w:pPr>
      <w:r>
        <w:t xml:space="preserve">Background jobs: APScheduler (embedded in FastAPI process) handles weekly forecast generation and alert dispatch. Celery + Redis for Phase 2 if job volume grows.</w:t>
      </w:r>
    </w:p>
    <w:p>
      <w:pPr>
        <w:spacing w:after="60" w:before="60"/>
      </w:pPr>
      <w:r>
        <w:t xml:space="preserve"/>
      </w:r>
    </w:p>
    <w:p>
      <w:pPr>
        <w:pStyle w:val="Heading2"/>
      </w:pPr>
      <w:r>
        <w:rPr>
          <w:b/>
          <w:bCs/>
        </w:rPr>
        <w:t xml:space="preserve">13.3 Database — Supabase</w:t>
      </w:r>
    </w:p>
    <w:p>
      <w:pPr>
        <w:pStyle w:val="ListParagraph"/>
        <w:numPr>
          <w:ilvl w:val="0"/>
          <w:numId w:val="2"/>
        </w:numPr>
        <w:spacing w:after="40" w:before="40"/>
      </w:pPr>
      <w:r>
        <w:t xml:space="preserve">Supabase Pro plan for production (includes daily backups, priority support, 8GB database, 100GB storage).</w:t>
      </w:r>
    </w:p>
    <w:p>
      <w:pPr>
        <w:pStyle w:val="ListParagraph"/>
        <w:numPr>
          <w:ilvl w:val="0"/>
          <w:numId w:val="2"/>
        </w:numPr>
        <w:spacing w:after="40" w:before="40"/>
      </w:pPr>
      <w:r>
        <w:t xml:space="preserve">Connection pooling via Supabase PgBouncer for high-concurrency scenarios.</w:t>
      </w:r>
    </w:p>
    <w:p>
      <w:pPr>
        <w:pStyle w:val="ListParagraph"/>
        <w:numPr>
          <w:ilvl w:val="0"/>
          <w:numId w:val="2"/>
        </w:numPr>
        <w:spacing w:after="40" w:before="40"/>
      </w:pPr>
      <w:r>
        <w:t xml:space="preserve">Database migrations managed via Supabase CLI and versioned migration files committed to the repository.</w:t>
      </w:r>
    </w:p>
    <w:p>
      <w:pPr>
        <w:pStyle w:val="ListParagraph"/>
        <w:numPr>
          <w:ilvl w:val="0"/>
          <w:numId w:val="2"/>
        </w:numPr>
        <w:spacing w:after="40" w:before="40"/>
      </w:pPr>
      <w:r>
        <w:t xml:space="preserve">PostGIS extension enabled via Supabase dashboard; district GeoJSON loaded as initial migration.</w:t>
      </w:r>
    </w:p>
    <w:p>
      <w:pPr>
        <w:pStyle w:val="ListParagraph"/>
        <w:numPr>
          <w:ilvl w:val="0"/>
          <w:numId w:val="2"/>
        </w:numPr>
        <w:spacing w:after="40" w:before="40"/>
      </w:pPr>
      <w:r>
        <w:t xml:space="preserve">Point-in-time recovery: 7-day recovery window on Supabase Pro.</w:t>
      </w:r>
    </w:p>
    <w:p>
      <w:pPr>
        <w:spacing w:after="60" w:before="60"/>
      </w:pPr>
      <w:r>
        <w:t xml:space="preserve"/>
      </w:r>
    </w:p>
    <w:p>
      <w:pPr>
        <w:pStyle w:val="Heading2"/>
      </w:pPr>
      <w:r>
        <w:rPr>
          <w:b/>
          <w:bCs/>
        </w:rPr>
        <w:t xml:space="preserve">13.4 Environment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800"/>
      </w:tblGrid>
      <w:tr>
        <w:tc>
          <w:tcPr>
            <w:tcW w:type="dxa" w:w="20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Environment</w:t>
            </w:r>
          </w:p>
        </w:tc>
        <w:tc>
          <w:tcPr>
            <w:tcW w:type="dxa" w:w="24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Branch</w:t>
            </w:r>
          </w:p>
        </w:tc>
        <w:tc>
          <w:tcPr>
            <w:tcW w:type="dxa" w:w="48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Development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feature/* branches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Local dev with Supabase local emulator; no real alerts sent; seed data used.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Staging</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develop</w:t>
            </w:r>
          </w:p>
        </w:tc>
        <w:tc>
          <w:tcPr>
            <w:tcW w:type="dxa" w:w="4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Full integration environment; Twilio test credentials; Resend sandbox; pre-production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Production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main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Live system; real alert delivery; production Supabase project; monitored by Sentry.</w:t>
            </w:r>
          </w:p>
        </w:tc>
      </w:tr>
    </w:tbl>
    <w:p>
      <w:r>
        <w:br w:type="page"/>
      </w:r>
    </w:p>
    <w:p>
      <w:pPr>
        <w:pStyle w:val="Heading1"/>
      </w:pPr>
      <w:r>
        <w:rPr>
          <w:b/>
          <w:bCs/>
        </w:rPr>
        <w:t xml:space="preserve">14. Scalability Roadmap</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800"/>
      </w:tblGrid>
      <w:tr>
        <w:tc>
          <w:tcPr>
            <w:tcW w:type="dxa" w:w="14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Timeline</w:t>
            </w:r>
          </w:p>
        </w:tc>
        <w:tc>
          <w:tcPr>
            <w:tcW w:type="dxa" w:w="28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Key Features</w:t>
            </w:r>
          </w:p>
        </w:tc>
        <w:tc>
          <w:tcPr>
            <w:tcW w:type="dxa" w:w="28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Infrastructure Changes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bCs/>
                <w:sz w:val="20"/>
                <w:szCs w:val="20"/>
              </w:rPr>
              <w:t xml:space="preserve">Phase 1 (MVP)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0–6 months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64 district predictions; weekly forecasts; single ensemble model (XGBoost + LightGBM); SMS + email alerts; dashboard + citizen portal.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Vercel + Supabase Pro + Railway (FastAPI); single FastAPI process with APScheduler.</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bCs/>
                <w:sz w:val="20"/>
                <w:szCs w:val="20"/>
              </w:rPr>
              <w:t xml:space="preserve">Phase 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6–18 months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Daily forecasts; additional environmental features (NDVI, land surface temperature); multiple model comparison dashboard; upazila-level sub-district predictions for high-risk districts.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Celery + Redis for async job queue; upgraded database tier; read replica for dashboard queries; CDN caching for API responses.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bCs/>
                <w:sz w:val="20"/>
                <w:szCs w:val="20"/>
              </w:rPr>
              <w:t xml:space="preserve">Phase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18–36 months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Nationwide real-time surveillance integration; iOS and Android citizen mobile application; Government API integration (DGHS, IEDCR); cross-country deployment template for South/Southeast Asia.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Kubernetes orchestration; multi-region database replication; dedicated ML inference cluster; mobile backend (push notifications).</w:t>
            </w:r>
          </w:p>
        </w:tc>
      </w:tr>
    </w:tbl>
    <w:p>
      <w:r>
        <w:br w:type="page"/>
      </w:r>
    </w:p>
    <w:p>
      <w:pPr>
        <w:pStyle w:val="Heading1"/>
      </w:pPr>
      <w:r>
        <w:rPr>
          <w:b/>
          <w:bCs/>
        </w:rPr>
        <w:t xml:space="preserve">15. Monitoring &amp; Observability</w:t>
      </w:r>
    </w:p>
    <w:p>
      <w:pPr>
        <w:pStyle w:val="Heading2"/>
      </w:pPr>
      <w:r>
        <w:rPr>
          <w:b/>
          <w:bCs/>
        </w:rPr>
        <w:t xml:space="preserve">15.1 Application Monitoring</w:t>
      </w:r>
    </w:p>
    <w:p>
      <w:pPr>
        <w:pStyle w:val="ListParagraph"/>
        <w:numPr>
          <w:ilvl w:val="0"/>
          <w:numId w:val="2"/>
        </w:numPr>
        <w:spacing w:after="40" w:before="40"/>
      </w:pPr>
      <w:r>
        <w:t xml:space="preserve">Sentry SDK integrated in both Next.js frontend and FastAPI backend.</w:t>
      </w:r>
    </w:p>
    <w:p>
      <w:pPr>
        <w:pStyle w:val="ListParagraph"/>
        <w:numPr>
          <w:ilvl w:val="0"/>
          <w:numId w:val="2"/>
        </w:numPr>
        <w:spacing w:after="40" w:before="40"/>
      </w:pPr>
      <w:r>
        <w:t xml:space="preserve">Error rate alerts: Sentry triggers a notification to the engineering team if the error rate exceeds 1% over a 5-minute window.</w:t>
      </w:r>
    </w:p>
    <w:p>
      <w:pPr>
        <w:pStyle w:val="ListParagraph"/>
        <w:numPr>
          <w:ilvl w:val="0"/>
          <w:numId w:val="2"/>
        </w:numPr>
        <w:spacing w:after="40" w:before="40"/>
      </w:pPr>
      <w:r>
        <w:t xml:space="preserve">Performance monitoring: Sentry tracks API response time distributions; P95 and P99 tracked per endpoint.</w:t>
      </w:r>
    </w:p>
    <w:p>
      <w:pPr>
        <w:pStyle w:val="ListParagraph"/>
        <w:numPr>
          <w:ilvl w:val="0"/>
          <w:numId w:val="2"/>
        </w:numPr>
        <w:spacing w:after="40" w:before="40"/>
      </w:pPr>
      <w:r>
        <w:t xml:space="preserve">Session replay (Sentry): enabled for citizen portal to assist UX debugging.</w:t>
      </w:r>
    </w:p>
    <w:p>
      <w:pPr>
        <w:spacing w:after="60" w:before="60"/>
      </w:pPr>
      <w:r>
        <w:t xml:space="preserve"/>
      </w:r>
    </w:p>
    <w:p>
      <w:pPr>
        <w:pStyle w:val="Heading2"/>
      </w:pPr>
      <w:r>
        <w:rPr>
          <w:b/>
          <w:bCs/>
        </w:rPr>
        <w:t xml:space="preserve">15.2 Infrastructure Monitoring</w:t>
      </w:r>
    </w:p>
    <w:p>
      <w:pPr>
        <w:pStyle w:val="ListParagraph"/>
        <w:numPr>
          <w:ilvl w:val="0"/>
          <w:numId w:val="2"/>
        </w:numPr>
        <w:spacing w:after="40" w:before="40"/>
      </w:pPr>
      <w:r>
        <w:t xml:space="preserve">Vercel Analytics: tracks Core Web Vitals (LCP, CLS, FID), page view trends, and geographic distribution of users.</w:t>
      </w:r>
    </w:p>
    <w:p>
      <w:pPr>
        <w:pStyle w:val="ListParagraph"/>
        <w:numPr>
          <w:ilvl w:val="0"/>
          <w:numId w:val="2"/>
        </w:numPr>
        <w:spacing w:after="40" w:before="40"/>
      </w:pPr>
      <w:r>
        <w:t xml:space="preserve">Supabase Monitoring: database query performance, connection pool utilization, storage usage, auth request rates.</w:t>
      </w:r>
    </w:p>
    <w:p>
      <w:pPr>
        <w:spacing w:after="60" w:before="60"/>
      </w:pPr>
      <w:r>
        <w:t xml:space="preserve"/>
      </w:r>
    </w:p>
    <w:p>
      <w:pPr>
        <w:pStyle w:val="Heading2"/>
      </w:pPr>
      <w:r>
        <w:rPr>
          <w:b/>
          <w:bCs/>
        </w:rPr>
        <w:t xml:space="preserve">15.3 Key Metrics Dashboard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600"/>
      </w:tblGrid>
      <w:tr>
        <w:tc>
          <w:tcPr>
            <w:tcW w:type="dxa" w:w="32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Target</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Alert Condition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API Response Time (P95)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&lt; 500ms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Alert if P95 &gt; 1000ms for 5 consecutive minutes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Forecast Generation Time (all 64 districts)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&lt; 60 seconds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Alert if &gt; 120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Alert Delivery Success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&gt; 99%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Alert if &lt; 95% in any 1-hour window</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Failed Alert Retries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&lt; 5 per day</w:t>
            </w:r>
          </w:p>
        </w:tc>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Page on-call if &gt; 20 failed alerts in 1 hour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Database Query Performance (P99)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&lt; 200ms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Alert if P99 &gt; 500ms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Weekly Forecast Completion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100% districts by Monday 6:00 AM BST</w:t>
            </w:r>
          </w:p>
        </w:tc>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Alert if forecast cycle incomplete by scheduled time</w:t>
            </w:r>
          </w:p>
        </w:tc>
      </w:tr>
    </w:tbl>
    <w:p>
      <w:r>
        <w:br w:type="page"/>
      </w:r>
    </w:p>
    <w:p>
      <w:pPr>
        <w:pStyle w:val="Heading1"/>
      </w:pPr>
      <w:r>
        <w:rPr>
          <w:b/>
          <w:bCs/>
        </w:rPr>
        <w:t xml:space="preserve">16. Security Requirements</w:t>
      </w:r>
    </w:p>
    <w:p>
      <w:pPr>
        <w:pStyle w:val="ListParagraph"/>
        <w:numPr>
          <w:ilvl w:val="0"/>
          <w:numId w:val="2"/>
        </w:numPr>
        <w:spacing w:after="40" w:before="40"/>
      </w:pPr>
      <w:r>
        <w:t xml:space="preserve">All data in transit encrypted via TLS 1.2+; HTTP requests redirected to HTTPS by Vercel.</w:t>
      </w:r>
    </w:p>
    <w:p>
      <w:pPr>
        <w:pStyle w:val="ListParagraph"/>
        <w:numPr>
          <w:ilvl w:val="0"/>
          <w:numId w:val="2"/>
        </w:numPr>
        <w:spacing w:after="40" w:before="40"/>
      </w:pPr>
      <w:r>
        <w:t xml:space="preserve">Supabase Row-Level Security policies enforce that district-scoped users (DHO, Hospital Admin) cannot query data outside their assigned district_id.</w:t>
      </w:r>
    </w:p>
    <w:p>
      <w:pPr>
        <w:pStyle w:val="ListParagraph"/>
        <w:numPr>
          <w:ilvl w:val="0"/>
          <w:numId w:val="2"/>
        </w:numPr>
        <w:spacing w:after="40" w:before="40"/>
      </w:pPr>
      <w:r>
        <w:t xml:space="preserve">API endpoints implement rate limiting via FastAPI middleware (slowapi): 100 req/min for public endpoints, 1000 req/min for authenticated endpoints.</w:t>
      </w:r>
    </w:p>
    <w:p>
      <w:pPr>
        <w:pStyle w:val="ListParagraph"/>
        <w:numPr>
          <w:ilvl w:val="0"/>
          <w:numId w:val="2"/>
        </w:numPr>
        <w:spacing w:after="40" w:before="40"/>
      </w:pPr>
      <w:r>
        <w:t xml:space="preserve">All passwords hashed using Supabase Auth's bcrypt implementation; raw passwords never stored or logged.</w:t>
      </w:r>
    </w:p>
    <w:p>
      <w:pPr>
        <w:pStyle w:val="ListParagraph"/>
        <w:numPr>
          <w:ilvl w:val="0"/>
          <w:numId w:val="2"/>
        </w:numPr>
        <w:spacing w:after="40" w:before="40"/>
      </w:pPr>
      <w:r>
        <w:t xml:space="preserve">API keys (Twilio, Resend, Supabase service role) stored exclusively in environment variables; never embedded in frontend code or committed to source control.</w:t>
      </w:r>
    </w:p>
    <w:p>
      <w:pPr>
        <w:pStyle w:val="ListParagraph"/>
        <w:numPr>
          <w:ilvl w:val="0"/>
          <w:numId w:val="2"/>
        </w:numPr>
        <w:spacing w:after="40" w:before="40"/>
      </w:pPr>
      <w:r>
        <w:t xml:space="preserve">Regular dependency audits: npm audit and pip-audit run in the CI pipeline on every commit.</w:t>
      </w:r>
    </w:p>
    <w:p>
      <w:pPr>
        <w:pStyle w:val="ListParagraph"/>
        <w:numPr>
          <w:ilvl w:val="0"/>
          <w:numId w:val="2"/>
        </w:numPr>
        <w:spacing w:after="40" w:before="40"/>
      </w:pPr>
      <w:r>
        <w:t xml:space="preserve">CORS policy: FastAPI CORS middleware configured to allow requests only from the Vercel production domain and approved staging domains.</w:t>
      </w:r>
    </w:p>
    <w:p>
      <w:pPr>
        <w:pStyle w:val="ListParagraph"/>
        <w:numPr>
          <w:ilvl w:val="0"/>
          <w:numId w:val="2"/>
        </w:numPr>
        <w:spacing w:after="40" w:before="40"/>
      </w:pPr>
      <w:r>
        <w:t xml:space="preserve">Audit logging: all authentication events, role changes, data uploads, and manual alert triggers logged to an audit_log table with user_id, action, timestamp, and IP address.</w:t>
      </w:r>
    </w:p>
    <w:p>
      <w:pPr>
        <w:pStyle w:val="ListParagraph"/>
        <w:numPr>
          <w:ilvl w:val="0"/>
          <w:numId w:val="2"/>
        </w:numPr>
        <w:spacing w:after="40" w:before="40"/>
      </w:pPr>
      <w:r>
        <w:t xml:space="preserve">PII minimization: citizen portal collects no personal data; only district name (or GPS coordinates processed server-side and discarded) is used.</w:t>
      </w:r>
    </w:p>
    <w:p>
      <w:r>
        <w:br w:type="page"/>
      </w:r>
    </w:p>
    <w:p>
      <w:pPr>
        <w:pStyle w:val="Heading1"/>
      </w:pPr>
      <w:r>
        <w:rPr>
          <w:b/>
          <w:bCs/>
        </w:rPr>
        <w:t xml:space="preserve">17. Localization &amp; Accessibility</w:t>
      </w:r>
    </w:p>
    <w:p>
      <w:pPr>
        <w:pStyle w:val="Heading2"/>
      </w:pPr>
      <w:r>
        <w:rPr>
          <w:b/>
          <w:bCs/>
        </w:rPr>
        <w:t xml:space="preserve">17.1 Localization</w:t>
      </w:r>
    </w:p>
    <w:p>
      <w:pPr>
        <w:pStyle w:val="ListParagraph"/>
        <w:numPr>
          <w:ilvl w:val="0"/>
          <w:numId w:val="2"/>
        </w:numPr>
        <w:spacing w:after="40" w:before="40"/>
      </w:pPr>
      <w:r>
        <w:t xml:space="preserve">The citizen portal and all public-facing content shall be fully available in English (en-US) and Bengali (bn-BD).</w:t>
      </w:r>
    </w:p>
    <w:p>
      <w:pPr>
        <w:pStyle w:val="ListParagraph"/>
        <w:numPr>
          <w:ilvl w:val="0"/>
          <w:numId w:val="2"/>
        </w:numPr>
        <w:spacing w:after="40" w:before="40"/>
      </w:pPr>
      <w:r>
        <w:t xml:space="preserve">i18n implementation: Next.js built-in internationalization routing with next-i18next or next-intl; translation strings stored in /locales/en/ and /locales/bn/ JSON files.</w:t>
      </w:r>
    </w:p>
    <w:p>
      <w:pPr>
        <w:pStyle w:val="ListParagraph"/>
        <w:numPr>
          <w:ilvl w:val="0"/>
          <w:numId w:val="2"/>
        </w:numPr>
        <w:spacing w:after="40" w:before="40"/>
      </w:pPr>
      <w:r>
        <w:t xml:space="preserve">Language toggle: a prominent language selector in the citizen portal header; user preference persisted in localStorage.</w:t>
      </w:r>
    </w:p>
    <w:p>
      <w:pPr>
        <w:pStyle w:val="ListParagraph"/>
        <w:numPr>
          <w:ilvl w:val="0"/>
          <w:numId w:val="2"/>
        </w:numPr>
        <w:spacing w:after="40" w:before="40"/>
      </w:pPr>
      <w:r>
        <w:t xml:space="preserve">Date and number formatting shall respect locale conventions (Bengali numerals optional, Gregorian calendar).</w:t>
      </w:r>
    </w:p>
    <w:p>
      <w:pPr>
        <w:pStyle w:val="ListParagraph"/>
        <w:numPr>
          <w:ilvl w:val="0"/>
          <w:numId w:val="2"/>
        </w:numPr>
        <w:spacing w:after="40" w:before="40"/>
      </w:pPr>
      <w:r>
        <w:t xml:space="preserve">Alert SMS messages for the citizen-facing opt-in feature (Phase 2) shall be sent in Bengali by default.</w:t>
      </w:r>
    </w:p>
    <w:p>
      <w:pPr>
        <w:spacing w:after="60" w:before="60"/>
      </w:pPr>
      <w:r>
        <w:t xml:space="preserve"/>
      </w:r>
    </w:p>
    <w:p>
      <w:pPr>
        <w:pStyle w:val="Heading2"/>
      </w:pPr>
      <w:r>
        <w:rPr>
          <w:b/>
          <w:bCs/>
        </w:rPr>
        <w:t xml:space="preserve">17.2 Accessibility</w:t>
      </w:r>
    </w:p>
    <w:p>
      <w:pPr>
        <w:pStyle w:val="ListParagraph"/>
        <w:numPr>
          <w:ilvl w:val="0"/>
          <w:numId w:val="2"/>
        </w:numPr>
        <w:spacing w:after="40" w:before="40"/>
      </w:pPr>
      <w:r>
        <w:t xml:space="preserve">Citizen portal shall comply with WCAG 2.1 Level AA.</w:t>
      </w:r>
    </w:p>
    <w:p>
      <w:pPr>
        <w:pStyle w:val="ListParagraph"/>
        <w:numPr>
          <w:ilvl w:val="0"/>
          <w:numId w:val="2"/>
        </w:numPr>
        <w:spacing w:after="40" w:before="40"/>
      </w:pPr>
      <w:r>
        <w:t xml:space="preserve">All interactive map elements shall have keyboard navigation support and ARIA labels.</w:t>
      </w:r>
    </w:p>
    <w:p>
      <w:pPr>
        <w:pStyle w:val="ListParagraph"/>
        <w:numPr>
          <w:ilvl w:val="0"/>
          <w:numId w:val="2"/>
        </w:numPr>
        <w:spacing w:after="40" w:before="40"/>
      </w:pPr>
      <w:r>
        <w:t xml:space="preserve">Color-blind accessibility: risk level badges shall use both color and iconographic indicators (icon + label) to convey risk, not color alone.</w:t>
      </w:r>
    </w:p>
    <w:p>
      <w:pPr>
        <w:pStyle w:val="ListParagraph"/>
        <w:numPr>
          <w:ilvl w:val="0"/>
          <w:numId w:val="2"/>
        </w:numPr>
        <w:spacing w:after="40" w:before="40"/>
      </w:pPr>
      <w:r>
        <w:t xml:space="preserve">Minimum font size 16px for body text; contrast ratio ≥ 4.5:1 for normal text, ≥ 3:1 for large text.</w:t>
      </w:r>
    </w:p>
    <w:p>
      <w:pPr>
        <w:pStyle w:val="ListParagraph"/>
        <w:numPr>
          <w:ilvl w:val="0"/>
          <w:numId w:val="2"/>
        </w:numPr>
        <w:spacing w:after="40" w:before="40"/>
      </w:pPr>
      <w:r>
        <w:t xml:space="preserve">All form inputs shall have visible labels; error messages shall be descriptive and inline.</w:t>
      </w:r>
    </w:p>
    <w:p>
      <w:r>
        <w:br w:type="page"/>
      </w:r>
    </w:p>
    <w:p>
      <w:pPr>
        <w:pStyle w:val="Heading1"/>
      </w:pPr>
      <w:r>
        <w:rPr>
          <w:b/>
          <w:bCs/>
        </w:rPr>
        <w:t xml:space="preserve">19. Risks &amp; Mitigations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200"/>
        <w:gridCol w:w="2800"/>
      </w:tblGrid>
      <w:tr>
        <w:tc>
          <w:tcPr>
            <w:tcW w:type="dxa" w:w="28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Likelihood</w:t>
            </w:r>
          </w:p>
        </w:tc>
        <w:tc>
          <w:tcPr>
            <w:tcW w:type="dxa" w:w="22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Impact</w:t>
            </w:r>
          </w:p>
        </w:tc>
        <w:tc>
          <w:tcPr>
            <w:tcW w:type="dxa" w:w="28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Climate data unavailability (BMD API downtime)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Forecast cycle skipped; stale predictions shown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Fallback to ERA5/Open-Meteo API; data staleness indicator on dashboard.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Model performance degradation (concept drift)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Medium</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Inaccurate risk predictions; false sense of security</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Monthly model retraining; AUC monitoring alert if drops below 0.75; human review of prediction vs. actual case trends.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SMS delivery failure in rural districts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DHOs miss critical alerts; delayed response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Dual channel: Twilio primary + local gateway; email backup; retry logic with 3 attempts.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Supabase outage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Low</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Full system unavailability</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Supabase Pro 99.9% SLA; read replicas in Phase 2; pg_dump daily backups to separate S3 bucket.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Low DHO digital literacy / adoption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Alerts ignored; platform underutilized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SMS-first alert design (no app required); training program for DHOs; simple dashboard UI designed for non-technical users.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Incomplete historical case data from DGHS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Medium</w:t>
            </w:r>
          </w:p>
        </w:tc>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Reduced model accuracy; gaps in feature engineering</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Data validation pipeline flags missing records; IEDCR cross-validation; imputation strategy documented and version-controlled.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Regulatory / data governance restrictions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Deployment blocked; data sharing prohibited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Early engagement with DGHS legal team; no PII stored for citizens; all health data aggregated at district level only.</w:t>
            </w:r>
          </w:p>
        </w:tc>
      </w:tr>
    </w:tbl>
    <w:p>
      <w:r>
        <w:br w:type="page"/>
      </w:r>
    </w:p>
    <w:p>
      <w:pPr>
        <w:pStyle w:val="Heading1"/>
      </w:pPr>
      <w:r>
        <w:rPr>
          <w:b/>
          <w:bCs/>
        </w:rPr>
        <w:t xml:space="preserve">20. Glossary</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Term</w:t>
            </w:r>
          </w:p>
        </w:tc>
        <w:tc>
          <w:tcPr>
            <w:tcW w:type="dxa" w:w="68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left"/>
            </w:pPr>
            <w:r>
              <w:rPr>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bCs/>
                <w:sz w:val="20"/>
                <w:szCs w:val="20"/>
              </w:rPr>
              <w:t xml:space="preserve">AUC-ROC</w:t>
            </w:r>
          </w:p>
        </w:tc>
        <w:tc>
          <w:tcPr>
            <w:tcW w:type="dxa" w:w="6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Area Under the Receiver Operating Characteristic Curve — a model performance metric ranging from 0 to 1, where 1 is perfect classification.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BST</w:t>
            </w:r>
          </w:p>
        </w:tc>
        <w:tc>
          <w:tcPr>
            <w:tcW w:type="dxa" w:w="6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Bangladesh Standard Time (UTC+6). All scheduled operations in PrevDengue are referenced to BST.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DGHS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Directorate General of Health Services — the primary government body responsible for public health in Bangladesh.</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DHO</w:t>
            </w:r>
          </w:p>
        </w:tc>
        <w:tc>
          <w:tcPr>
            <w:tcW w:type="dxa" w:w="6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District Health Officer — the senior public health official responsible for a single district.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GeoJSON</w:t>
            </w:r>
          </w:p>
        </w:tc>
        <w:tc>
          <w:tcPr>
            <w:tcW w:type="dxa" w:w="6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A standard format for encoding geographic data structures using JSON. Used for Bangladesh district boundary polygons.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IEDCR</w:t>
            </w:r>
          </w:p>
        </w:tc>
        <w:tc>
          <w:tcPr>
            <w:tcW w:type="dxa" w:w="6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Institute of Epidemiology, Disease Control and Research — Bangladesh's national epidemiological research institute.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LightGBM</w:t>
            </w:r>
          </w:p>
        </w:tc>
        <w:tc>
          <w:tcPr>
            <w:tcW w:type="dxa" w:w="6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Light Gradient Boosting Machine — a high-performance ensemble ML model by Microsoft, particularly efficient for large datasets.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PostGIS</w:t>
            </w:r>
          </w:p>
        </w:tc>
        <w:tc>
          <w:tcPr>
            <w:tcW w:type="dxa" w:w="6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A PostgreSQL extension that adds support for geographic objects and spatial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RBAC</w:t>
            </w:r>
          </w:p>
        </w:tc>
        <w:tc>
          <w:tcPr>
            <w:tcW w:type="dxa" w:w="6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Role-Based Access Control — a security model in which permissions are assigned to roles, and users are assigned to roles.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SHAP</w:t>
            </w:r>
          </w:p>
        </w:tc>
        <w:tc>
          <w:tcPr>
            <w:tcW w:type="dxa" w:w="6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r>
              <w:rPr>
                <w:b w:val="false"/>
                <w:bCs w:val="false"/>
                <w:sz w:val="20"/>
                <w:szCs w:val="20"/>
              </w:rPr>
              <w:t xml:space="preserve">SHapley Additive exPlanations — a game-theoretic approach to explaining the output of any ML model, attributing prediction contributions to each feature.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XGBoost</w:t>
            </w:r>
          </w:p>
        </w:tc>
        <w:tc>
          <w:tcPr>
            <w:tcW w:type="dxa" w:w="6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b w:val="false"/>
                <w:bCs w:val="false"/>
                <w:sz w:val="20"/>
                <w:szCs w:val="20"/>
              </w:rPr>
              <w:t xml:space="preserve">Extreme Gradient Boosting — a scalable, distributed ensemble ML model widely used for structured/tabular prediction tasks.</w:t>
            </w:r>
          </w:p>
        </w:tc>
      </w:tr>
    </w:tbl>
    <w:p>
      <w:pPr>
        <w:spacing w:after="60" w:before="60"/>
      </w:pPr>
      <w:r>
        <w:t xml:space="preserve"/>
      </w:r>
    </w:p>
    <w:p>
      <w:pPr>
        <w:pBdr>
          <w:bottom w:val="single" w:color="2E86C1" w:sz="4" w:space="1"/>
        </w:pBdr>
        <w:spacing w:after="160" w:before="160"/>
      </w:pPr>
      <w:r>
        <w:t xml:space="preserve"/>
      </w:r>
    </w:p>
    <w:p>
      <w:pPr>
        <w:spacing w:after="100" w:before="200"/>
        <w:jc w:val="center"/>
      </w:pPr>
      <w:r>
        <w:rPr>
          <w:color w:val="888888"/>
          <w:sz w:val="18"/>
          <w:szCs w:val="18"/>
        </w:rPr>
        <w:t xml:space="preserve">PrevDengue — Product Requirements Document v1.0</w:t>
      </w:r>
    </w:p>
    <w:p>
      <w:pPr>
        <w:spacing w:after="0" w:before="0"/>
        <w:jc w:val="center"/>
      </w:pPr>
      <w:r>
        <w:rPr>
          <w:i/>
          <w:iCs/>
          <w:color w:val="888888"/>
          <w:sz w:val="18"/>
          <w:szCs w:val="18"/>
        </w:rPr>
        <w:t xml:space="preserve">Confidential — For Internal Review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tabs>
        <w:tab w:val="right" w:pos="9026"/>
      </w:tabs>
      <w:spacing w:after="0" w:before="120"/>
    </w:pPr>
    <w:r>
      <w:rPr>
        <w:color w:val="888888"/>
        <w:sz w:val="18"/>
        <w:szCs w:val="18"/>
      </w:rPr>
      <w:t xml:space="preserve">v1.0  |  June 2026</w:t>
    </w:r>
    <w:r>
      <w:rPr>
        <w:color w:val="888888"/>
        <w:sz w:val="18"/>
        <w:szCs w:val="18"/>
      </w:rPr>
      <w:t xml:space="preserve">	PrevDengue PRD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spacing w:after="120" w:before="0"/>
    </w:pPr>
    <w:r>
      <w:rPr>
        <w:color w:val="888888"/>
        <w:sz w:val="18"/>
        <w:szCs w:val="18"/>
      </w:rPr>
      <w:t xml:space="preserve">PrevDengue  —  Product Requirements Document  </w:t>
    </w:r>
    <w:r>
      <w:rPr>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2026-06-23T21:00:55.463Z</dcterms:created>
  <dcterms:modified xsi:type="dcterms:W3CDTF">2026-06-23T21:00:55.463Z</dcterms:modified>
</cp:coreProperties>
</file>

<file path=docProps/custom.xml><?xml version="1.0" encoding="utf-8"?>
<Properties xmlns="http://schemas.openxmlformats.org/officeDocument/2006/custom-properties" xmlns:vt="http://schemas.openxmlformats.org/officeDocument/2006/docPropsVTypes"/>
</file>