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</w:pPr>
      <w:r>
        <w:rPr>
          <w:rFonts w:ascii="Arial" w:cs="Arial" w:eastAsia="Arial" w:hAnsi="Arial"/>
          <w:b/>
          <w:bCs/>
          <w:color w:val="0077CC"/>
          <w:sz w:val="72"/>
          <w:szCs w:val="72"/>
        </w:rPr>
        <w:t xml:space="preserve">AQUASENSE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Water Quality Anomaly Detection &amp; Health Risk Predictor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Documentation  •  v1.0  • 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7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Parameters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9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Sources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Scoring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Analysis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IoT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Real-time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AquaSense is a web-based water quality monitoring and anomaly detection platform. It analyses water samples across 8 critical parameters, detects anomalies using threshold-based rules and statistical scoring, and generates AI-powered health risk assessments using the Claude API.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designed to work without IoT hardware — data enters via manual input, CSV upload, or public government water quality APIs.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2. Monitored Parameters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8 parameters are measured and analysed for every water sample submission: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Risk if Anomalous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pH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0–14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6.5–8.5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Corrosion, skin irritation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9B"/>
                <w:sz w:val="20"/>
                <w:szCs w:val="20"/>
              </w:rPr>
              <w:t xml:space="preserve">Turbidity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NTU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0–4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Pathogen harboring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Dissolved O₂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mg/L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6–14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pollution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9B"/>
                <w:sz w:val="20"/>
                <w:szCs w:val="20"/>
              </w:rPr>
              <w:t xml:space="preserve">Conductivity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µS/cm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50–500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Industrial contamination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Nitrates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mg/L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0–10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baby syndrome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9B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5–25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Bacterial growth promotion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µg/L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0–10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Neurological damage in children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E. coli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CFU/100mL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Severe gastrointestinal illness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3. Water Source Profiles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AquaSense simulates realistic readings across 6 distinct water source types. Each source has calibrated value ranges reflecting real-world conditions:</w:t>
      </w:r>
    </w:p>
    <w:p>
      <w:pPr>
        <w:spacing w:before="16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1.  Municipal Tap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Standard piped water supply. Usually lowest risk. pH and lead are primary concerns from old pipes.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2.  River / Lake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Surface water. High turbidity and bacteria risk. Seasonal variation in all parameters.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3.  Groundwater Well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Subsurface water. Elevated nitrates and lead common. Lower bacteria but harder minerals.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4.  Industrial Runoff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HIGHEST RISK. Severe contamination across all parameters. Not suitable for consumption.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5.  Rainwater Harvest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Generally clean but low pH (acidic). Low conductivity. Bacteria risk if collection surfaces dirty.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77CC"/>
          <w:sz w:val="24"/>
          <w:szCs w:val="24"/>
        </w:rPr>
        <w:t xml:space="preserve">6.  Desalination Plant</w:t>
      </w:r>
    </w:p>
    <w:p>
      <w:pPr>
        <w:spacing w:before="0" w:after="10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Processed seawater. Usually very clean. Monitor pH and conductivity post-treatment.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4. Risk Scoring System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water sample receives a composite Risk Score from 0 to 100. The score is calculated by combining threshold violations and severity weights per parameter: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0 –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SAFE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to consume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11 – 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LOW RISK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Monitor closely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31 – 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MODERATE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Treat before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56 –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consume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5. AI-Powered Analysis (Claude API)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anomalies are detected, AquaSense sends the flagged readings to Anthropic's Claude API. The AI generates a 3-paragraph expert analysis covering: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Overall water quality assessment based on all parameter readings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 health risks arising from the detected anomaly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Actionable treatment recommendations (boiling, filtration, testing labs)</w:t>
      </w:r>
    </w:p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response streams in real-time to the dashboard, giving users a clinical and actionable report without requiring domain expertise.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6. Dashboard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6.1  Main Dashboard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gauge (0–100 arc chart) with colour-coded risk level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Parameter radar chart across 6 key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stats panel — pH, DO, turbidity, bacteria at a glance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Potability verdict — Safe / Treat / Do Not Consume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6.2  Parameters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cards for all 8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Colour-coded range slider showing safe zone vs. current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 / ANOMALY badge per parameter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6.3  Health Risks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Lists all flagged parameters with severity (MODERATE / HIGH / 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measured value and detailed health impact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77CC"/>
          <w:sz w:val="26"/>
          <w:szCs w:val="26"/>
        </w:rPr>
        <w:t xml:space="preserve">6.4  History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of all previous scans with source, timestamp, score, and anomaly count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Vite, Recharts, Tailwind 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ML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FastAPI, scikit-learn (Isolation Forest)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(streaming)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bcrypt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C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Railway (backend)</w:t>
            </w:r>
          </w:p>
        </w:tc>
      </w:tr>
    </w:tbl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AquaSense Product Documentation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CC" w:sz="4" w:space="1"/>
      </w:pBdr>
      <w:spacing w:after="120"/>
    </w:pPr>
    <w:r>
      <w:rPr>
        <w:rFonts w:ascii="Arial" w:cs="Arial" w:eastAsia="Arial" w:hAnsi="Arial"/>
        <w:b/>
        <w:bCs/>
        <w:color w:val="0077CC"/>
        <w:sz w:val="22"/>
        <w:szCs w:val="22"/>
      </w:rPr>
      <w:t xml:space="preserve">AQUASENSE</w:t>
    </w:r>
    <w:r>
      <w:rPr>
        <w:rFonts w:ascii="Arial" w:cs="Arial" w:eastAsia="Arial" w:hAnsi="Arial"/>
        <w:color w:val="888888"/>
        <w:sz w:val="20"/>
        <w:szCs w:val="20"/>
      </w:rPr>
      <w:t xml:space="preserve">  |  Water Quality Anomaly Detection &amp; Health Risk Predictor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77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2026-03-07T22:43:40.513Z</dcterms:created>
  <dcterms:modified xsi:type="dcterms:W3CDTF">2026-03-07T22:43:40.514Z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