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ARTI406 - Machine Learning</w:t>
        <w:br/>
        <w:t>Assignment 2: Data Quality Assessment &amp; Preprocessing</w:t>
      </w:r>
    </w:p>
    <w:p>
      <w:r>
        <w:t>Dataset: LEGO Sets Dataset</w:t>
        <w:br/>
        <w:t>Source: Kaggle</w:t>
      </w:r>
    </w:p>
    <w:p>
      <w:pPr>
        <w:pStyle w:val="Heading1"/>
      </w:pPr>
      <w:r>
        <w:rPr>
          <w:rFonts w:ascii="Arial" w:hAnsi="Arial"/>
        </w:rPr>
        <w:t>Task 1: Identify Data Quality Issues</w:t>
      </w:r>
    </w:p>
    <w:p>
      <w:r>
        <w:t>In this task, the dataset was analyzed for missing values, duplicates, and data type issues.</w:t>
      </w:r>
    </w:p>
    <w:p>
      <w:r>
        <w:rPr>
          <w:b/>
        </w:rPr>
        <w:t>Key Findings:</w:t>
        <w:br/>
      </w:r>
      <w:r>
        <w:t>- Missing Values: 9,245 total missing values across 7 columns.</w:t>
        <w:br/>
      </w:r>
      <w:r>
        <w:t>- Duplicate Rows: 1,389 duplicate rows found.</w:t>
        <w:br/>
      </w:r>
      <w:r>
        <w:t>- Most affected column: review_difficulty with 2,055 missing (16.76%).</w:t>
      </w:r>
    </w:p>
    <w:p>
      <w:r>
        <w:drawing>
          <wp:inline xmlns:a="http://schemas.openxmlformats.org/drawingml/2006/main" xmlns:pic="http://schemas.openxmlformats.org/drawingml/2006/picture">
            <wp:extent cx="5486400" cy="214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data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Task 2: Apply One Missing Value Strategy</w:t>
      </w:r>
    </w:p>
    <w:p>
      <w:r>
        <w:t>Strategy Chosen: Mean Imputation</w:t>
      </w:r>
    </w:p>
    <w:p>
      <w:r>
        <w:rPr>
          <w:b/>
        </w:rPr>
        <w:t>Explanation:</w:t>
        <w:br/>
      </w:r>
      <w:r>
        <w:t>Mean imputation was selected because the missing columns (num_reviews, star_rating, play_star_rating, val_star_rating) are numerical rating/count columns. The missing percentage is moderate (~13% to ~17%), and filling with the mean preserves the overall distribution without dropping a large portion of the dataset (2,055 rows).</w:t>
      </w:r>
    </w:p>
    <w:p>
      <w:r>
        <w:drawing>
          <wp:inline xmlns:a="http://schemas.openxmlformats.org/drawingml/2006/main" xmlns:pic="http://schemas.openxmlformats.org/drawingml/2006/picture">
            <wp:extent cx="5486400" cy="3895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missing_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Task 3: Detect and Handle Outliers Using IQR</w:t>
      </w:r>
    </w:p>
    <w:p>
      <w:r>
        <w:t>The Interquartile Range (IQR) method was used to detect outliers. Values below Q1 - 1.5*IQR or above Q3 + 1.5*IQR were identified.</w:t>
      </w:r>
    </w:p>
    <w:p>
      <w:r>
        <w:rPr>
          <w:b/>
        </w:rPr>
        <w:t>Handling Strategy: Capping (Winsorization)</w:t>
        <w:br/>
      </w:r>
      <w:r>
        <w:t>Instead of removing rows, outliers were capped at the upper and lower bounds to retain data while minimizing the impact of extreme values. Approximately 8-9% of values in price, piece count, and reviews were capped.</w:t>
      </w:r>
    </w:p>
    <w:p>
      <w:r>
        <w:drawing>
          <wp:inline xmlns:a="http://schemas.openxmlformats.org/drawingml/2006/main" xmlns:pic="http://schemas.openxmlformats.org/drawingml/2006/picture">
            <wp:extent cx="5486400" cy="340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Task 4: Normalize Numerical Features</w:t>
      </w:r>
    </w:p>
    <w:p>
      <w:r>
        <w:t>Numerical features were normalized using two methods:</w:t>
      </w:r>
    </w:p>
    <w:p>
      <w:r>
        <w:rPr>
          <w:b/>
        </w:rPr>
        <w:t xml:space="preserve">1. Min-Max Normalization: </w:t>
      </w:r>
      <w:r>
        <w:t>Scales values to the range [0, 1]. Useful for algorithms like Neural Networks.</w:t>
        <w:br/>
      </w:r>
      <w:r>
        <w:rPr>
          <w:b/>
        </w:rPr>
        <w:t xml:space="preserve">2. Z-Score Normalization: </w:t>
      </w:r>
      <w:r>
        <w:t>Centers data around mean=0 with standard deviation=1. Useful for PCA and algorithms sensitive to scale.</w:t>
      </w:r>
    </w:p>
    <w:p>
      <w:r>
        <w:drawing>
          <wp:inline xmlns:a="http://schemas.openxmlformats.org/drawingml/2006/main" xmlns:pic="http://schemas.openxmlformats.org/drawingml/2006/picture">
            <wp:extent cx="5486400" cy="4062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norm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Task 5: Apply PCA and Interpret Explained Variance</w:t>
      </w:r>
    </w:p>
    <w:p>
      <w:r>
        <w:t>Principal Component Analysis (PCA) was applied to the Z-Score normalized data to reduce dimensionality.</w:t>
      </w:r>
    </w:p>
    <w:p>
      <w:r>
        <w:rPr>
          <w:b/>
        </w:rPr>
        <w:t>Interpretation:</w:t>
        <w:br/>
      </w:r>
      <w:r>
        <w:t>- PC1 explains 55.84% of the variance, primarily capturing the size and price dimension (list_price, piece_count).</w:t>
        <w:br/>
      </w:r>
      <w:r>
        <w:t>- PC2 explains 19.42% of the variance, capturing review volume vs. customer satisfaction ratings.</w:t>
        <w:br/>
      </w:r>
      <w:r>
        <w:t>- Only 3 components are needed to explain 90.89% of the total variance, effectively reducing the feature space from 6 to 3 dimensions.</w:t>
      </w:r>
    </w:p>
    <w:p>
      <w:r>
        <w:drawing>
          <wp:inline xmlns:a="http://schemas.openxmlformats.org/drawingml/2006/main" xmlns:pic="http://schemas.openxmlformats.org/drawingml/2006/picture">
            <wp:extent cx="5486400" cy="18381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1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