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73946" w14:textId="77777777" w:rsidR="005842A9" w:rsidRDefault="00805864">
      <w:pPr>
        <w:spacing w:before="2400" w:after="240"/>
        <w:jc w:val="center"/>
      </w:pPr>
      <w:r>
        <w:rPr>
          <w:b/>
          <w:bCs/>
          <w:color w:val="0D4D7A"/>
          <w:sz w:val="44"/>
          <w:szCs w:val="44"/>
        </w:rPr>
        <w:t>Uzbekistan Power Sector Transition Tracker</w:t>
      </w:r>
    </w:p>
    <w:p w14:paraId="7F2CF470" w14:textId="77777777" w:rsidR="005842A9" w:rsidRDefault="00805864">
      <w:pPr>
        <w:spacing w:after="720"/>
        <w:jc w:val="center"/>
      </w:pPr>
      <w:r>
        <w:rPr>
          <w:i/>
          <w:iCs/>
          <w:color w:val="6B7280"/>
          <w:sz w:val="28"/>
          <w:szCs w:val="28"/>
        </w:rPr>
        <w:t>A Scenario-Based Forecasting and Decision-Support Framework for Energy-Sector Advisory</w:t>
      </w:r>
    </w:p>
    <w:p w14:paraId="7AAA6DDC" w14:textId="77777777" w:rsidR="005842A9" w:rsidRDefault="00805864">
      <w:pPr>
        <w:spacing w:after="480"/>
        <w:jc w:val="center"/>
      </w:pPr>
      <w:r>
        <w:rPr>
          <w:sz w:val="24"/>
          <w:szCs w:val="24"/>
        </w:rPr>
        <w:t>Central European University — Master of Science in Business Analytics</w:t>
      </w:r>
    </w:p>
    <w:p w14:paraId="774596D1" w14:textId="77777777" w:rsidR="005842A9" w:rsidRDefault="00805864">
      <w:pPr>
        <w:spacing w:after="240"/>
        <w:jc w:val="center"/>
      </w:pPr>
      <w:r>
        <w:rPr>
          <w:b/>
          <w:bCs/>
          <w:sz w:val="24"/>
          <w:szCs w:val="24"/>
        </w:rPr>
        <w:t>Capstone Research Paper</w:t>
      </w:r>
    </w:p>
    <w:p w14:paraId="43B7C08B" w14:textId="77777777" w:rsidR="005842A9" w:rsidRDefault="00805864">
      <w:pPr>
        <w:spacing w:before="1200" w:after="120"/>
        <w:jc w:val="center"/>
      </w:pPr>
      <w:r>
        <w:rPr>
          <w:b/>
          <w:bCs/>
          <w:sz w:val="28"/>
          <w:szCs w:val="28"/>
        </w:rPr>
        <w:t>Farangiz Jurakhonova</w:t>
      </w:r>
    </w:p>
    <w:p w14:paraId="7B626EA2" w14:textId="77777777" w:rsidR="005842A9" w:rsidRDefault="00805864">
      <w:pPr>
        <w:spacing w:after="120"/>
        <w:jc w:val="center"/>
      </w:pPr>
      <w:r>
        <w:t>Jurakhonova_Farangiz@student.ceu.edu</w:t>
      </w:r>
    </w:p>
    <w:p w14:paraId="0A3B2A66" w14:textId="77777777" w:rsidR="005842A9" w:rsidRDefault="00805864">
      <w:pPr>
        <w:spacing w:before="720" w:after="60"/>
        <w:jc w:val="center"/>
      </w:pPr>
      <w:r>
        <w:rPr>
          <w:color w:val="6B7280"/>
          <w:sz w:val="20"/>
          <w:szCs w:val="20"/>
        </w:rPr>
        <w:t>Faculty Supervisor</w:t>
      </w:r>
    </w:p>
    <w:p w14:paraId="1AD653F6" w14:textId="77777777" w:rsidR="005842A9" w:rsidRDefault="00805864">
      <w:pPr>
        <w:spacing w:after="240"/>
        <w:jc w:val="center"/>
      </w:pPr>
      <w:r>
        <w:rPr>
          <w:sz w:val="24"/>
          <w:szCs w:val="24"/>
        </w:rPr>
        <w:t xml:space="preserve">Francesca </w:t>
      </w:r>
      <w:proofErr w:type="spellStart"/>
      <w:r>
        <w:rPr>
          <w:sz w:val="24"/>
          <w:szCs w:val="24"/>
        </w:rPr>
        <w:t>Conselvan</w:t>
      </w:r>
      <w:proofErr w:type="spellEnd"/>
      <w:r>
        <w:rPr>
          <w:sz w:val="24"/>
          <w:szCs w:val="24"/>
        </w:rPr>
        <w:t>, CEU</w:t>
      </w:r>
    </w:p>
    <w:p w14:paraId="2B5FD418" w14:textId="77777777" w:rsidR="005842A9" w:rsidRDefault="00805864">
      <w:pPr>
        <w:spacing w:after="60"/>
        <w:jc w:val="center"/>
      </w:pPr>
      <w:r>
        <w:rPr>
          <w:color w:val="6B7280"/>
          <w:sz w:val="20"/>
          <w:szCs w:val="20"/>
        </w:rPr>
        <w:t>Project Sponsor / Client</w:t>
      </w:r>
    </w:p>
    <w:p w14:paraId="16585A63" w14:textId="77777777" w:rsidR="005842A9" w:rsidRDefault="00805864">
      <w:pPr>
        <w:spacing w:after="240"/>
        <w:jc w:val="center"/>
      </w:pPr>
      <w:proofErr w:type="spellStart"/>
      <w:r>
        <w:rPr>
          <w:sz w:val="24"/>
          <w:szCs w:val="24"/>
        </w:rPr>
        <w:t>Ardak</w:t>
      </w:r>
      <w:proofErr w:type="spellEnd"/>
      <w:r>
        <w:rPr>
          <w:sz w:val="24"/>
          <w:szCs w:val="24"/>
        </w:rPr>
        <w:t xml:space="preserve"> </w:t>
      </w:r>
      <w:proofErr w:type="spellStart"/>
      <w:r>
        <w:rPr>
          <w:sz w:val="24"/>
          <w:szCs w:val="24"/>
        </w:rPr>
        <w:t>Akhatova</w:t>
      </w:r>
      <w:proofErr w:type="spellEnd"/>
      <w:r>
        <w:rPr>
          <w:sz w:val="24"/>
          <w:szCs w:val="24"/>
        </w:rPr>
        <w:t xml:space="preserve"> — ILF Consulting Engineers Austria GmbH</w:t>
      </w:r>
    </w:p>
    <w:p w14:paraId="56904E3F" w14:textId="77777777" w:rsidR="005842A9" w:rsidRDefault="00805864">
      <w:pPr>
        <w:spacing w:before="1200"/>
        <w:jc w:val="center"/>
      </w:pPr>
      <w:r>
        <w:rPr>
          <w:i/>
          <w:iCs/>
          <w:color w:val="1E3A8A"/>
        </w:rPr>
        <w:t>Draft — Working Manuscript for Mentor Review</w:t>
      </w:r>
    </w:p>
    <w:p w14:paraId="7916AF42" w14:textId="77777777" w:rsidR="005842A9" w:rsidRDefault="00805864">
      <w:pPr>
        <w:spacing w:after="240"/>
        <w:jc w:val="center"/>
      </w:pPr>
      <w:r>
        <w:rPr>
          <w:color w:val="6B7280"/>
          <w:sz w:val="20"/>
          <w:szCs w:val="20"/>
        </w:rPr>
        <w:t>Version 0.1 — 2026-05-27</w:t>
      </w:r>
    </w:p>
    <w:p w14:paraId="764E7826" w14:textId="77777777" w:rsidR="005842A9" w:rsidRDefault="00805864">
      <w:pPr>
        <w:pStyle w:val="Heading1"/>
        <w:pageBreakBefore/>
      </w:pPr>
      <w:bookmarkStart w:id="0" w:name="_Toc230942980"/>
      <w:r>
        <w:lastRenderedPageBreak/>
        <w:t>How to use this draft</w:t>
      </w:r>
      <w:bookmarkEnd w:id="0"/>
    </w:p>
    <w:p w14:paraId="3B644FB4" w14:textId="77777777" w:rsidR="005842A9" w:rsidRDefault="00805864">
      <w:pPr>
        <w:spacing w:after="120"/>
      </w:pPr>
      <w:r>
        <w:t>This document is the writing scaffold for the capstone research paper. It is structured to support iterative drafting with mentor review.</w:t>
      </w:r>
    </w:p>
    <w:p w14:paraId="125276A6" w14:textId="77777777" w:rsidR="005842A9" w:rsidRDefault="00805864">
      <w:r>
        <w:rPr>
          <w:i/>
          <w:iCs/>
        </w:rPr>
        <w:t xml:space="preserve">Yellow highlighted blocks marked </w:t>
      </w:r>
      <w:r>
        <w:rPr>
          <w:b/>
          <w:bCs/>
          <w:color w:val="B45309"/>
        </w:rPr>
        <w:t>[TO EXPAND]</w:t>
      </w:r>
      <w:r>
        <w:rPr>
          <w:i/>
          <w:iCs/>
        </w:rPr>
        <w:t xml:space="preserve"> are placeholders showing what content the student should write in that location, with the key points already pre-noted. Replace them with full prose as you draft.</w:t>
      </w:r>
    </w:p>
    <w:p w14:paraId="009E7202" w14:textId="77777777" w:rsidR="005842A9" w:rsidRDefault="00805864">
      <w:r>
        <w:t xml:space="preserve">Blue </w:t>
      </w:r>
      <w:r>
        <w:rPr>
          <w:b/>
          <w:bCs/>
          <w:color w:val="1E40AF"/>
        </w:rPr>
        <w:t xml:space="preserve">Note. </w:t>
      </w:r>
      <w:r>
        <w:t xml:space="preserve">blocks contain methodological reminders or cross-references to the analytical notebooks (NB01–NB10) and the cleaned datasets under </w:t>
      </w:r>
      <w:r>
        <w:rPr>
          <w:rFonts w:ascii="Courier New" w:eastAsia="Courier New" w:hAnsi="Courier New" w:cs="Courier New"/>
        </w:rPr>
        <w:t>data/processed/</w:t>
      </w:r>
      <w:r>
        <w:t>.</w:t>
      </w:r>
    </w:p>
    <w:p w14:paraId="598876F0" w14:textId="77777777" w:rsidR="005842A9" w:rsidRDefault="00805864">
      <w:r>
        <w:t>Recommended workflow with mentors:</w:t>
      </w:r>
    </w:p>
    <w:p w14:paraId="6347C894" w14:textId="77777777" w:rsidR="005842A9" w:rsidRDefault="00805864">
      <w:pPr>
        <w:pStyle w:val="ListParagraph"/>
        <w:numPr>
          <w:ilvl w:val="0"/>
          <w:numId w:val="2"/>
        </w:numPr>
      </w:pPr>
      <w:r>
        <w:t>Enable Track Changes in Word (Review → Track Changes → All Markup) before sharing.</w:t>
      </w:r>
    </w:p>
    <w:p w14:paraId="53E6B094" w14:textId="77777777" w:rsidR="005842A9" w:rsidRDefault="00805864">
      <w:pPr>
        <w:pStyle w:val="ListParagraph"/>
        <w:numPr>
          <w:ilvl w:val="0"/>
          <w:numId w:val="2"/>
        </w:numPr>
      </w:pPr>
      <w:r>
        <w:t>Mentors leave comments via Review → New Comment, or use Track Changes directly.</w:t>
      </w:r>
    </w:p>
    <w:p w14:paraId="5410FD4C" w14:textId="77777777" w:rsidR="005842A9" w:rsidRDefault="00805864">
      <w:pPr>
        <w:pStyle w:val="ListParagraph"/>
        <w:numPr>
          <w:ilvl w:val="0"/>
          <w:numId w:val="2"/>
        </w:numPr>
      </w:pPr>
      <w:r>
        <w:t>After incorporating feedback, accept or reject changes section by section.</w:t>
      </w:r>
    </w:p>
    <w:p w14:paraId="2AD23D27" w14:textId="77777777" w:rsidR="005842A9" w:rsidRDefault="00805864">
      <w:pPr>
        <w:pStyle w:val="ListParagraph"/>
        <w:numPr>
          <w:ilvl w:val="0"/>
          <w:numId w:val="2"/>
        </w:numPr>
      </w:pPr>
      <w:r>
        <w:t>Update the version number on the title page each time you share.</w:t>
      </w:r>
    </w:p>
    <w:p w14:paraId="5E80D443" w14:textId="77777777" w:rsidR="005842A9" w:rsidRDefault="00805864">
      <w:pPr>
        <w:pStyle w:val="Heading1"/>
        <w:pageBreakBefore/>
      </w:pPr>
      <w:bookmarkStart w:id="1" w:name="_Toc230942981"/>
      <w:r>
        <w:lastRenderedPageBreak/>
        <w:t>Abstract</w:t>
      </w:r>
      <w:bookmarkEnd w:id="1"/>
    </w:p>
    <w:p w14:paraId="0F5BF90B" w14:textId="77777777" w:rsidR="005842A9" w:rsidRDefault="00805864">
      <w:pPr>
        <w:shd w:val="clear" w:color="auto" w:fill="FEF3C7"/>
        <w:spacing w:before="80" w:after="80"/>
      </w:pPr>
      <w:r>
        <w:rPr>
          <w:b/>
          <w:bCs/>
          <w:color w:val="B45309"/>
        </w:rPr>
        <w:t xml:space="preserve">[TO EXPAND] </w:t>
      </w:r>
      <w:r>
        <w:rPr>
          <w:i/>
          <w:iCs/>
          <w:color w:val="78350F"/>
        </w:rPr>
        <w:t>150–250 words. State the problem (Uzbekistan power transition + ILF advisory pipeline), the data sources (six open-licensed sources, 1990–2026), the methods (regularised regression bench + Bayesian Ridge + pooled CA panel), the headline result (2030 demand fan 76–110 TWh from Bayesian Ridge, all four targets within Lewis (1982) MAPE bands), and the contribution to ILF (decision-support dashboard).</w:t>
      </w:r>
    </w:p>
    <w:p w14:paraId="566DC149" w14:textId="77777777" w:rsidR="005842A9" w:rsidRDefault="005842A9">
      <w:pPr>
        <w:spacing w:before="120" w:after="120"/>
      </w:pPr>
    </w:p>
    <w:p w14:paraId="4B9CE064" w14:textId="77777777" w:rsidR="005842A9" w:rsidRDefault="00805864">
      <w:r>
        <w:rPr>
          <w:b/>
          <w:bCs/>
        </w:rPr>
        <w:t xml:space="preserve">Keywords: </w:t>
      </w:r>
      <w:r>
        <w:t>electricity demand forecasting, Bayesian Ridge regression, Central Asia, panel data, energy transition, scenario analysis, decision-support dashboard.</w:t>
      </w:r>
    </w:p>
    <w:p w14:paraId="5C59321F" w14:textId="77777777" w:rsidR="005842A9" w:rsidRDefault="00805864">
      <w:pPr>
        <w:pStyle w:val="Heading1"/>
        <w:pageBreakBefore/>
      </w:pPr>
      <w:bookmarkStart w:id="2" w:name="_Toc230942982"/>
      <w:r>
        <w:lastRenderedPageBreak/>
        <w:t>Executive Summary</w:t>
      </w:r>
      <w:bookmarkEnd w:id="2"/>
    </w:p>
    <w:p w14:paraId="64E4A846" w14:textId="77777777" w:rsidR="005842A9" w:rsidRDefault="00805864">
      <w:r>
        <w:rPr>
          <w:b/>
          <w:bCs/>
        </w:rPr>
        <w:t xml:space="preserve">Context. </w:t>
      </w:r>
      <w:r>
        <w:t>ILF Consulting Engineers Austria advises governments, IFIs, and utilities on Central Asian power-sector projects. Uzbekistan is undergoing simultaneous structural shifts — gas-supply decline, renewable build-out toward a 20 GW NDC target by 2030, ageing transmission, and unprecedented multilateral investment inflows. ILF currently reconciles these signals manually across fragmented sources.</w:t>
      </w:r>
    </w:p>
    <w:p w14:paraId="33187D8A" w14:textId="77777777" w:rsidR="005842A9" w:rsidRDefault="00805864">
      <w:r>
        <w:rPr>
          <w:b/>
          <w:bCs/>
        </w:rPr>
        <w:t xml:space="preserve">Objective. </w:t>
      </w:r>
      <w:r>
        <w:t xml:space="preserve">Build a reproducible Power Sector Transition Tracker — a Python data pipeline, scenario-aware forecasting models, an investment-signal layer, and a </w:t>
      </w:r>
      <w:proofErr w:type="spellStart"/>
      <w:r>
        <w:t>Plotly</w:t>
      </w:r>
      <w:proofErr w:type="spellEnd"/>
      <w:r>
        <w:t xml:space="preserve"> Dash dashboard — that consolidates the system view from 1990 through 2040 with calibrated uncertainty.</w:t>
      </w:r>
    </w:p>
    <w:p w14:paraId="4D94F77D" w14:textId="77777777" w:rsidR="005842A9" w:rsidRDefault="00805864">
      <w:r>
        <w:rPr>
          <w:b/>
          <w:bCs/>
        </w:rPr>
        <w:t xml:space="preserve">Headline findings. </w:t>
      </w:r>
    </w:p>
    <w:p w14:paraId="66E766E0" w14:textId="77777777" w:rsidR="005842A9" w:rsidRDefault="00805864">
      <w:pPr>
        <w:pStyle w:val="ListParagraph"/>
        <w:numPr>
          <w:ilvl w:val="0"/>
          <w:numId w:val="3"/>
        </w:numPr>
      </w:pPr>
      <w:r>
        <w:t>Generation grew from approximately 50 TWh (1990) to 83 TWh (2024), a CAGR of about 1.5 % per year; natural gas accounts for ≥ 75 % of the generation mix throughout the entire period.</w:t>
      </w:r>
    </w:p>
    <w:p w14:paraId="566291DD" w14:textId="77777777" w:rsidR="005842A9" w:rsidRDefault="00805864">
      <w:pPr>
        <w:pStyle w:val="ListParagraph"/>
        <w:numPr>
          <w:ilvl w:val="0"/>
          <w:numId w:val="3"/>
        </w:numPr>
      </w:pPr>
      <w:r>
        <w:t>The Bayesian Ridge baseline forecast places 2030 electricity demand at 93 TWh with a 90 % predictive interval of 76–110 TWh; this interval contains the interim Ridge point estimate (101 TWh) and the Eurasian Development Bank (EDB) March 2026 outlook (~102 TWh).</w:t>
      </w:r>
    </w:p>
    <w:p w14:paraId="1E82BA1B" w14:textId="77777777" w:rsidR="005842A9" w:rsidRDefault="00805864">
      <w:pPr>
        <w:pStyle w:val="ListParagraph"/>
        <w:numPr>
          <w:ilvl w:val="0"/>
          <w:numId w:val="3"/>
        </w:numPr>
      </w:pPr>
      <w:r>
        <w:t>Pooling Uzbekistan with three other Central Asia countries (KAZ + KGZ + TJK, n = 95) yields a hold-out test MAPE of 4.62 % for UZB, materially better than the UZB-only minimal Ridge (10.58 %).</w:t>
      </w:r>
    </w:p>
    <w:p w14:paraId="182A6A17" w14:textId="77777777" w:rsidR="005842A9" w:rsidRDefault="00805864">
      <w:pPr>
        <w:pStyle w:val="ListParagraph"/>
        <w:numPr>
          <w:ilvl w:val="0"/>
          <w:numId w:val="3"/>
        </w:numPr>
      </w:pPr>
      <w:r>
        <w:t>A structural capacity gap of approximately 3 GW per year of net renewable additions is required to meet the 20 GW 2030 target; the empirical build-out pace is below this trajectory.</w:t>
      </w:r>
    </w:p>
    <w:p w14:paraId="2E34A463" w14:textId="77777777" w:rsidR="005842A9" w:rsidRDefault="00805864">
      <w:pPr>
        <w:pStyle w:val="ListParagraph"/>
        <w:numPr>
          <w:ilvl w:val="0"/>
          <w:numId w:val="3"/>
        </w:numPr>
      </w:pPr>
      <w:r>
        <w:t>Three of the four predictive targets meet the Lewis (1982) "excellent" MAPE band (&lt; 10 %); CO₂ intensity is reported as a directional trend rather than a point forecast given negative test R².</w:t>
      </w:r>
    </w:p>
    <w:p w14:paraId="34932E00" w14:textId="77777777" w:rsidR="005842A9" w:rsidRDefault="00805864">
      <w:r>
        <w:rPr>
          <w:b/>
          <w:bCs/>
        </w:rPr>
        <w:t xml:space="preserve">Decision-support contribution. </w:t>
      </w:r>
      <w:r>
        <w:t xml:space="preserve">A live </w:t>
      </w:r>
      <w:proofErr w:type="spellStart"/>
      <w:r>
        <w:t>Plotly</w:t>
      </w:r>
      <w:proofErr w:type="spellEnd"/>
      <w:r>
        <w:t xml:space="preserve"> Dash dashboard, deployable to Render, surfaces capacity-gap, renewable-shortfall, and NDC-residual signals mapped one-to-one to ILF advisory categories. Sensitivity overlays — including a parametric Plan B nuclear scenario — let the analyst run "what-if" interactions in under three clicks.</w:t>
      </w:r>
    </w:p>
    <w:p w14:paraId="0D588D25" w14:textId="77777777" w:rsidR="005842A9" w:rsidRDefault="00805864">
      <w:pPr>
        <w:pStyle w:val="Heading1"/>
        <w:pageBreakBefore/>
      </w:pPr>
      <w:bookmarkStart w:id="3" w:name="_Toc230942983"/>
      <w:r>
        <w:lastRenderedPageBreak/>
        <w:t>Table of Contents</w:t>
      </w:r>
      <w:bookmarkEnd w:id="3"/>
    </w:p>
    <w:sdt>
      <w:sdtPr>
        <w:alias w:val="Table of Contents"/>
        <w:id w:val="974494710"/>
      </w:sdtPr>
      <w:sdtEndPr/>
      <w:sdtContent>
        <w:p w14:paraId="192B8170" w14:textId="77777777" w:rsidR="00805864" w:rsidRDefault="00805864">
          <w:pPr>
            <w:pStyle w:val="TOC1"/>
            <w:tabs>
              <w:tab w:val="right" w:leader="dot" w:pos="9350"/>
            </w:tabs>
            <w:rPr>
              <w:noProof/>
            </w:rPr>
          </w:pPr>
          <w:r>
            <w:fldChar w:fldCharType="begin"/>
          </w:r>
          <w:r>
            <w:instrText>TOC \h \o "1-3"</w:instrText>
          </w:r>
          <w:r>
            <w:fldChar w:fldCharType="separate"/>
          </w:r>
          <w:hyperlink w:anchor="_Toc230942980" w:history="1">
            <w:r w:rsidRPr="00304384">
              <w:rPr>
                <w:rStyle w:val="Hyperlink"/>
                <w:noProof/>
              </w:rPr>
              <w:t>How to use this draft</w:t>
            </w:r>
            <w:r>
              <w:rPr>
                <w:noProof/>
              </w:rPr>
              <w:tab/>
            </w:r>
            <w:r>
              <w:rPr>
                <w:noProof/>
              </w:rPr>
              <w:fldChar w:fldCharType="begin"/>
            </w:r>
            <w:r>
              <w:rPr>
                <w:noProof/>
              </w:rPr>
              <w:instrText xml:space="preserve"> PAGEREF _Toc230942980 \h </w:instrText>
            </w:r>
            <w:r>
              <w:rPr>
                <w:noProof/>
              </w:rPr>
            </w:r>
            <w:r>
              <w:rPr>
                <w:noProof/>
              </w:rPr>
              <w:fldChar w:fldCharType="separate"/>
            </w:r>
            <w:r>
              <w:rPr>
                <w:noProof/>
              </w:rPr>
              <w:t>2</w:t>
            </w:r>
            <w:r>
              <w:rPr>
                <w:noProof/>
              </w:rPr>
              <w:fldChar w:fldCharType="end"/>
            </w:r>
          </w:hyperlink>
        </w:p>
        <w:p w14:paraId="3511539F" w14:textId="77777777" w:rsidR="00805864" w:rsidRDefault="00805864">
          <w:pPr>
            <w:pStyle w:val="TOC1"/>
            <w:tabs>
              <w:tab w:val="right" w:leader="dot" w:pos="9350"/>
            </w:tabs>
            <w:rPr>
              <w:noProof/>
            </w:rPr>
          </w:pPr>
          <w:hyperlink w:anchor="_Toc230942981" w:history="1">
            <w:r w:rsidRPr="00304384">
              <w:rPr>
                <w:rStyle w:val="Hyperlink"/>
                <w:noProof/>
              </w:rPr>
              <w:t>Abstract</w:t>
            </w:r>
            <w:r>
              <w:rPr>
                <w:noProof/>
              </w:rPr>
              <w:tab/>
            </w:r>
            <w:r>
              <w:rPr>
                <w:noProof/>
              </w:rPr>
              <w:fldChar w:fldCharType="begin"/>
            </w:r>
            <w:r>
              <w:rPr>
                <w:noProof/>
              </w:rPr>
              <w:instrText xml:space="preserve"> PAGEREF _Toc230942981 \h </w:instrText>
            </w:r>
            <w:r>
              <w:rPr>
                <w:noProof/>
              </w:rPr>
            </w:r>
            <w:r>
              <w:rPr>
                <w:noProof/>
              </w:rPr>
              <w:fldChar w:fldCharType="separate"/>
            </w:r>
            <w:r>
              <w:rPr>
                <w:noProof/>
              </w:rPr>
              <w:t>3</w:t>
            </w:r>
            <w:r>
              <w:rPr>
                <w:noProof/>
              </w:rPr>
              <w:fldChar w:fldCharType="end"/>
            </w:r>
          </w:hyperlink>
        </w:p>
        <w:p w14:paraId="74C1BB7F" w14:textId="77777777" w:rsidR="00805864" w:rsidRDefault="00805864">
          <w:pPr>
            <w:pStyle w:val="TOC1"/>
            <w:tabs>
              <w:tab w:val="right" w:leader="dot" w:pos="9350"/>
            </w:tabs>
            <w:rPr>
              <w:noProof/>
            </w:rPr>
          </w:pPr>
          <w:hyperlink w:anchor="_Toc230942982" w:history="1">
            <w:r w:rsidRPr="00304384">
              <w:rPr>
                <w:rStyle w:val="Hyperlink"/>
                <w:noProof/>
              </w:rPr>
              <w:t>Executive Summary</w:t>
            </w:r>
            <w:r>
              <w:rPr>
                <w:noProof/>
              </w:rPr>
              <w:tab/>
            </w:r>
            <w:r>
              <w:rPr>
                <w:noProof/>
              </w:rPr>
              <w:fldChar w:fldCharType="begin"/>
            </w:r>
            <w:r>
              <w:rPr>
                <w:noProof/>
              </w:rPr>
              <w:instrText xml:space="preserve"> PAGEREF _Toc230942982 \h </w:instrText>
            </w:r>
            <w:r>
              <w:rPr>
                <w:noProof/>
              </w:rPr>
            </w:r>
            <w:r>
              <w:rPr>
                <w:noProof/>
              </w:rPr>
              <w:fldChar w:fldCharType="separate"/>
            </w:r>
            <w:r>
              <w:rPr>
                <w:noProof/>
              </w:rPr>
              <w:t>4</w:t>
            </w:r>
            <w:r>
              <w:rPr>
                <w:noProof/>
              </w:rPr>
              <w:fldChar w:fldCharType="end"/>
            </w:r>
          </w:hyperlink>
        </w:p>
        <w:p w14:paraId="4742F4F1" w14:textId="77777777" w:rsidR="00805864" w:rsidRDefault="00805864">
          <w:pPr>
            <w:pStyle w:val="TOC1"/>
            <w:tabs>
              <w:tab w:val="right" w:leader="dot" w:pos="9350"/>
            </w:tabs>
            <w:rPr>
              <w:noProof/>
            </w:rPr>
          </w:pPr>
          <w:hyperlink w:anchor="_Toc230942983" w:history="1">
            <w:r w:rsidRPr="00304384">
              <w:rPr>
                <w:rStyle w:val="Hyperlink"/>
                <w:noProof/>
              </w:rPr>
              <w:t>Table of Contents</w:t>
            </w:r>
            <w:r>
              <w:rPr>
                <w:noProof/>
              </w:rPr>
              <w:tab/>
            </w:r>
            <w:r>
              <w:rPr>
                <w:noProof/>
              </w:rPr>
              <w:fldChar w:fldCharType="begin"/>
            </w:r>
            <w:r>
              <w:rPr>
                <w:noProof/>
              </w:rPr>
              <w:instrText xml:space="preserve"> PAGEREF _Toc230942983 \h </w:instrText>
            </w:r>
            <w:r>
              <w:rPr>
                <w:noProof/>
              </w:rPr>
            </w:r>
            <w:r>
              <w:rPr>
                <w:noProof/>
              </w:rPr>
              <w:fldChar w:fldCharType="separate"/>
            </w:r>
            <w:r>
              <w:rPr>
                <w:noProof/>
              </w:rPr>
              <w:t>5</w:t>
            </w:r>
            <w:r>
              <w:rPr>
                <w:noProof/>
              </w:rPr>
              <w:fldChar w:fldCharType="end"/>
            </w:r>
          </w:hyperlink>
        </w:p>
        <w:p w14:paraId="6EBB9A7D" w14:textId="77777777" w:rsidR="00805864" w:rsidRDefault="00805864">
          <w:pPr>
            <w:pStyle w:val="TOC1"/>
            <w:tabs>
              <w:tab w:val="right" w:leader="dot" w:pos="9350"/>
            </w:tabs>
            <w:rPr>
              <w:noProof/>
            </w:rPr>
          </w:pPr>
          <w:hyperlink w:anchor="_Toc230942984" w:history="1">
            <w:r w:rsidRPr="00304384">
              <w:rPr>
                <w:rStyle w:val="Hyperlink"/>
                <w:noProof/>
              </w:rPr>
              <w:t>1. Introduction</w:t>
            </w:r>
            <w:r>
              <w:rPr>
                <w:noProof/>
              </w:rPr>
              <w:tab/>
            </w:r>
            <w:r>
              <w:rPr>
                <w:noProof/>
              </w:rPr>
              <w:fldChar w:fldCharType="begin"/>
            </w:r>
            <w:r>
              <w:rPr>
                <w:noProof/>
              </w:rPr>
              <w:instrText xml:space="preserve"> PAGEREF _Toc230942984 \h </w:instrText>
            </w:r>
            <w:r>
              <w:rPr>
                <w:noProof/>
              </w:rPr>
            </w:r>
            <w:r>
              <w:rPr>
                <w:noProof/>
              </w:rPr>
              <w:fldChar w:fldCharType="separate"/>
            </w:r>
            <w:r>
              <w:rPr>
                <w:noProof/>
              </w:rPr>
              <w:t>7</w:t>
            </w:r>
            <w:r>
              <w:rPr>
                <w:noProof/>
              </w:rPr>
              <w:fldChar w:fldCharType="end"/>
            </w:r>
          </w:hyperlink>
        </w:p>
        <w:p w14:paraId="2E229E8E" w14:textId="77777777" w:rsidR="00805864" w:rsidRDefault="00805864">
          <w:pPr>
            <w:pStyle w:val="TOC2"/>
            <w:tabs>
              <w:tab w:val="right" w:leader="dot" w:pos="9350"/>
            </w:tabs>
            <w:rPr>
              <w:noProof/>
            </w:rPr>
          </w:pPr>
          <w:hyperlink w:anchor="_Toc230942985" w:history="1">
            <w:r w:rsidRPr="00304384">
              <w:rPr>
                <w:rStyle w:val="Hyperlink"/>
                <w:noProof/>
              </w:rPr>
              <w:t>1.1 Motivation</w:t>
            </w:r>
            <w:r>
              <w:rPr>
                <w:noProof/>
              </w:rPr>
              <w:tab/>
            </w:r>
            <w:r>
              <w:rPr>
                <w:noProof/>
              </w:rPr>
              <w:fldChar w:fldCharType="begin"/>
            </w:r>
            <w:r>
              <w:rPr>
                <w:noProof/>
              </w:rPr>
              <w:instrText xml:space="preserve"> PAGEREF _Toc230942985 \h </w:instrText>
            </w:r>
            <w:r>
              <w:rPr>
                <w:noProof/>
              </w:rPr>
            </w:r>
            <w:r>
              <w:rPr>
                <w:noProof/>
              </w:rPr>
              <w:fldChar w:fldCharType="separate"/>
            </w:r>
            <w:r>
              <w:rPr>
                <w:noProof/>
              </w:rPr>
              <w:t>7</w:t>
            </w:r>
            <w:r>
              <w:rPr>
                <w:noProof/>
              </w:rPr>
              <w:fldChar w:fldCharType="end"/>
            </w:r>
          </w:hyperlink>
        </w:p>
        <w:p w14:paraId="01296BB5" w14:textId="77777777" w:rsidR="00805864" w:rsidRDefault="00805864">
          <w:pPr>
            <w:pStyle w:val="TOC2"/>
            <w:tabs>
              <w:tab w:val="right" w:leader="dot" w:pos="9350"/>
            </w:tabs>
            <w:rPr>
              <w:noProof/>
            </w:rPr>
          </w:pPr>
          <w:hyperlink w:anchor="_Toc230942986" w:history="1">
            <w:r w:rsidRPr="00304384">
              <w:rPr>
                <w:rStyle w:val="Hyperlink"/>
                <w:noProof/>
              </w:rPr>
              <w:t>1.2 Research questions</w:t>
            </w:r>
            <w:r>
              <w:rPr>
                <w:noProof/>
              </w:rPr>
              <w:tab/>
            </w:r>
            <w:r>
              <w:rPr>
                <w:noProof/>
              </w:rPr>
              <w:fldChar w:fldCharType="begin"/>
            </w:r>
            <w:r>
              <w:rPr>
                <w:noProof/>
              </w:rPr>
              <w:instrText xml:space="preserve"> PAGEREF _Toc230942986 \h </w:instrText>
            </w:r>
            <w:r>
              <w:rPr>
                <w:noProof/>
              </w:rPr>
            </w:r>
            <w:r>
              <w:rPr>
                <w:noProof/>
              </w:rPr>
              <w:fldChar w:fldCharType="separate"/>
            </w:r>
            <w:r>
              <w:rPr>
                <w:noProof/>
              </w:rPr>
              <w:t>7</w:t>
            </w:r>
            <w:r>
              <w:rPr>
                <w:noProof/>
              </w:rPr>
              <w:fldChar w:fldCharType="end"/>
            </w:r>
          </w:hyperlink>
        </w:p>
        <w:p w14:paraId="2D15A21F" w14:textId="77777777" w:rsidR="00805864" w:rsidRDefault="00805864">
          <w:pPr>
            <w:pStyle w:val="TOC2"/>
            <w:tabs>
              <w:tab w:val="right" w:leader="dot" w:pos="9350"/>
            </w:tabs>
            <w:rPr>
              <w:noProof/>
            </w:rPr>
          </w:pPr>
          <w:hyperlink w:anchor="_Toc230942987" w:history="1">
            <w:r w:rsidRPr="00304384">
              <w:rPr>
                <w:rStyle w:val="Hyperlink"/>
                <w:noProof/>
              </w:rPr>
              <w:t>1.3 Scope and unit of analysis</w:t>
            </w:r>
            <w:r>
              <w:rPr>
                <w:noProof/>
              </w:rPr>
              <w:tab/>
            </w:r>
            <w:r>
              <w:rPr>
                <w:noProof/>
              </w:rPr>
              <w:fldChar w:fldCharType="begin"/>
            </w:r>
            <w:r>
              <w:rPr>
                <w:noProof/>
              </w:rPr>
              <w:instrText xml:space="preserve"> PAGEREF _Toc230942987 \h </w:instrText>
            </w:r>
            <w:r>
              <w:rPr>
                <w:noProof/>
              </w:rPr>
            </w:r>
            <w:r>
              <w:rPr>
                <w:noProof/>
              </w:rPr>
              <w:fldChar w:fldCharType="separate"/>
            </w:r>
            <w:r>
              <w:rPr>
                <w:noProof/>
              </w:rPr>
              <w:t>7</w:t>
            </w:r>
            <w:r>
              <w:rPr>
                <w:noProof/>
              </w:rPr>
              <w:fldChar w:fldCharType="end"/>
            </w:r>
          </w:hyperlink>
        </w:p>
        <w:p w14:paraId="31F94EEA" w14:textId="77777777" w:rsidR="00805864" w:rsidRDefault="00805864">
          <w:pPr>
            <w:pStyle w:val="TOC2"/>
            <w:tabs>
              <w:tab w:val="right" w:leader="dot" w:pos="9350"/>
            </w:tabs>
            <w:rPr>
              <w:noProof/>
            </w:rPr>
          </w:pPr>
          <w:hyperlink w:anchor="_Toc230942988" w:history="1">
            <w:r w:rsidRPr="00304384">
              <w:rPr>
                <w:rStyle w:val="Hyperlink"/>
                <w:noProof/>
              </w:rPr>
              <w:t>1.4 Contribution</w:t>
            </w:r>
            <w:r>
              <w:rPr>
                <w:noProof/>
              </w:rPr>
              <w:tab/>
            </w:r>
            <w:r>
              <w:rPr>
                <w:noProof/>
              </w:rPr>
              <w:fldChar w:fldCharType="begin"/>
            </w:r>
            <w:r>
              <w:rPr>
                <w:noProof/>
              </w:rPr>
              <w:instrText xml:space="preserve"> PAGEREF _Toc230942988 \h </w:instrText>
            </w:r>
            <w:r>
              <w:rPr>
                <w:noProof/>
              </w:rPr>
            </w:r>
            <w:r>
              <w:rPr>
                <w:noProof/>
              </w:rPr>
              <w:fldChar w:fldCharType="separate"/>
            </w:r>
            <w:r>
              <w:rPr>
                <w:noProof/>
              </w:rPr>
              <w:t>7</w:t>
            </w:r>
            <w:r>
              <w:rPr>
                <w:noProof/>
              </w:rPr>
              <w:fldChar w:fldCharType="end"/>
            </w:r>
          </w:hyperlink>
        </w:p>
        <w:p w14:paraId="44552935" w14:textId="77777777" w:rsidR="00805864" w:rsidRDefault="00805864">
          <w:pPr>
            <w:pStyle w:val="TOC1"/>
            <w:tabs>
              <w:tab w:val="right" w:leader="dot" w:pos="9350"/>
            </w:tabs>
            <w:rPr>
              <w:noProof/>
            </w:rPr>
          </w:pPr>
          <w:hyperlink w:anchor="_Toc230942989" w:history="1">
            <w:r w:rsidRPr="00304384">
              <w:rPr>
                <w:rStyle w:val="Hyperlink"/>
                <w:noProof/>
              </w:rPr>
              <w:t>2. Literature Review</w:t>
            </w:r>
            <w:r>
              <w:rPr>
                <w:noProof/>
              </w:rPr>
              <w:tab/>
            </w:r>
            <w:r>
              <w:rPr>
                <w:noProof/>
              </w:rPr>
              <w:fldChar w:fldCharType="begin"/>
            </w:r>
            <w:r>
              <w:rPr>
                <w:noProof/>
              </w:rPr>
              <w:instrText xml:space="preserve"> PAGEREF _Toc230942989 \h </w:instrText>
            </w:r>
            <w:r>
              <w:rPr>
                <w:noProof/>
              </w:rPr>
            </w:r>
            <w:r>
              <w:rPr>
                <w:noProof/>
              </w:rPr>
              <w:fldChar w:fldCharType="separate"/>
            </w:r>
            <w:r>
              <w:rPr>
                <w:noProof/>
              </w:rPr>
              <w:t>9</w:t>
            </w:r>
            <w:r>
              <w:rPr>
                <w:noProof/>
              </w:rPr>
              <w:fldChar w:fldCharType="end"/>
            </w:r>
          </w:hyperlink>
        </w:p>
        <w:p w14:paraId="121AAF4F" w14:textId="77777777" w:rsidR="00805864" w:rsidRDefault="00805864">
          <w:pPr>
            <w:pStyle w:val="TOC2"/>
            <w:tabs>
              <w:tab w:val="right" w:leader="dot" w:pos="9350"/>
            </w:tabs>
            <w:rPr>
              <w:noProof/>
            </w:rPr>
          </w:pPr>
          <w:hyperlink w:anchor="_Toc230942990" w:history="1">
            <w:r w:rsidRPr="00304384">
              <w:rPr>
                <w:rStyle w:val="Hyperlink"/>
                <w:noProof/>
              </w:rPr>
              <w:t>2.1 Electricity demand forecasting in developing economies</w:t>
            </w:r>
            <w:r>
              <w:rPr>
                <w:noProof/>
              </w:rPr>
              <w:tab/>
            </w:r>
            <w:r>
              <w:rPr>
                <w:noProof/>
              </w:rPr>
              <w:fldChar w:fldCharType="begin"/>
            </w:r>
            <w:r>
              <w:rPr>
                <w:noProof/>
              </w:rPr>
              <w:instrText xml:space="preserve"> PAGEREF _Toc230942990 \h </w:instrText>
            </w:r>
            <w:r>
              <w:rPr>
                <w:noProof/>
              </w:rPr>
            </w:r>
            <w:r>
              <w:rPr>
                <w:noProof/>
              </w:rPr>
              <w:fldChar w:fldCharType="separate"/>
            </w:r>
            <w:r>
              <w:rPr>
                <w:noProof/>
              </w:rPr>
              <w:t>9</w:t>
            </w:r>
            <w:r>
              <w:rPr>
                <w:noProof/>
              </w:rPr>
              <w:fldChar w:fldCharType="end"/>
            </w:r>
          </w:hyperlink>
        </w:p>
        <w:p w14:paraId="24C42BCA" w14:textId="77777777" w:rsidR="00805864" w:rsidRDefault="00805864">
          <w:pPr>
            <w:pStyle w:val="TOC2"/>
            <w:tabs>
              <w:tab w:val="right" w:leader="dot" w:pos="9350"/>
            </w:tabs>
            <w:rPr>
              <w:noProof/>
            </w:rPr>
          </w:pPr>
          <w:hyperlink w:anchor="_Toc230942991" w:history="1">
            <w:r w:rsidRPr="00304384">
              <w:rPr>
                <w:rStyle w:val="Hyperlink"/>
                <w:noProof/>
              </w:rPr>
              <w:t>2.2 Small-sample remedies for time-series regression</w:t>
            </w:r>
            <w:r>
              <w:rPr>
                <w:noProof/>
              </w:rPr>
              <w:tab/>
            </w:r>
            <w:r>
              <w:rPr>
                <w:noProof/>
              </w:rPr>
              <w:fldChar w:fldCharType="begin"/>
            </w:r>
            <w:r>
              <w:rPr>
                <w:noProof/>
              </w:rPr>
              <w:instrText xml:space="preserve"> PAGEREF _Toc230942991 \h </w:instrText>
            </w:r>
            <w:r>
              <w:rPr>
                <w:noProof/>
              </w:rPr>
            </w:r>
            <w:r>
              <w:rPr>
                <w:noProof/>
              </w:rPr>
              <w:fldChar w:fldCharType="separate"/>
            </w:r>
            <w:r>
              <w:rPr>
                <w:noProof/>
              </w:rPr>
              <w:t>9</w:t>
            </w:r>
            <w:r>
              <w:rPr>
                <w:noProof/>
              </w:rPr>
              <w:fldChar w:fldCharType="end"/>
            </w:r>
          </w:hyperlink>
        </w:p>
        <w:p w14:paraId="14D09FCE" w14:textId="77777777" w:rsidR="00805864" w:rsidRDefault="00805864">
          <w:pPr>
            <w:pStyle w:val="TOC2"/>
            <w:tabs>
              <w:tab w:val="right" w:leader="dot" w:pos="9350"/>
            </w:tabs>
            <w:rPr>
              <w:noProof/>
            </w:rPr>
          </w:pPr>
          <w:hyperlink w:anchor="_Toc230942992" w:history="1">
            <w:r w:rsidRPr="00304384">
              <w:rPr>
                <w:rStyle w:val="Hyperlink"/>
                <w:noProof/>
              </w:rPr>
              <w:t>2.3 Stationarity and cointegration discipline</w:t>
            </w:r>
            <w:r>
              <w:rPr>
                <w:noProof/>
              </w:rPr>
              <w:tab/>
            </w:r>
            <w:r>
              <w:rPr>
                <w:noProof/>
              </w:rPr>
              <w:fldChar w:fldCharType="begin"/>
            </w:r>
            <w:r>
              <w:rPr>
                <w:noProof/>
              </w:rPr>
              <w:instrText xml:space="preserve"> PAGEREF _Toc230942992 \h </w:instrText>
            </w:r>
            <w:r>
              <w:rPr>
                <w:noProof/>
              </w:rPr>
            </w:r>
            <w:r>
              <w:rPr>
                <w:noProof/>
              </w:rPr>
              <w:fldChar w:fldCharType="separate"/>
            </w:r>
            <w:r>
              <w:rPr>
                <w:noProof/>
              </w:rPr>
              <w:t>9</w:t>
            </w:r>
            <w:r>
              <w:rPr>
                <w:noProof/>
              </w:rPr>
              <w:fldChar w:fldCharType="end"/>
            </w:r>
          </w:hyperlink>
        </w:p>
        <w:p w14:paraId="228F56E3" w14:textId="77777777" w:rsidR="00805864" w:rsidRDefault="00805864">
          <w:pPr>
            <w:pStyle w:val="TOC2"/>
            <w:tabs>
              <w:tab w:val="right" w:leader="dot" w:pos="9350"/>
            </w:tabs>
            <w:rPr>
              <w:noProof/>
            </w:rPr>
          </w:pPr>
          <w:hyperlink w:anchor="_Toc230942993" w:history="1">
            <w:r w:rsidRPr="00304384">
              <w:rPr>
                <w:rStyle w:val="Hyperlink"/>
                <w:noProof/>
              </w:rPr>
              <w:t>2.4 Forecast evaluation framework</w:t>
            </w:r>
            <w:r>
              <w:rPr>
                <w:noProof/>
              </w:rPr>
              <w:tab/>
            </w:r>
            <w:r>
              <w:rPr>
                <w:noProof/>
              </w:rPr>
              <w:fldChar w:fldCharType="begin"/>
            </w:r>
            <w:r>
              <w:rPr>
                <w:noProof/>
              </w:rPr>
              <w:instrText xml:space="preserve"> PAGEREF _Toc230942993 \h </w:instrText>
            </w:r>
            <w:r>
              <w:rPr>
                <w:noProof/>
              </w:rPr>
            </w:r>
            <w:r>
              <w:rPr>
                <w:noProof/>
              </w:rPr>
              <w:fldChar w:fldCharType="separate"/>
            </w:r>
            <w:r>
              <w:rPr>
                <w:noProof/>
              </w:rPr>
              <w:t>9</w:t>
            </w:r>
            <w:r>
              <w:rPr>
                <w:noProof/>
              </w:rPr>
              <w:fldChar w:fldCharType="end"/>
            </w:r>
          </w:hyperlink>
        </w:p>
        <w:p w14:paraId="70050D04" w14:textId="77777777" w:rsidR="00805864" w:rsidRDefault="00805864">
          <w:pPr>
            <w:pStyle w:val="TOC2"/>
            <w:tabs>
              <w:tab w:val="right" w:leader="dot" w:pos="9350"/>
            </w:tabs>
            <w:rPr>
              <w:noProof/>
            </w:rPr>
          </w:pPr>
          <w:hyperlink w:anchor="_Toc230942994" w:history="1">
            <w:r w:rsidRPr="00304384">
              <w:rPr>
                <w:rStyle w:val="Hyperlink"/>
                <w:noProof/>
              </w:rPr>
              <w:t>2.5 Central Asia energy sector literature</w:t>
            </w:r>
            <w:r>
              <w:rPr>
                <w:noProof/>
              </w:rPr>
              <w:tab/>
            </w:r>
            <w:r>
              <w:rPr>
                <w:noProof/>
              </w:rPr>
              <w:fldChar w:fldCharType="begin"/>
            </w:r>
            <w:r>
              <w:rPr>
                <w:noProof/>
              </w:rPr>
              <w:instrText xml:space="preserve"> PAGEREF _Toc230942994 \h </w:instrText>
            </w:r>
            <w:r>
              <w:rPr>
                <w:noProof/>
              </w:rPr>
            </w:r>
            <w:r>
              <w:rPr>
                <w:noProof/>
              </w:rPr>
              <w:fldChar w:fldCharType="separate"/>
            </w:r>
            <w:r>
              <w:rPr>
                <w:noProof/>
              </w:rPr>
              <w:t>10</w:t>
            </w:r>
            <w:r>
              <w:rPr>
                <w:noProof/>
              </w:rPr>
              <w:fldChar w:fldCharType="end"/>
            </w:r>
          </w:hyperlink>
        </w:p>
        <w:p w14:paraId="0CD14865" w14:textId="77777777" w:rsidR="00805864" w:rsidRDefault="00805864">
          <w:pPr>
            <w:pStyle w:val="TOC1"/>
            <w:tabs>
              <w:tab w:val="right" w:leader="dot" w:pos="9350"/>
            </w:tabs>
            <w:rPr>
              <w:noProof/>
            </w:rPr>
          </w:pPr>
          <w:hyperlink w:anchor="_Toc230942995" w:history="1">
            <w:r w:rsidRPr="00304384">
              <w:rPr>
                <w:rStyle w:val="Hyperlink"/>
                <w:noProof/>
              </w:rPr>
              <w:t>3. Data and Methodology</w:t>
            </w:r>
            <w:r>
              <w:rPr>
                <w:noProof/>
              </w:rPr>
              <w:tab/>
            </w:r>
            <w:r>
              <w:rPr>
                <w:noProof/>
              </w:rPr>
              <w:fldChar w:fldCharType="begin"/>
            </w:r>
            <w:r>
              <w:rPr>
                <w:noProof/>
              </w:rPr>
              <w:instrText xml:space="preserve"> PAGEREF _Toc230942995 \h </w:instrText>
            </w:r>
            <w:r>
              <w:rPr>
                <w:noProof/>
              </w:rPr>
            </w:r>
            <w:r>
              <w:rPr>
                <w:noProof/>
              </w:rPr>
              <w:fldChar w:fldCharType="separate"/>
            </w:r>
            <w:r>
              <w:rPr>
                <w:noProof/>
              </w:rPr>
              <w:t>11</w:t>
            </w:r>
            <w:r>
              <w:rPr>
                <w:noProof/>
              </w:rPr>
              <w:fldChar w:fldCharType="end"/>
            </w:r>
          </w:hyperlink>
        </w:p>
        <w:p w14:paraId="53D2FA6B" w14:textId="77777777" w:rsidR="00805864" w:rsidRDefault="00805864">
          <w:pPr>
            <w:pStyle w:val="TOC2"/>
            <w:tabs>
              <w:tab w:val="right" w:leader="dot" w:pos="9350"/>
            </w:tabs>
            <w:rPr>
              <w:noProof/>
            </w:rPr>
          </w:pPr>
          <w:hyperlink w:anchor="_Toc230942996" w:history="1">
            <w:r w:rsidRPr="00304384">
              <w:rPr>
                <w:rStyle w:val="Hyperlink"/>
                <w:noProof/>
              </w:rPr>
              <w:t>3.1 Data sources</w:t>
            </w:r>
            <w:r>
              <w:rPr>
                <w:noProof/>
              </w:rPr>
              <w:tab/>
            </w:r>
            <w:r>
              <w:rPr>
                <w:noProof/>
              </w:rPr>
              <w:fldChar w:fldCharType="begin"/>
            </w:r>
            <w:r>
              <w:rPr>
                <w:noProof/>
              </w:rPr>
              <w:instrText xml:space="preserve"> PAGEREF _Toc230942996 \h </w:instrText>
            </w:r>
            <w:r>
              <w:rPr>
                <w:noProof/>
              </w:rPr>
            </w:r>
            <w:r>
              <w:rPr>
                <w:noProof/>
              </w:rPr>
              <w:fldChar w:fldCharType="separate"/>
            </w:r>
            <w:r>
              <w:rPr>
                <w:noProof/>
              </w:rPr>
              <w:t>11</w:t>
            </w:r>
            <w:r>
              <w:rPr>
                <w:noProof/>
              </w:rPr>
              <w:fldChar w:fldCharType="end"/>
            </w:r>
          </w:hyperlink>
        </w:p>
        <w:p w14:paraId="5FDDCFC2" w14:textId="77777777" w:rsidR="00805864" w:rsidRDefault="00805864">
          <w:pPr>
            <w:pStyle w:val="TOC2"/>
            <w:tabs>
              <w:tab w:val="right" w:leader="dot" w:pos="9350"/>
            </w:tabs>
            <w:rPr>
              <w:noProof/>
            </w:rPr>
          </w:pPr>
          <w:hyperlink w:anchor="_Toc230942997" w:history="1">
            <w:r w:rsidRPr="00304384">
              <w:rPr>
                <w:rStyle w:val="Hyperlink"/>
                <w:noProof/>
              </w:rPr>
              <w:t>3.2 The messy data problem and the UzStat SDMX cleanup</w:t>
            </w:r>
            <w:r>
              <w:rPr>
                <w:noProof/>
              </w:rPr>
              <w:tab/>
            </w:r>
            <w:r>
              <w:rPr>
                <w:noProof/>
              </w:rPr>
              <w:fldChar w:fldCharType="begin"/>
            </w:r>
            <w:r>
              <w:rPr>
                <w:noProof/>
              </w:rPr>
              <w:instrText xml:space="preserve"> PAGEREF _Toc230942997 \h </w:instrText>
            </w:r>
            <w:r>
              <w:rPr>
                <w:noProof/>
              </w:rPr>
            </w:r>
            <w:r>
              <w:rPr>
                <w:noProof/>
              </w:rPr>
              <w:fldChar w:fldCharType="separate"/>
            </w:r>
            <w:r>
              <w:rPr>
                <w:noProof/>
              </w:rPr>
              <w:t>11</w:t>
            </w:r>
            <w:r>
              <w:rPr>
                <w:noProof/>
              </w:rPr>
              <w:fldChar w:fldCharType="end"/>
            </w:r>
          </w:hyperlink>
        </w:p>
        <w:p w14:paraId="5B782D1A" w14:textId="77777777" w:rsidR="00805864" w:rsidRDefault="00805864">
          <w:pPr>
            <w:pStyle w:val="TOC2"/>
            <w:tabs>
              <w:tab w:val="right" w:leader="dot" w:pos="9350"/>
            </w:tabs>
            <w:rPr>
              <w:noProof/>
            </w:rPr>
          </w:pPr>
          <w:hyperlink w:anchor="_Toc230942998" w:history="1">
            <w:r w:rsidRPr="00304384">
              <w:rPr>
                <w:rStyle w:val="Hyperlink"/>
                <w:noProof/>
              </w:rPr>
              <w:t>3.3 Train–test split and cross-validation</w:t>
            </w:r>
            <w:r>
              <w:rPr>
                <w:noProof/>
              </w:rPr>
              <w:tab/>
            </w:r>
            <w:r>
              <w:rPr>
                <w:noProof/>
              </w:rPr>
              <w:fldChar w:fldCharType="begin"/>
            </w:r>
            <w:r>
              <w:rPr>
                <w:noProof/>
              </w:rPr>
              <w:instrText xml:space="preserve"> PAGEREF _Toc230942998 \h </w:instrText>
            </w:r>
            <w:r>
              <w:rPr>
                <w:noProof/>
              </w:rPr>
            </w:r>
            <w:r>
              <w:rPr>
                <w:noProof/>
              </w:rPr>
              <w:fldChar w:fldCharType="separate"/>
            </w:r>
            <w:r>
              <w:rPr>
                <w:noProof/>
              </w:rPr>
              <w:t>11</w:t>
            </w:r>
            <w:r>
              <w:rPr>
                <w:noProof/>
              </w:rPr>
              <w:fldChar w:fldCharType="end"/>
            </w:r>
          </w:hyperlink>
        </w:p>
        <w:p w14:paraId="2C67204E" w14:textId="77777777" w:rsidR="00805864" w:rsidRDefault="00805864">
          <w:pPr>
            <w:pStyle w:val="TOC2"/>
            <w:tabs>
              <w:tab w:val="right" w:leader="dot" w:pos="9350"/>
            </w:tabs>
            <w:rPr>
              <w:noProof/>
            </w:rPr>
          </w:pPr>
          <w:hyperlink w:anchor="_Toc230942999" w:history="1">
            <w:r w:rsidRPr="00304384">
              <w:rPr>
                <w:rStyle w:val="Hyperlink"/>
                <w:noProof/>
              </w:rPr>
              <w:t>3.4 Scenario specification</w:t>
            </w:r>
            <w:r>
              <w:rPr>
                <w:noProof/>
              </w:rPr>
              <w:tab/>
            </w:r>
            <w:r>
              <w:rPr>
                <w:noProof/>
              </w:rPr>
              <w:fldChar w:fldCharType="begin"/>
            </w:r>
            <w:r>
              <w:rPr>
                <w:noProof/>
              </w:rPr>
              <w:instrText xml:space="preserve"> PAGEREF _Toc230942999 \h </w:instrText>
            </w:r>
            <w:r>
              <w:rPr>
                <w:noProof/>
              </w:rPr>
            </w:r>
            <w:r>
              <w:rPr>
                <w:noProof/>
              </w:rPr>
              <w:fldChar w:fldCharType="separate"/>
            </w:r>
            <w:r>
              <w:rPr>
                <w:noProof/>
              </w:rPr>
              <w:t>12</w:t>
            </w:r>
            <w:r>
              <w:rPr>
                <w:noProof/>
              </w:rPr>
              <w:fldChar w:fldCharType="end"/>
            </w:r>
          </w:hyperlink>
        </w:p>
        <w:p w14:paraId="0B4F0C5B" w14:textId="77777777" w:rsidR="00805864" w:rsidRDefault="00805864">
          <w:pPr>
            <w:pStyle w:val="TOC2"/>
            <w:tabs>
              <w:tab w:val="right" w:leader="dot" w:pos="9350"/>
            </w:tabs>
            <w:rPr>
              <w:noProof/>
            </w:rPr>
          </w:pPr>
          <w:hyperlink w:anchor="_Toc230943000" w:history="1">
            <w:r w:rsidRPr="00304384">
              <w:rPr>
                <w:rStyle w:val="Hyperlink"/>
                <w:noProof/>
              </w:rPr>
              <w:t>3.5 Reproducibility</w:t>
            </w:r>
            <w:r>
              <w:rPr>
                <w:noProof/>
              </w:rPr>
              <w:tab/>
            </w:r>
            <w:r>
              <w:rPr>
                <w:noProof/>
              </w:rPr>
              <w:fldChar w:fldCharType="begin"/>
            </w:r>
            <w:r>
              <w:rPr>
                <w:noProof/>
              </w:rPr>
              <w:instrText xml:space="preserve"> PAGEREF _Toc230943000 \h </w:instrText>
            </w:r>
            <w:r>
              <w:rPr>
                <w:noProof/>
              </w:rPr>
            </w:r>
            <w:r>
              <w:rPr>
                <w:noProof/>
              </w:rPr>
              <w:fldChar w:fldCharType="separate"/>
            </w:r>
            <w:r>
              <w:rPr>
                <w:noProof/>
              </w:rPr>
              <w:t>12</w:t>
            </w:r>
            <w:r>
              <w:rPr>
                <w:noProof/>
              </w:rPr>
              <w:fldChar w:fldCharType="end"/>
            </w:r>
          </w:hyperlink>
        </w:p>
        <w:p w14:paraId="7299C57D" w14:textId="77777777" w:rsidR="00805864" w:rsidRDefault="00805864">
          <w:pPr>
            <w:pStyle w:val="TOC1"/>
            <w:tabs>
              <w:tab w:val="right" w:leader="dot" w:pos="9350"/>
            </w:tabs>
            <w:rPr>
              <w:noProof/>
            </w:rPr>
          </w:pPr>
          <w:hyperlink w:anchor="_Toc230943001" w:history="1">
            <w:r w:rsidRPr="00304384">
              <w:rPr>
                <w:rStyle w:val="Hyperlink"/>
                <w:noProof/>
              </w:rPr>
              <w:t>4. Exploratory Data Analysis</w:t>
            </w:r>
            <w:r>
              <w:rPr>
                <w:noProof/>
              </w:rPr>
              <w:tab/>
            </w:r>
            <w:r>
              <w:rPr>
                <w:noProof/>
              </w:rPr>
              <w:fldChar w:fldCharType="begin"/>
            </w:r>
            <w:r>
              <w:rPr>
                <w:noProof/>
              </w:rPr>
              <w:instrText xml:space="preserve"> PAGEREF _Toc230943001 \h </w:instrText>
            </w:r>
            <w:r>
              <w:rPr>
                <w:noProof/>
              </w:rPr>
            </w:r>
            <w:r>
              <w:rPr>
                <w:noProof/>
              </w:rPr>
              <w:fldChar w:fldCharType="separate"/>
            </w:r>
            <w:r>
              <w:rPr>
                <w:noProof/>
              </w:rPr>
              <w:t>13</w:t>
            </w:r>
            <w:r>
              <w:rPr>
                <w:noProof/>
              </w:rPr>
              <w:fldChar w:fldCharType="end"/>
            </w:r>
          </w:hyperlink>
        </w:p>
        <w:p w14:paraId="103A42BA" w14:textId="77777777" w:rsidR="00805864" w:rsidRDefault="00805864">
          <w:pPr>
            <w:pStyle w:val="TOC2"/>
            <w:tabs>
              <w:tab w:val="right" w:leader="dot" w:pos="9350"/>
            </w:tabs>
            <w:rPr>
              <w:noProof/>
            </w:rPr>
          </w:pPr>
          <w:hyperlink w:anchor="_Toc230943002" w:history="1">
            <w:r w:rsidRPr="00304384">
              <w:rPr>
                <w:rStyle w:val="Hyperlink"/>
                <w:noProof/>
              </w:rPr>
              <w:t>4.1 Energy mix evolution (NB02)</w:t>
            </w:r>
            <w:r>
              <w:rPr>
                <w:noProof/>
              </w:rPr>
              <w:tab/>
            </w:r>
            <w:r>
              <w:rPr>
                <w:noProof/>
              </w:rPr>
              <w:fldChar w:fldCharType="begin"/>
            </w:r>
            <w:r>
              <w:rPr>
                <w:noProof/>
              </w:rPr>
              <w:instrText xml:space="preserve"> PAGEREF _Toc230943002 \h </w:instrText>
            </w:r>
            <w:r>
              <w:rPr>
                <w:noProof/>
              </w:rPr>
            </w:r>
            <w:r>
              <w:rPr>
                <w:noProof/>
              </w:rPr>
              <w:fldChar w:fldCharType="separate"/>
            </w:r>
            <w:r>
              <w:rPr>
                <w:noProof/>
              </w:rPr>
              <w:t>13</w:t>
            </w:r>
            <w:r>
              <w:rPr>
                <w:noProof/>
              </w:rPr>
              <w:fldChar w:fldCharType="end"/>
            </w:r>
          </w:hyperlink>
        </w:p>
        <w:p w14:paraId="261E85DB" w14:textId="77777777" w:rsidR="00805864" w:rsidRDefault="00805864">
          <w:pPr>
            <w:pStyle w:val="TOC2"/>
            <w:tabs>
              <w:tab w:val="right" w:leader="dot" w:pos="9350"/>
            </w:tabs>
            <w:rPr>
              <w:noProof/>
            </w:rPr>
          </w:pPr>
          <w:hyperlink w:anchor="_Toc230943003" w:history="1">
            <w:r w:rsidRPr="00304384">
              <w:rPr>
                <w:rStyle w:val="Hyperlink"/>
                <w:noProof/>
              </w:rPr>
              <w:t>4.2 Supply drivers (NB03)</w:t>
            </w:r>
            <w:r>
              <w:rPr>
                <w:noProof/>
              </w:rPr>
              <w:tab/>
            </w:r>
            <w:r>
              <w:rPr>
                <w:noProof/>
              </w:rPr>
              <w:fldChar w:fldCharType="begin"/>
            </w:r>
            <w:r>
              <w:rPr>
                <w:noProof/>
              </w:rPr>
              <w:instrText xml:space="preserve"> PAGEREF _Toc230943003 \h </w:instrText>
            </w:r>
            <w:r>
              <w:rPr>
                <w:noProof/>
              </w:rPr>
            </w:r>
            <w:r>
              <w:rPr>
                <w:noProof/>
              </w:rPr>
              <w:fldChar w:fldCharType="separate"/>
            </w:r>
            <w:r>
              <w:rPr>
                <w:noProof/>
              </w:rPr>
              <w:t>13</w:t>
            </w:r>
            <w:r>
              <w:rPr>
                <w:noProof/>
              </w:rPr>
              <w:fldChar w:fldCharType="end"/>
            </w:r>
          </w:hyperlink>
        </w:p>
        <w:p w14:paraId="7C01E371" w14:textId="77777777" w:rsidR="00805864" w:rsidRDefault="00805864">
          <w:pPr>
            <w:pStyle w:val="TOC2"/>
            <w:tabs>
              <w:tab w:val="right" w:leader="dot" w:pos="9350"/>
            </w:tabs>
            <w:rPr>
              <w:noProof/>
            </w:rPr>
          </w:pPr>
          <w:hyperlink w:anchor="_Toc230943004" w:history="1">
            <w:r w:rsidRPr="00304384">
              <w:rPr>
                <w:rStyle w:val="Hyperlink"/>
                <w:noProof/>
              </w:rPr>
              <w:t>4.3 Demand drivers (NB04)</w:t>
            </w:r>
            <w:r>
              <w:rPr>
                <w:noProof/>
              </w:rPr>
              <w:tab/>
            </w:r>
            <w:r>
              <w:rPr>
                <w:noProof/>
              </w:rPr>
              <w:fldChar w:fldCharType="begin"/>
            </w:r>
            <w:r>
              <w:rPr>
                <w:noProof/>
              </w:rPr>
              <w:instrText xml:space="preserve"> PAGEREF _Toc230943004 \h </w:instrText>
            </w:r>
            <w:r>
              <w:rPr>
                <w:noProof/>
              </w:rPr>
            </w:r>
            <w:r>
              <w:rPr>
                <w:noProof/>
              </w:rPr>
              <w:fldChar w:fldCharType="separate"/>
            </w:r>
            <w:r>
              <w:rPr>
                <w:noProof/>
              </w:rPr>
              <w:t>13</w:t>
            </w:r>
            <w:r>
              <w:rPr>
                <w:noProof/>
              </w:rPr>
              <w:fldChar w:fldCharType="end"/>
            </w:r>
          </w:hyperlink>
        </w:p>
        <w:p w14:paraId="6F7F71CA" w14:textId="77777777" w:rsidR="00805864" w:rsidRDefault="00805864">
          <w:pPr>
            <w:pStyle w:val="TOC2"/>
            <w:tabs>
              <w:tab w:val="right" w:leader="dot" w:pos="9350"/>
            </w:tabs>
            <w:rPr>
              <w:noProof/>
            </w:rPr>
          </w:pPr>
          <w:hyperlink w:anchor="_Toc230943005" w:history="1">
            <w:r w:rsidRPr="00304384">
              <w:rPr>
                <w:rStyle w:val="Hyperlink"/>
                <w:noProof/>
              </w:rPr>
              <w:t>4.4 Correlations and causality discipline (NB05)</w:t>
            </w:r>
            <w:r>
              <w:rPr>
                <w:noProof/>
              </w:rPr>
              <w:tab/>
            </w:r>
            <w:r>
              <w:rPr>
                <w:noProof/>
              </w:rPr>
              <w:fldChar w:fldCharType="begin"/>
            </w:r>
            <w:r>
              <w:rPr>
                <w:noProof/>
              </w:rPr>
              <w:instrText xml:space="preserve"> PAGEREF _Toc230943005 \h </w:instrText>
            </w:r>
            <w:r>
              <w:rPr>
                <w:noProof/>
              </w:rPr>
            </w:r>
            <w:r>
              <w:rPr>
                <w:noProof/>
              </w:rPr>
              <w:fldChar w:fldCharType="separate"/>
            </w:r>
            <w:r>
              <w:rPr>
                <w:noProof/>
              </w:rPr>
              <w:t>13</w:t>
            </w:r>
            <w:r>
              <w:rPr>
                <w:noProof/>
              </w:rPr>
              <w:fldChar w:fldCharType="end"/>
            </w:r>
          </w:hyperlink>
        </w:p>
        <w:p w14:paraId="073D4973" w14:textId="77777777" w:rsidR="00805864" w:rsidRDefault="00805864">
          <w:pPr>
            <w:pStyle w:val="TOC1"/>
            <w:tabs>
              <w:tab w:val="right" w:leader="dot" w:pos="9350"/>
            </w:tabs>
            <w:rPr>
              <w:noProof/>
            </w:rPr>
          </w:pPr>
          <w:hyperlink w:anchor="_Toc230943006" w:history="1">
            <w:r w:rsidRPr="00304384">
              <w:rPr>
                <w:rStyle w:val="Hyperlink"/>
                <w:noProof/>
              </w:rPr>
              <w:t>5. Forecasting Models</w:t>
            </w:r>
            <w:r>
              <w:rPr>
                <w:noProof/>
              </w:rPr>
              <w:tab/>
            </w:r>
            <w:r>
              <w:rPr>
                <w:noProof/>
              </w:rPr>
              <w:fldChar w:fldCharType="begin"/>
            </w:r>
            <w:r>
              <w:rPr>
                <w:noProof/>
              </w:rPr>
              <w:instrText xml:space="preserve"> PAGEREF _Toc230943006 \h </w:instrText>
            </w:r>
            <w:r>
              <w:rPr>
                <w:noProof/>
              </w:rPr>
            </w:r>
            <w:r>
              <w:rPr>
                <w:noProof/>
              </w:rPr>
              <w:fldChar w:fldCharType="separate"/>
            </w:r>
            <w:r>
              <w:rPr>
                <w:noProof/>
              </w:rPr>
              <w:t>15</w:t>
            </w:r>
            <w:r>
              <w:rPr>
                <w:noProof/>
              </w:rPr>
              <w:fldChar w:fldCharType="end"/>
            </w:r>
          </w:hyperlink>
        </w:p>
        <w:p w14:paraId="55376604" w14:textId="77777777" w:rsidR="00805864" w:rsidRDefault="00805864">
          <w:pPr>
            <w:pStyle w:val="TOC2"/>
            <w:tabs>
              <w:tab w:val="right" w:leader="dot" w:pos="9350"/>
            </w:tabs>
            <w:rPr>
              <w:noProof/>
            </w:rPr>
          </w:pPr>
          <w:hyperlink w:anchor="_Toc230943007" w:history="1">
            <w:r w:rsidRPr="00304384">
              <w:rPr>
                <w:rStyle w:val="Hyperlink"/>
                <w:noProof/>
              </w:rPr>
              <w:t>5.1 Baseline model bench (NB06)</w:t>
            </w:r>
            <w:r>
              <w:rPr>
                <w:noProof/>
              </w:rPr>
              <w:tab/>
            </w:r>
            <w:r>
              <w:rPr>
                <w:noProof/>
              </w:rPr>
              <w:fldChar w:fldCharType="begin"/>
            </w:r>
            <w:r>
              <w:rPr>
                <w:noProof/>
              </w:rPr>
              <w:instrText xml:space="preserve"> PAGEREF _Toc230943007 \h </w:instrText>
            </w:r>
            <w:r>
              <w:rPr>
                <w:noProof/>
              </w:rPr>
            </w:r>
            <w:r>
              <w:rPr>
                <w:noProof/>
              </w:rPr>
              <w:fldChar w:fldCharType="separate"/>
            </w:r>
            <w:r>
              <w:rPr>
                <w:noProof/>
              </w:rPr>
              <w:t>15</w:t>
            </w:r>
            <w:r>
              <w:rPr>
                <w:noProof/>
              </w:rPr>
              <w:fldChar w:fldCharType="end"/>
            </w:r>
          </w:hyperlink>
        </w:p>
        <w:p w14:paraId="49518BDB" w14:textId="77777777" w:rsidR="00805864" w:rsidRDefault="00805864">
          <w:pPr>
            <w:pStyle w:val="TOC2"/>
            <w:tabs>
              <w:tab w:val="right" w:leader="dot" w:pos="9350"/>
            </w:tabs>
            <w:rPr>
              <w:noProof/>
            </w:rPr>
          </w:pPr>
          <w:hyperlink w:anchor="_Toc230943008" w:history="1">
            <w:r w:rsidRPr="00304384">
              <w:rPr>
                <w:rStyle w:val="Hyperlink"/>
                <w:noProof/>
              </w:rPr>
              <w:t>5.2 Advanced Bayesian Ridge (NB07 § 3)</w:t>
            </w:r>
            <w:r>
              <w:rPr>
                <w:noProof/>
              </w:rPr>
              <w:tab/>
            </w:r>
            <w:r>
              <w:rPr>
                <w:noProof/>
              </w:rPr>
              <w:fldChar w:fldCharType="begin"/>
            </w:r>
            <w:r>
              <w:rPr>
                <w:noProof/>
              </w:rPr>
              <w:instrText xml:space="preserve"> PAGEREF _Toc230943008 \h </w:instrText>
            </w:r>
            <w:r>
              <w:rPr>
                <w:noProof/>
              </w:rPr>
            </w:r>
            <w:r>
              <w:rPr>
                <w:noProof/>
              </w:rPr>
              <w:fldChar w:fldCharType="separate"/>
            </w:r>
            <w:r>
              <w:rPr>
                <w:noProof/>
              </w:rPr>
              <w:t>15</w:t>
            </w:r>
            <w:r>
              <w:rPr>
                <w:noProof/>
              </w:rPr>
              <w:fldChar w:fldCharType="end"/>
            </w:r>
          </w:hyperlink>
        </w:p>
        <w:p w14:paraId="586F39AF" w14:textId="77777777" w:rsidR="00805864" w:rsidRDefault="00805864">
          <w:pPr>
            <w:pStyle w:val="TOC2"/>
            <w:tabs>
              <w:tab w:val="right" w:leader="dot" w:pos="9350"/>
            </w:tabs>
            <w:rPr>
              <w:noProof/>
            </w:rPr>
          </w:pPr>
          <w:hyperlink w:anchor="_Toc230943009" w:history="1">
            <w:r w:rsidRPr="00304384">
              <w:rPr>
                <w:rStyle w:val="Hyperlink"/>
                <w:noProof/>
              </w:rPr>
              <w:t>5.3 Pooled Central-Asia Ridge with country fixed effects (NB07 § 4)</w:t>
            </w:r>
            <w:r>
              <w:rPr>
                <w:noProof/>
              </w:rPr>
              <w:tab/>
            </w:r>
            <w:r>
              <w:rPr>
                <w:noProof/>
              </w:rPr>
              <w:fldChar w:fldCharType="begin"/>
            </w:r>
            <w:r>
              <w:rPr>
                <w:noProof/>
              </w:rPr>
              <w:instrText xml:space="preserve"> PAGEREF _Toc230943009 \h </w:instrText>
            </w:r>
            <w:r>
              <w:rPr>
                <w:noProof/>
              </w:rPr>
            </w:r>
            <w:r>
              <w:rPr>
                <w:noProof/>
              </w:rPr>
              <w:fldChar w:fldCharType="separate"/>
            </w:r>
            <w:r>
              <w:rPr>
                <w:noProof/>
              </w:rPr>
              <w:t>15</w:t>
            </w:r>
            <w:r>
              <w:rPr>
                <w:noProof/>
              </w:rPr>
              <w:fldChar w:fldCharType="end"/>
            </w:r>
          </w:hyperlink>
        </w:p>
        <w:p w14:paraId="3E04C258" w14:textId="77777777" w:rsidR="00805864" w:rsidRDefault="00805864">
          <w:pPr>
            <w:pStyle w:val="TOC2"/>
            <w:tabs>
              <w:tab w:val="right" w:leader="dot" w:pos="9350"/>
            </w:tabs>
            <w:rPr>
              <w:noProof/>
            </w:rPr>
          </w:pPr>
          <w:hyperlink w:anchor="_Toc230943010" w:history="1">
            <w:r w:rsidRPr="00304384">
              <w:rPr>
                <w:rStyle w:val="Hyperlink"/>
                <w:noProof/>
              </w:rPr>
              <w:t>5.4 Scenario projection and uncertainty fan</w:t>
            </w:r>
            <w:r>
              <w:rPr>
                <w:noProof/>
              </w:rPr>
              <w:tab/>
            </w:r>
            <w:r>
              <w:rPr>
                <w:noProof/>
              </w:rPr>
              <w:fldChar w:fldCharType="begin"/>
            </w:r>
            <w:r>
              <w:rPr>
                <w:noProof/>
              </w:rPr>
              <w:instrText xml:space="preserve"> PAGEREF _Toc230943010 \h </w:instrText>
            </w:r>
            <w:r>
              <w:rPr>
                <w:noProof/>
              </w:rPr>
            </w:r>
            <w:r>
              <w:rPr>
                <w:noProof/>
              </w:rPr>
              <w:fldChar w:fldCharType="separate"/>
            </w:r>
            <w:r>
              <w:rPr>
                <w:noProof/>
              </w:rPr>
              <w:t>15</w:t>
            </w:r>
            <w:r>
              <w:rPr>
                <w:noProof/>
              </w:rPr>
              <w:fldChar w:fldCharType="end"/>
            </w:r>
          </w:hyperlink>
        </w:p>
        <w:p w14:paraId="57A086A7" w14:textId="77777777" w:rsidR="00805864" w:rsidRDefault="00805864">
          <w:pPr>
            <w:pStyle w:val="TOC1"/>
            <w:tabs>
              <w:tab w:val="right" w:leader="dot" w:pos="9350"/>
            </w:tabs>
            <w:rPr>
              <w:noProof/>
            </w:rPr>
          </w:pPr>
          <w:hyperlink w:anchor="_Toc230943011" w:history="1">
            <w:r w:rsidRPr="00304384">
              <w:rPr>
                <w:rStyle w:val="Hyperlink"/>
                <w:noProof/>
              </w:rPr>
              <w:t>6. Results</w:t>
            </w:r>
            <w:r>
              <w:rPr>
                <w:noProof/>
              </w:rPr>
              <w:tab/>
            </w:r>
            <w:r>
              <w:rPr>
                <w:noProof/>
              </w:rPr>
              <w:fldChar w:fldCharType="begin"/>
            </w:r>
            <w:r>
              <w:rPr>
                <w:noProof/>
              </w:rPr>
              <w:instrText xml:space="preserve"> PAGEREF _Toc230943011 \h </w:instrText>
            </w:r>
            <w:r>
              <w:rPr>
                <w:noProof/>
              </w:rPr>
            </w:r>
            <w:r>
              <w:rPr>
                <w:noProof/>
              </w:rPr>
              <w:fldChar w:fldCharType="separate"/>
            </w:r>
            <w:r>
              <w:rPr>
                <w:noProof/>
              </w:rPr>
              <w:t>17</w:t>
            </w:r>
            <w:r>
              <w:rPr>
                <w:noProof/>
              </w:rPr>
              <w:fldChar w:fldCharType="end"/>
            </w:r>
          </w:hyperlink>
        </w:p>
        <w:p w14:paraId="445AA8F5" w14:textId="77777777" w:rsidR="00805864" w:rsidRDefault="00805864">
          <w:pPr>
            <w:pStyle w:val="TOC2"/>
            <w:tabs>
              <w:tab w:val="right" w:leader="dot" w:pos="9350"/>
            </w:tabs>
            <w:rPr>
              <w:noProof/>
            </w:rPr>
          </w:pPr>
          <w:hyperlink w:anchor="_Toc230943012" w:history="1">
            <w:r w:rsidRPr="00304384">
              <w:rPr>
                <w:rStyle w:val="Hyperlink"/>
                <w:noProof/>
              </w:rPr>
              <w:t>6.1 Unified model scoreboard</w:t>
            </w:r>
            <w:r>
              <w:rPr>
                <w:noProof/>
              </w:rPr>
              <w:tab/>
            </w:r>
            <w:r>
              <w:rPr>
                <w:noProof/>
              </w:rPr>
              <w:fldChar w:fldCharType="begin"/>
            </w:r>
            <w:r>
              <w:rPr>
                <w:noProof/>
              </w:rPr>
              <w:instrText xml:space="preserve"> PAGEREF _Toc230943012 \h </w:instrText>
            </w:r>
            <w:r>
              <w:rPr>
                <w:noProof/>
              </w:rPr>
            </w:r>
            <w:r>
              <w:rPr>
                <w:noProof/>
              </w:rPr>
              <w:fldChar w:fldCharType="separate"/>
            </w:r>
            <w:r>
              <w:rPr>
                <w:noProof/>
              </w:rPr>
              <w:t>17</w:t>
            </w:r>
            <w:r>
              <w:rPr>
                <w:noProof/>
              </w:rPr>
              <w:fldChar w:fldCharType="end"/>
            </w:r>
          </w:hyperlink>
        </w:p>
        <w:p w14:paraId="6510953F" w14:textId="77777777" w:rsidR="00805864" w:rsidRDefault="00805864">
          <w:pPr>
            <w:pStyle w:val="TOC2"/>
            <w:tabs>
              <w:tab w:val="right" w:leader="dot" w:pos="9350"/>
            </w:tabs>
            <w:rPr>
              <w:noProof/>
            </w:rPr>
          </w:pPr>
          <w:hyperlink w:anchor="_Toc230943013" w:history="1">
            <w:r w:rsidRPr="00304384">
              <w:rPr>
                <w:rStyle w:val="Hyperlink"/>
                <w:noProof/>
              </w:rPr>
              <w:t>6.2 Bayesian Ridge demand forecast to 2030</w:t>
            </w:r>
            <w:r>
              <w:rPr>
                <w:noProof/>
              </w:rPr>
              <w:tab/>
            </w:r>
            <w:r>
              <w:rPr>
                <w:noProof/>
              </w:rPr>
              <w:fldChar w:fldCharType="begin"/>
            </w:r>
            <w:r>
              <w:rPr>
                <w:noProof/>
              </w:rPr>
              <w:instrText xml:space="preserve"> PAGEREF _Toc230943013 \h </w:instrText>
            </w:r>
            <w:r>
              <w:rPr>
                <w:noProof/>
              </w:rPr>
            </w:r>
            <w:r>
              <w:rPr>
                <w:noProof/>
              </w:rPr>
              <w:fldChar w:fldCharType="separate"/>
            </w:r>
            <w:r>
              <w:rPr>
                <w:noProof/>
              </w:rPr>
              <w:t>17</w:t>
            </w:r>
            <w:r>
              <w:rPr>
                <w:noProof/>
              </w:rPr>
              <w:fldChar w:fldCharType="end"/>
            </w:r>
          </w:hyperlink>
        </w:p>
        <w:p w14:paraId="483A6E59" w14:textId="77777777" w:rsidR="00805864" w:rsidRDefault="00805864">
          <w:pPr>
            <w:pStyle w:val="TOC2"/>
            <w:tabs>
              <w:tab w:val="right" w:leader="dot" w:pos="9350"/>
            </w:tabs>
            <w:rPr>
              <w:noProof/>
            </w:rPr>
          </w:pPr>
          <w:hyperlink w:anchor="_Toc230943014" w:history="1">
            <w:r w:rsidRPr="00304384">
              <w:rPr>
                <w:rStyle w:val="Hyperlink"/>
                <w:noProof/>
              </w:rPr>
              <w:t>6.3 LOCO cross-validation of the pooled model</w:t>
            </w:r>
            <w:r>
              <w:rPr>
                <w:noProof/>
              </w:rPr>
              <w:tab/>
            </w:r>
            <w:r>
              <w:rPr>
                <w:noProof/>
              </w:rPr>
              <w:fldChar w:fldCharType="begin"/>
            </w:r>
            <w:r>
              <w:rPr>
                <w:noProof/>
              </w:rPr>
              <w:instrText xml:space="preserve"> PAGEREF _Toc230943014 \h </w:instrText>
            </w:r>
            <w:r>
              <w:rPr>
                <w:noProof/>
              </w:rPr>
            </w:r>
            <w:r>
              <w:rPr>
                <w:noProof/>
              </w:rPr>
              <w:fldChar w:fldCharType="separate"/>
            </w:r>
            <w:r>
              <w:rPr>
                <w:noProof/>
              </w:rPr>
              <w:t>17</w:t>
            </w:r>
            <w:r>
              <w:rPr>
                <w:noProof/>
              </w:rPr>
              <w:fldChar w:fldCharType="end"/>
            </w:r>
          </w:hyperlink>
        </w:p>
        <w:p w14:paraId="04A82BB8" w14:textId="77777777" w:rsidR="00805864" w:rsidRDefault="00805864">
          <w:pPr>
            <w:pStyle w:val="TOC2"/>
            <w:tabs>
              <w:tab w:val="right" w:leader="dot" w:pos="9350"/>
            </w:tabs>
            <w:rPr>
              <w:noProof/>
            </w:rPr>
          </w:pPr>
          <w:hyperlink w:anchor="_Toc230943015" w:history="1">
            <w:r w:rsidRPr="00304384">
              <w:rPr>
                <w:rStyle w:val="Hyperlink"/>
                <w:noProof/>
              </w:rPr>
              <w:t>6.4 The other three targets</w:t>
            </w:r>
            <w:r>
              <w:rPr>
                <w:noProof/>
              </w:rPr>
              <w:tab/>
            </w:r>
            <w:r>
              <w:rPr>
                <w:noProof/>
              </w:rPr>
              <w:fldChar w:fldCharType="begin"/>
            </w:r>
            <w:r>
              <w:rPr>
                <w:noProof/>
              </w:rPr>
              <w:instrText xml:space="preserve"> PAGEREF _Toc230943015 \h </w:instrText>
            </w:r>
            <w:r>
              <w:rPr>
                <w:noProof/>
              </w:rPr>
            </w:r>
            <w:r>
              <w:rPr>
                <w:noProof/>
              </w:rPr>
              <w:fldChar w:fldCharType="separate"/>
            </w:r>
            <w:r>
              <w:rPr>
                <w:noProof/>
              </w:rPr>
              <w:t>18</w:t>
            </w:r>
            <w:r>
              <w:rPr>
                <w:noProof/>
              </w:rPr>
              <w:fldChar w:fldCharType="end"/>
            </w:r>
          </w:hyperlink>
        </w:p>
        <w:p w14:paraId="42A1EE16" w14:textId="77777777" w:rsidR="00805864" w:rsidRDefault="00805864">
          <w:pPr>
            <w:pStyle w:val="TOC1"/>
            <w:tabs>
              <w:tab w:val="right" w:leader="dot" w:pos="9350"/>
            </w:tabs>
            <w:rPr>
              <w:noProof/>
            </w:rPr>
          </w:pPr>
          <w:hyperlink w:anchor="_Toc230943016" w:history="1">
            <w:r w:rsidRPr="00304384">
              <w:rPr>
                <w:rStyle w:val="Hyperlink"/>
                <w:noProof/>
              </w:rPr>
              <w:t>7. Discussion</w:t>
            </w:r>
            <w:r>
              <w:rPr>
                <w:noProof/>
              </w:rPr>
              <w:tab/>
            </w:r>
            <w:r>
              <w:rPr>
                <w:noProof/>
              </w:rPr>
              <w:fldChar w:fldCharType="begin"/>
            </w:r>
            <w:r>
              <w:rPr>
                <w:noProof/>
              </w:rPr>
              <w:instrText xml:space="preserve"> PAGEREF _Toc230943016 \h </w:instrText>
            </w:r>
            <w:r>
              <w:rPr>
                <w:noProof/>
              </w:rPr>
            </w:r>
            <w:r>
              <w:rPr>
                <w:noProof/>
              </w:rPr>
              <w:fldChar w:fldCharType="separate"/>
            </w:r>
            <w:r>
              <w:rPr>
                <w:noProof/>
              </w:rPr>
              <w:t>19</w:t>
            </w:r>
            <w:r>
              <w:rPr>
                <w:noProof/>
              </w:rPr>
              <w:fldChar w:fldCharType="end"/>
            </w:r>
          </w:hyperlink>
        </w:p>
        <w:p w14:paraId="59379D54" w14:textId="77777777" w:rsidR="00805864" w:rsidRDefault="00805864">
          <w:pPr>
            <w:pStyle w:val="TOC2"/>
            <w:tabs>
              <w:tab w:val="right" w:leader="dot" w:pos="9350"/>
            </w:tabs>
            <w:rPr>
              <w:noProof/>
            </w:rPr>
          </w:pPr>
          <w:hyperlink w:anchor="_Toc230943017" w:history="1">
            <w:r w:rsidRPr="00304384">
              <w:rPr>
                <w:rStyle w:val="Hyperlink"/>
                <w:noProof/>
              </w:rPr>
              <w:t>7.1 Why the pooled Bayesian Ridge wins</w:t>
            </w:r>
            <w:r>
              <w:rPr>
                <w:noProof/>
              </w:rPr>
              <w:tab/>
            </w:r>
            <w:r>
              <w:rPr>
                <w:noProof/>
              </w:rPr>
              <w:fldChar w:fldCharType="begin"/>
            </w:r>
            <w:r>
              <w:rPr>
                <w:noProof/>
              </w:rPr>
              <w:instrText xml:space="preserve"> PAGEREF _Toc230943017 \h </w:instrText>
            </w:r>
            <w:r>
              <w:rPr>
                <w:noProof/>
              </w:rPr>
            </w:r>
            <w:r>
              <w:rPr>
                <w:noProof/>
              </w:rPr>
              <w:fldChar w:fldCharType="separate"/>
            </w:r>
            <w:r>
              <w:rPr>
                <w:noProof/>
              </w:rPr>
              <w:t>19</w:t>
            </w:r>
            <w:r>
              <w:rPr>
                <w:noProof/>
              </w:rPr>
              <w:fldChar w:fldCharType="end"/>
            </w:r>
          </w:hyperlink>
        </w:p>
        <w:p w14:paraId="459B8977" w14:textId="77777777" w:rsidR="00805864" w:rsidRDefault="00805864">
          <w:pPr>
            <w:pStyle w:val="TOC2"/>
            <w:tabs>
              <w:tab w:val="right" w:leader="dot" w:pos="9350"/>
            </w:tabs>
            <w:rPr>
              <w:noProof/>
            </w:rPr>
          </w:pPr>
          <w:hyperlink w:anchor="_Toc230943018" w:history="1">
            <w:r w:rsidRPr="00304384">
              <w:rPr>
                <w:rStyle w:val="Hyperlink"/>
                <w:noProof/>
              </w:rPr>
              <w:t>7.2 What the 90 % predictive interval means for ILF</w:t>
            </w:r>
            <w:r>
              <w:rPr>
                <w:noProof/>
              </w:rPr>
              <w:tab/>
            </w:r>
            <w:r>
              <w:rPr>
                <w:noProof/>
              </w:rPr>
              <w:fldChar w:fldCharType="begin"/>
            </w:r>
            <w:r>
              <w:rPr>
                <w:noProof/>
              </w:rPr>
              <w:instrText xml:space="preserve"> PAGEREF _Toc230943018 \h </w:instrText>
            </w:r>
            <w:r>
              <w:rPr>
                <w:noProof/>
              </w:rPr>
            </w:r>
            <w:r>
              <w:rPr>
                <w:noProof/>
              </w:rPr>
              <w:fldChar w:fldCharType="separate"/>
            </w:r>
            <w:r>
              <w:rPr>
                <w:noProof/>
              </w:rPr>
              <w:t>19</w:t>
            </w:r>
            <w:r>
              <w:rPr>
                <w:noProof/>
              </w:rPr>
              <w:fldChar w:fldCharType="end"/>
            </w:r>
          </w:hyperlink>
        </w:p>
        <w:p w14:paraId="7AF56DEC" w14:textId="77777777" w:rsidR="00805864" w:rsidRDefault="00805864">
          <w:pPr>
            <w:pStyle w:val="TOC2"/>
            <w:tabs>
              <w:tab w:val="right" w:leader="dot" w:pos="9350"/>
            </w:tabs>
            <w:rPr>
              <w:noProof/>
            </w:rPr>
          </w:pPr>
          <w:hyperlink w:anchor="_Toc230943019" w:history="1">
            <w:r w:rsidRPr="00304384">
              <w:rPr>
                <w:rStyle w:val="Hyperlink"/>
                <w:noProof/>
              </w:rPr>
              <w:t>7.3 The structural capacity gap is scenario-independent</w:t>
            </w:r>
            <w:r>
              <w:rPr>
                <w:noProof/>
              </w:rPr>
              <w:tab/>
            </w:r>
            <w:r>
              <w:rPr>
                <w:noProof/>
              </w:rPr>
              <w:fldChar w:fldCharType="begin"/>
            </w:r>
            <w:r>
              <w:rPr>
                <w:noProof/>
              </w:rPr>
              <w:instrText xml:space="preserve"> PAGEREF _Toc230943019 \h </w:instrText>
            </w:r>
            <w:r>
              <w:rPr>
                <w:noProof/>
              </w:rPr>
            </w:r>
            <w:r>
              <w:rPr>
                <w:noProof/>
              </w:rPr>
              <w:fldChar w:fldCharType="separate"/>
            </w:r>
            <w:r>
              <w:rPr>
                <w:noProof/>
              </w:rPr>
              <w:t>19</w:t>
            </w:r>
            <w:r>
              <w:rPr>
                <w:noProof/>
              </w:rPr>
              <w:fldChar w:fldCharType="end"/>
            </w:r>
          </w:hyperlink>
        </w:p>
        <w:p w14:paraId="3486F2D1" w14:textId="77777777" w:rsidR="00805864" w:rsidRDefault="00805864">
          <w:pPr>
            <w:pStyle w:val="TOC2"/>
            <w:tabs>
              <w:tab w:val="right" w:leader="dot" w:pos="9350"/>
            </w:tabs>
            <w:rPr>
              <w:noProof/>
            </w:rPr>
          </w:pPr>
          <w:hyperlink w:anchor="_Toc230943020" w:history="1">
            <w:r w:rsidRPr="00304384">
              <w:rPr>
                <w:rStyle w:val="Hyperlink"/>
                <w:noProof/>
              </w:rPr>
              <w:t>7.4 Mapping forecasts to ILF advisory categories</w:t>
            </w:r>
            <w:r>
              <w:rPr>
                <w:noProof/>
              </w:rPr>
              <w:tab/>
            </w:r>
            <w:r>
              <w:rPr>
                <w:noProof/>
              </w:rPr>
              <w:fldChar w:fldCharType="begin"/>
            </w:r>
            <w:r>
              <w:rPr>
                <w:noProof/>
              </w:rPr>
              <w:instrText xml:space="preserve"> PAGEREF _Toc230943020 \h </w:instrText>
            </w:r>
            <w:r>
              <w:rPr>
                <w:noProof/>
              </w:rPr>
            </w:r>
            <w:r>
              <w:rPr>
                <w:noProof/>
              </w:rPr>
              <w:fldChar w:fldCharType="separate"/>
            </w:r>
            <w:r>
              <w:rPr>
                <w:noProof/>
              </w:rPr>
              <w:t>19</w:t>
            </w:r>
            <w:r>
              <w:rPr>
                <w:noProof/>
              </w:rPr>
              <w:fldChar w:fldCharType="end"/>
            </w:r>
          </w:hyperlink>
        </w:p>
        <w:p w14:paraId="381E0DF9" w14:textId="77777777" w:rsidR="00805864" w:rsidRDefault="00805864">
          <w:pPr>
            <w:pStyle w:val="TOC1"/>
            <w:tabs>
              <w:tab w:val="right" w:leader="dot" w:pos="9350"/>
            </w:tabs>
            <w:rPr>
              <w:noProof/>
            </w:rPr>
          </w:pPr>
          <w:hyperlink w:anchor="_Toc230943021" w:history="1">
            <w:r w:rsidRPr="00304384">
              <w:rPr>
                <w:rStyle w:val="Hyperlink"/>
                <w:noProof/>
              </w:rPr>
              <w:t>8. Limitations and Future Work</w:t>
            </w:r>
            <w:r>
              <w:rPr>
                <w:noProof/>
              </w:rPr>
              <w:tab/>
            </w:r>
            <w:r>
              <w:rPr>
                <w:noProof/>
              </w:rPr>
              <w:fldChar w:fldCharType="begin"/>
            </w:r>
            <w:r>
              <w:rPr>
                <w:noProof/>
              </w:rPr>
              <w:instrText xml:space="preserve"> PAGEREF _Toc230943021 \h </w:instrText>
            </w:r>
            <w:r>
              <w:rPr>
                <w:noProof/>
              </w:rPr>
            </w:r>
            <w:r>
              <w:rPr>
                <w:noProof/>
              </w:rPr>
              <w:fldChar w:fldCharType="separate"/>
            </w:r>
            <w:r>
              <w:rPr>
                <w:noProof/>
              </w:rPr>
              <w:t>20</w:t>
            </w:r>
            <w:r>
              <w:rPr>
                <w:noProof/>
              </w:rPr>
              <w:fldChar w:fldCharType="end"/>
            </w:r>
          </w:hyperlink>
        </w:p>
        <w:p w14:paraId="740ADF52" w14:textId="77777777" w:rsidR="00805864" w:rsidRDefault="00805864">
          <w:pPr>
            <w:pStyle w:val="TOC2"/>
            <w:tabs>
              <w:tab w:val="right" w:leader="dot" w:pos="9350"/>
            </w:tabs>
            <w:rPr>
              <w:noProof/>
            </w:rPr>
          </w:pPr>
          <w:hyperlink w:anchor="_Toc230943022" w:history="1">
            <w:r w:rsidRPr="00304384">
              <w:rPr>
                <w:rStyle w:val="Hyperlink"/>
                <w:noProof/>
              </w:rPr>
              <w:t>8.1 Sample-size constraints</w:t>
            </w:r>
            <w:r>
              <w:rPr>
                <w:noProof/>
              </w:rPr>
              <w:tab/>
            </w:r>
            <w:r>
              <w:rPr>
                <w:noProof/>
              </w:rPr>
              <w:fldChar w:fldCharType="begin"/>
            </w:r>
            <w:r>
              <w:rPr>
                <w:noProof/>
              </w:rPr>
              <w:instrText xml:space="preserve"> PAGEREF _Toc230943022 \h </w:instrText>
            </w:r>
            <w:r>
              <w:rPr>
                <w:noProof/>
              </w:rPr>
            </w:r>
            <w:r>
              <w:rPr>
                <w:noProof/>
              </w:rPr>
              <w:fldChar w:fldCharType="separate"/>
            </w:r>
            <w:r>
              <w:rPr>
                <w:noProof/>
              </w:rPr>
              <w:t>20</w:t>
            </w:r>
            <w:r>
              <w:rPr>
                <w:noProof/>
              </w:rPr>
              <w:fldChar w:fldCharType="end"/>
            </w:r>
          </w:hyperlink>
        </w:p>
        <w:p w14:paraId="60265322" w14:textId="77777777" w:rsidR="00805864" w:rsidRDefault="00805864">
          <w:pPr>
            <w:pStyle w:val="TOC2"/>
            <w:tabs>
              <w:tab w:val="right" w:leader="dot" w:pos="9350"/>
            </w:tabs>
            <w:rPr>
              <w:noProof/>
            </w:rPr>
          </w:pPr>
          <w:hyperlink w:anchor="_Toc230943023" w:history="1">
            <w:r w:rsidRPr="00304384">
              <w:rPr>
                <w:rStyle w:val="Hyperlink"/>
                <w:noProof/>
              </w:rPr>
              <w:t>8.2 Tariff price elasticity is not identifiable on the available window</w:t>
            </w:r>
            <w:r>
              <w:rPr>
                <w:noProof/>
              </w:rPr>
              <w:tab/>
            </w:r>
            <w:r>
              <w:rPr>
                <w:noProof/>
              </w:rPr>
              <w:fldChar w:fldCharType="begin"/>
            </w:r>
            <w:r>
              <w:rPr>
                <w:noProof/>
              </w:rPr>
              <w:instrText xml:space="preserve"> PAGEREF _Toc230943023 \h </w:instrText>
            </w:r>
            <w:r>
              <w:rPr>
                <w:noProof/>
              </w:rPr>
            </w:r>
            <w:r>
              <w:rPr>
                <w:noProof/>
              </w:rPr>
              <w:fldChar w:fldCharType="separate"/>
            </w:r>
            <w:r>
              <w:rPr>
                <w:noProof/>
              </w:rPr>
              <w:t>20</w:t>
            </w:r>
            <w:r>
              <w:rPr>
                <w:noProof/>
              </w:rPr>
              <w:fldChar w:fldCharType="end"/>
            </w:r>
          </w:hyperlink>
        </w:p>
        <w:p w14:paraId="3950336B" w14:textId="77777777" w:rsidR="00805864" w:rsidRDefault="00805864">
          <w:pPr>
            <w:pStyle w:val="TOC2"/>
            <w:tabs>
              <w:tab w:val="right" w:leader="dot" w:pos="9350"/>
            </w:tabs>
            <w:rPr>
              <w:noProof/>
            </w:rPr>
          </w:pPr>
          <w:hyperlink w:anchor="_Toc230943024" w:history="1">
            <w:r w:rsidRPr="00304384">
              <w:rPr>
                <w:rStyle w:val="Hyperlink"/>
                <w:noProof/>
              </w:rPr>
              <w:t>8.3 CO₂ intensity is reported as direction only</w:t>
            </w:r>
            <w:r>
              <w:rPr>
                <w:noProof/>
              </w:rPr>
              <w:tab/>
            </w:r>
            <w:r>
              <w:rPr>
                <w:noProof/>
              </w:rPr>
              <w:fldChar w:fldCharType="begin"/>
            </w:r>
            <w:r>
              <w:rPr>
                <w:noProof/>
              </w:rPr>
              <w:instrText xml:space="preserve"> PAGEREF _Toc230943024 \h </w:instrText>
            </w:r>
            <w:r>
              <w:rPr>
                <w:noProof/>
              </w:rPr>
            </w:r>
            <w:r>
              <w:rPr>
                <w:noProof/>
              </w:rPr>
              <w:fldChar w:fldCharType="separate"/>
            </w:r>
            <w:r>
              <w:rPr>
                <w:noProof/>
              </w:rPr>
              <w:t>20</w:t>
            </w:r>
            <w:r>
              <w:rPr>
                <w:noProof/>
              </w:rPr>
              <w:fldChar w:fldCharType="end"/>
            </w:r>
          </w:hyperlink>
        </w:p>
        <w:p w14:paraId="54D15135" w14:textId="77777777" w:rsidR="00805864" w:rsidRDefault="00805864">
          <w:pPr>
            <w:pStyle w:val="TOC2"/>
            <w:tabs>
              <w:tab w:val="right" w:leader="dot" w:pos="9350"/>
            </w:tabs>
            <w:rPr>
              <w:noProof/>
            </w:rPr>
          </w:pPr>
          <w:hyperlink w:anchor="_Toc230943025" w:history="1">
            <w:r w:rsidRPr="00304384">
              <w:rPr>
                <w:rStyle w:val="Hyperlink"/>
                <w:noProof/>
              </w:rPr>
              <w:t>8.4 Greenhouse and irrigation seasonality is not captured at annual scale</w:t>
            </w:r>
            <w:r>
              <w:rPr>
                <w:noProof/>
              </w:rPr>
              <w:tab/>
            </w:r>
            <w:r>
              <w:rPr>
                <w:noProof/>
              </w:rPr>
              <w:fldChar w:fldCharType="begin"/>
            </w:r>
            <w:r>
              <w:rPr>
                <w:noProof/>
              </w:rPr>
              <w:instrText xml:space="preserve"> PAGEREF _Toc230943025 \h </w:instrText>
            </w:r>
            <w:r>
              <w:rPr>
                <w:noProof/>
              </w:rPr>
            </w:r>
            <w:r>
              <w:rPr>
                <w:noProof/>
              </w:rPr>
              <w:fldChar w:fldCharType="separate"/>
            </w:r>
            <w:r>
              <w:rPr>
                <w:noProof/>
              </w:rPr>
              <w:t>20</w:t>
            </w:r>
            <w:r>
              <w:rPr>
                <w:noProof/>
              </w:rPr>
              <w:fldChar w:fldCharType="end"/>
            </w:r>
          </w:hyperlink>
        </w:p>
        <w:p w14:paraId="7D254713" w14:textId="77777777" w:rsidR="00805864" w:rsidRDefault="00805864">
          <w:pPr>
            <w:pStyle w:val="TOC2"/>
            <w:tabs>
              <w:tab w:val="right" w:leader="dot" w:pos="9350"/>
            </w:tabs>
            <w:rPr>
              <w:noProof/>
            </w:rPr>
          </w:pPr>
          <w:hyperlink w:anchor="_Toc230943026" w:history="1">
            <w:r w:rsidRPr="00304384">
              <w:rPr>
                <w:rStyle w:val="Hyperlink"/>
                <w:noProof/>
              </w:rPr>
              <w:t>8.5 Scope limits</w:t>
            </w:r>
            <w:r>
              <w:rPr>
                <w:noProof/>
              </w:rPr>
              <w:tab/>
            </w:r>
            <w:r>
              <w:rPr>
                <w:noProof/>
              </w:rPr>
              <w:fldChar w:fldCharType="begin"/>
            </w:r>
            <w:r>
              <w:rPr>
                <w:noProof/>
              </w:rPr>
              <w:instrText xml:space="preserve"> PAGEREF _Toc230943026 \h </w:instrText>
            </w:r>
            <w:r>
              <w:rPr>
                <w:noProof/>
              </w:rPr>
            </w:r>
            <w:r>
              <w:rPr>
                <w:noProof/>
              </w:rPr>
              <w:fldChar w:fldCharType="separate"/>
            </w:r>
            <w:r>
              <w:rPr>
                <w:noProof/>
              </w:rPr>
              <w:t>20</w:t>
            </w:r>
            <w:r>
              <w:rPr>
                <w:noProof/>
              </w:rPr>
              <w:fldChar w:fldCharType="end"/>
            </w:r>
          </w:hyperlink>
        </w:p>
        <w:p w14:paraId="1A24A887" w14:textId="77777777" w:rsidR="00805864" w:rsidRDefault="00805864">
          <w:pPr>
            <w:pStyle w:val="TOC1"/>
            <w:tabs>
              <w:tab w:val="right" w:leader="dot" w:pos="9350"/>
            </w:tabs>
            <w:rPr>
              <w:noProof/>
            </w:rPr>
          </w:pPr>
          <w:hyperlink w:anchor="_Toc230943027" w:history="1">
            <w:r w:rsidRPr="00304384">
              <w:rPr>
                <w:rStyle w:val="Hyperlink"/>
                <w:noProof/>
              </w:rPr>
              <w:t>9. Conclusion and Recommendations for ILF</w:t>
            </w:r>
            <w:r>
              <w:rPr>
                <w:noProof/>
              </w:rPr>
              <w:tab/>
            </w:r>
            <w:r>
              <w:rPr>
                <w:noProof/>
              </w:rPr>
              <w:fldChar w:fldCharType="begin"/>
            </w:r>
            <w:r>
              <w:rPr>
                <w:noProof/>
              </w:rPr>
              <w:instrText xml:space="preserve"> PAGEREF _Toc230943027 \h </w:instrText>
            </w:r>
            <w:r>
              <w:rPr>
                <w:noProof/>
              </w:rPr>
            </w:r>
            <w:r>
              <w:rPr>
                <w:noProof/>
              </w:rPr>
              <w:fldChar w:fldCharType="separate"/>
            </w:r>
            <w:r>
              <w:rPr>
                <w:noProof/>
              </w:rPr>
              <w:t>21</w:t>
            </w:r>
            <w:r>
              <w:rPr>
                <w:noProof/>
              </w:rPr>
              <w:fldChar w:fldCharType="end"/>
            </w:r>
          </w:hyperlink>
        </w:p>
        <w:p w14:paraId="0B6209DB" w14:textId="77777777" w:rsidR="00805864" w:rsidRDefault="00805864">
          <w:pPr>
            <w:pStyle w:val="TOC1"/>
            <w:tabs>
              <w:tab w:val="right" w:leader="dot" w:pos="9350"/>
            </w:tabs>
            <w:rPr>
              <w:noProof/>
            </w:rPr>
          </w:pPr>
          <w:hyperlink w:anchor="_Toc230943028" w:history="1">
            <w:r w:rsidRPr="00304384">
              <w:rPr>
                <w:rStyle w:val="Hyperlink"/>
                <w:noProof/>
              </w:rPr>
              <w:t>References</w:t>
            </w:r>
            <w:r>
              <w:rPr>
                <w:noProof/>
              </w:rPr>
              <w:tab/>
            </w:r>
            <w:r>
              <w:rPr>
                <w:noProof/>
              </w:rPr>
              <w:fldChar w:fldCharType="begin"/>
            </w:r>
            <w:r>
              <w:rPr>
                <w:noProof/>
              </w:rPr>
              <w:instrText xml:space="preserve"> PAGEREF _Toc230943028 \h </w:instrText>
            </w:r>
            <w:r>
              <w:rPr>
                <w:noProof/>
              </w:rPr>
            </w:r>
            <w:r>
              <w:rPr>
                <w:noProof/>
              </w:rPr>
              <w:fldChar w:fldCharType="separate"/>
            </w:r>
            <w:r>
              <w:rPr>
                <w:noProof/>
              </w:rPr>
              <w:t>22</w:t>
            </w:r>
            <w:r>
              <w:rPr>
                <w:noProof/>
              </w:rPr>
              <w:fldChar w:fldCharType="end"/>
            </w:r>
          </w:hyperlink>
        </w:p>
        <w:p w14:paraId="4B20BC9F" w14:textId="77777777" w:rsidR="00805864" w:rsidRDefault="00805864">
          <w:pPr>
            <w:pStyle w:val="TOC1"/>
            <w:tabs>
              <w:tab w:val="right" w:leader="dot" w:pos="9350"/>
            </w:tabs>
            <w:rPr>
              <w:noProof/>
            </w:rPr>
          </w:pPr>
          <w:hyperlink w:anchor="_Toc230943029" w:history="1">
            <w:r w:rsidRPr="00304384">
              <w:rPr>
                <w:rStyle w:val="Hyperlink"/>
                <w:noProof/>
              </w:rPr>
              <w:t>Appendix</w:t>
            </w:r>
            <w:r>
              <w:rPr>
                <w:noProof/>
              </w:rPr>
              <w:tab/>
            </w:r>
            <w:r>
              <w:rPr>
                <w:noProof/>
              </w:rPr>
              <w:fldChar w:fldCharType="begin"/>
            </w:r>
            <w:r>
              <w:rPr>
                <w:noProof/>
              </w:rPr>
              <w:instrText xml:space="preserve"> PAGEREF _Toc230943029 \h </w:instrText>
            </w:r>
            <w:r>
              <w:rPr>
                <w:noProof/>
              </w:rPr>
            </w:r>
            <w:r>
              <w:rPr>
                <w:noProof/>
              </w:rPr>
              <w:fldChar w:fldCharType="separate"/>
            </w:r>
            <w:r>
              <w:rPr>
                <w:noProof/>
              </w:rPr>
              <w:t>23</w:t>
            </w:r>
            <w:r>
              <w:rPr>
                <w:noProof/>
              </w:rPr>
              <w:fldChar w:fldCharType="end"/>
            </w:r>
          </w:hyperlink>
        </w:p>
        <w:p w14:paraId="41F10417" w14:textId="77777777" w:rsidR="00805864" w:rsidRDefault="00805864">
          <w:pPr>
            <w:pStyle w:val="TOC2"/>
            <w:tabs>
              <w:tab w:val="right" w:leader="dot" w:pos="9350"/>
            </w:tabs>
            <w:rPr>
              <w:noProof/>
            </w:rPr>
          </w:pPr>
          <w:hyperlink w:anchor="_Toc230943030" w:history="1">
            <w:r w:rsidRPr="00304384">
              <w:rPr>
                <w:rStyle w:val="Hyperlink"/>
                <w:noProof/>
              </w:rPr>
              <w:t>A. Notebook map</w:t>
            </w:r>
            <w:r>
              <w:rPr>
                <w:noProof/>
              </w:rPr>
              <w:tab/>
            </w:r>
            <w:r>
              <w:rPr>
                <w:noProof/>
              </w:rPr>
              <w:fldChar w:fldCharType="begin"/>
            </w:r>
            <w:r>
              <w:rPr>
                <w:noProof/>
              </w:rPr>
              <w:instrText xml:space="preserve"> PAGEREF _Toc230943030 \h </w:instrText>
            </w:r>
            <w:r>
              <w:rPr>
                <w:noProof/>
              </w:rPr>
            </w:r>
            <w:r>
              <w:rPr>
                <w:noProof/>
              </w:rPr>
              <w:fldChar w:fldCharType="separate"/>
            </w:r>
            <w:r>
              <w:rPr>
                <w:noProof/>
              </w:rPr>
              <w:t>23</w:t>
            </w:r>
            <w:r>
              <w:rPr>
                <w:noProof/>
              </w:rPr>
              <w:fldChar w:fldCharType="end"/>
            </w:r>
          </w:hyperlink>
        </w:p>
        <w:p w14:paraId="5636C883" w14:textId="77777777" w:rsidR="00805864" w:rsidRDefault="00805864">
          <w:pPr>
            <w:pStyle w:val="TOC2"/>
            <w:tabs>
              <w:tab w:val="right" w:leader="dot" w:pos="9350"/>
            </w:tabs>
            <w:rPr>
              <w:noProof/>
            </w:rPr>
          </w:pPr>
          <w:hyperlink w:anchor="_Toc230943031" w:history="1">
            <w:r w:rsidRPr="00304384">
              <w:rPr>
                <w:rStyle w:val="Hyperlink"/>
                <w:noProof/>
              </w:rPr>
              <w:t>B. Cleaned datasets</w:t>
            </w:r>
            <w:r>
              <w:rPr>
                <w:noProof/>
              </w:rPr>
              <w:tab/>
            </w:r>
            <w:r>
              <w:rPr>
                <w:noProof/>
              </w:rPr>
              <w:fldChar w:fldCharType="begin"/>
            </w:r>
            <w:r>
              <w:rPr>
                <w:noProof/>
              </w:rPr>
              <w:instrText xml:space="preserve"> PAGEREF _Toc230943031 \h </w:instrText>
            </w:r>
            <w:r>
              <w:rPr>
                <w:noProof/>
              </w:rPr>
            </w:r>
            <w:r>
              <w:rPr>
                <w:noProof/>
              </w:rPr>
              <w:fldChar w:fldCharType="separate"/>
            </w:r>
            <w:r>
              <w:rPr>
                <w:noProof/>
              </w:rPr>
              <w:t>23</w:t>
            </w:r>
            <w:r>
              <w:rPr>
                <w:noProof/>
              </w:rPr>
              <w:fldChar w:fldCharType="end"/>
            </w:r>
          </w:hyperlink>
        </w:p>
        <w:p w14:paraId="0EB7217C" w14:textId="77777777" w:rsidR="00805864" w:rsidRDefault="00805864">
          <w:pPr>
            <w:pStyle w:val="TOC2"/>
            <w:tabs>
              <w:tab w:val="right" w:leader="dot" w:pos="9350"/>
            </w:tabs>
            <w:rPr>
              <w:noProof/>
            </w:rPr>
          </w:pPr>
          <w:hyperlink w:anchor="_Toc230943032" w:history="1">
            <w:r w:rsidRPr="00304384">
              <w:rPr>
                <w:rStyle w:val="Hyperlink"/>
                <w:noProof/>
              </w:rPr>
              <w:t>C. Forecast artefacts</w:t>
            </w:r>
            <w:r>
              <w:rPr>
                <w:noProof/>
              </w:rPr>
              <w:tab/>
            </w:r>
            <w:r>
              <w:rPr>
                <w:noProof/>
              </w:rPr>
              <w:fldChar w:fldCharType="begin"/>
            </w:r>
            <w:r>
              <w:rPr>
                <w:noProof/>
              </w:rPr>
              <w:instrText xml:space="preserve"> PAGEREF _Toc230943032 \h </w:instrText>
            </w:r>
            <w:r>
              <w:rPr>
                <w:noProof/>
              </w:rPr>
            </w:r>
            <w:r>
              <w:rPr>
                <w:noProof/>
              </w:rPr>
              <w:fldChar w:fldCharType="separate"/>
            </w:r>
            <w:r>
              <w:rPr>
                <w:noProof/>
              </w:rPr>
              <w:t>23</w:t>
            </w:r>
            <w:r>
              <w:rPr>
                <w:noProof/>
              </w:rPr>
              <w:fldChar w:fldCharType="end"/>
            </w:r>
          </w:hyperlink>
        </w:p>
        <w:p w14:paraId="228C47FF" w14:textId="77777777" w:rsidR="00805864" w:rsidRDefault="00805864">
          <w:pPr>
            <w:pStyle w:val="TOC2"/>
            <w:tabs>
              <w:tab w:val="right" w:leader="dot" w:pos="9350"/>
            </w:tabs>
            <w:rPr>
              <w:noProof/>
            </w:rPr>
          </w:pPr>
          <w:hyperlink w:anchor="_Toc230943033" w:history="1">
            <w:r w:rsidRPr="00304384">
              <w:rPr>
                <w:rStyle w:val="Hyperlink"/>
                <w:noProof/>
              </w:rPr>
              <w:t>D. Reproducibility checklist</w:t>
            </w:r>
            <w:r>
              <w:rPr>
                <w:noProof/>
              </w:rPr>
              <w:tab/>
            </w:r>
            <w:r>
              <w:rPr>
                <w:noProof/>
              </w:rPr>
              <w:fldChar w:fldCharType="begin"/>
            </w:r>
            <w:r>
              <w:rPr>
                <w:noProof/>
              </w:rPr>
              <w:instrText xml:space="preserve"> PAGEREF _Toc230943033 \h </w:instrText>
            </w:r>
            <w:r>
              <w:rPr>
                <w:noProof/>
              </w:rPr>
            </w:r>
            <w:r>
              <w:rPr>
                <w:noProof/>
              </w:rPr>
              <w:fldChar w:fldCharType="separate"/>
            </w:r>
            <w:r>
              <w:rPr>
                <w:noProof/>
              </w:rPr>
              <w:t>24</w:t>
            </w:r>
            <w:r>
              <w:rPr>
                <w:noProof/>
              </w:rPr>
              <w:fldChar w:fldCharType="end"/>
            </w:r>
          </w:hyperlink>
        </w:p>
        <w:p w14:paraId="7AB2D315" w14:textId="77777777" w:rsidR="005842A9" w:rsidRDefault="00805864">
          <w:r>
            <w:fldChar w:fldCharType="end"/>
          </w:r>
        </w:p>
      </w:sdtContent>
    </w:sdt>
    <w:p w14:paraId="3958B77A" w14:textId="77777777" w:rsidR="005842A9" w:rsidRDefault="00805864">
      <w:pPr>
        <w:shd w:val="clear" w:color="auto" w:fill="EFF6FF"/>
        <w:spacing w:before="80" w:after="80"/>
      </w:pPr>
      <w:r>
        <w:rPr>
          <w:b/>
          <w:bCs/>
          <w:color w:val="1E40AF"/>
        </w:rPr>
        <w:t xml:space="preserve">Note. </w:t>
      </w:r>
      <w:r>
        <w:rPr>
          <w:i/>
          <w:iCs/>
          <w:color w:val="1E40AF"/>
        </w:rPr>
        <w:t>To refresh this Table of Contents in Word: right-click anywhere in the TOC and choose "Update Field" → "Update entire table". If the TOC appears empty when you first open the document, this is normal — pressing F9 (or right-clicking → Update Field) generates it from the heading structure.</w:t>
      </w:r>
    </w:p>
    <w:p w14:paraId="1B839DE9" w14:textId="77777777" w:rsidR="005842A9" w:rsidRDefault="00805864">
      <w:pPr>
        <w:pStyle w:val="Heading1"/>
        <w:pageBreakBefore/>
      </w:pPr>
      <w:bookmarkStart w:id="4" w:name="_Toc230942984"/>
      <w:r>
        <w:lastRenderedPageBreak/>
        <w:t>1. Introduction</w:t>
      </w:r>
      <w:bookmarkEnd w:id="4"/>
    </w:p>
    <w:p w14:paraId="234DBE46" w14:textId="77777777" w:rsidR="005842A9" w:rsidRDefault="00805864">
      <w:pPr>
        <w:pStyle w:val="Heading2"/>
      </w:pPr>
      <w:bookmarkStart w:id="5" w:name="_Toc230942985"/>
      <w:r>
        <w:t>1.1 Motivation</w:t>
      </w:r>
      <w:bookmarkEnd w:id="5"/>
    </w:p>
    <w:p w14:paraId="788959F8" w14:textId="77777777" w:rsidR="005842A9" w:rsidRDefault="00805864">
      <w:pPr>
        <w:shd w:val="clear" w:color="auto" w:fill="FEF3C7"/>
        <w:spacing w:before="80" w:after="80"/>
      </w:pPr>
      <w:r>
        <w:rPr>
          <w:b/>
          <w:bCs/>
          <w:color w:val="B45309"/>
        </w:rPr>
        <w:t xml:space="preserve">[TO EXPAND] </w:t>
      </w:r>
      <w:r>
        <w:rPr>
          <w:i/>
          <w:iCs/>
          <w:color w:val="78350F"/>
        </w:rPr>
        <w:t>Two paragraphs. (1) ILF's commercial context — multi-year advisory engagement in Uzbekistan, fragmented data, no consolidated view. (2) Why now — convergence of gas decline, RE buildout, NDC pressure, multilateral capital inflows creates a 2026–2030 window where structured analytical work has commercial value.</w:t>
      </w:r>
    </w:p>
    <w:p w14:paraId="484D776E" w14:textId="77777777" w:rsidR="005842A9" w:rsidRDefault="00805864">
      <w:pPr>
        <w:pStyle w:val="Heading2"/>
      </w:pPr>
      <w:bookmarkStart w:id="6" w:name="_Toc230942986"/>
      <w:r>
        <w:t>1.2 Research questions</w:t>
      </w:r>
      <w:bookmarkEnd w:id="6"/>
    </w:p>
    <w:p w14:paraId="5EEB85DC" w14:textId="77777777" w:rsidR="005842A9" w:rsidRDefault="00805864">
      <w:r>
        <w:t>This paper addresses one primary and four operational research questions.</w:t>
      </w:r>
    </w:p>
    <w:p w14:paraId="0C7B2D08" w14:textId="77777777" w:rsidR="005842A9" w:rsidRDefault="00805864">
      <w:r>
        <w:rPr>
          <w:b/>
          <w:bCs/>
        </w:rPr>
        <w:t xml:space="preserve">RQ (primary). </w:t>
      </w:r>
      <w:r>
        <w:t>How will Uzbekistan's electricity demand, renewable-energy share, fossil-based generation, and power-sector CO₂ intensity evolve between 2024 and 2040 under a calibrated set of macroeconomic and policy scenarios, and with what confidence can each be forecast given the constraints of annual national data?</w:t>
      </w:r>
    </w:p>
    <w:p w14:paraId="6C7B32CB" w14:textId="77777777" w:rsidR="005842A9" w:rsidRDefault="00805864">
      <w:r>
        <w:rPr>
          <w:b/>
          <w:bCs/>
        </w:rPr>
        <w:t xml:space="preserve">RQ1. </w:t>
      </w:r>
      <w:r>
        <w:t>Which statistical and machine-learning specifications produce the most accurate out-of-sample forecast for annual electricity demand on n ≈ 34 observations?</w:t>
      </w:r>
    </w:p>
    <w:p w14:paraId="4D587A00" w14:textId="77777777" w:rsidR="005842A9" w:rsidRDefault="00805864">
      <w:r>
        <w:rPr>
          <w:b/>
          <w:bCs/>
        </w:rPr>
        <w:t xml:space="preserve">RQ2. </w:t>
      </w:r>
      <w:r>
        <w:t>Does pooling Central Asia neighbours with country fixed effects materially improve forecast accuracy compared with UZB-only models, and under what assumptions does this pooling identify a defensible long-run elasticity structure?</w:t>
      </w:r>
    </w:p>
    <w:p w14:paraId="564D2D30" w14:textId="77777777" w:rsidR="005842A9" w:rsidRDefault="00805864">
      <w:r>
        <w:rPr>
          <w:b/>
          <w:bCs/>
        </w:rPr>
        <w:t xml:space="preserve">RQ3. </w:t>
      </w:r>
      <w:r>
        <w:t>How should uncertainty be communicated to a non-technical advisory audience so that scenario outputs translate into investment-pipeline decisions?</w:t>
      </w:r>
    </w:p>
    <w:p w14:paraId="69CB6672" w14:textId="77777777" w:rsidR="005842A9" w:rsidRDefault="00805864">
      <w:r>
        <w:rPr>
          <w:b/>
          <w:bCs/>
        </w:rPr>
        <w:t xml:space="preserve">RQ4. </w:t>
      </w:r>
      <w:r>
        <w:t>Which structural drivers — gross domestic product, sectoral value-added, urbanisation, climate degree-days, fuel-price pass-through — carry the strongest empirical signal for annual electricity demand, and which are over-stated by spurious-regression artefacts?</w:t>
      </w:r>
    </w:p>
    <w:p w14:paraId="3B2625B7" w14:textId="77777777" w:rsidR="005842A9" w:rsidRDefault="00805864">
      <w:pPr>
        <w:pStyle w:val="Heading2"/>
      </w:pPr>
      <w:bookmarkStart w:id="7" w:name="_Toc230942987"/>
      <w:r>
        <w:t>1.3 Scope and unit of analysis</w:t>
      </w:r>
      <w:bookmarkEnd w:id="7"/>
    </w:p>
    <w:p w14:paraId="4181B273" w14:textId="77777777" w:rsidR="005842A9" w:rsidRDefault="00805864">
      <w:r>
        <w:t>The unit of analysis is country-year (Republic of Uzbekistan, annual frequency, 1990–2026 confirmed and preliminary; forecasted to 2040). Annual country-level data is chosen for three reasons: (a) all six authoritative source publications report at annual cadence; (b) ILF advisory decisions operate on multi-year horizons where sub-annual variance is not material; (c) the structural transition dynamics under study — capacity build-out, fuel mix, carbon intensity — evolve at annual or slower frequencies. An oblast-level extension is treated as a stretch goal contingent on data availability (see § 7).</w:t>
      </w:r>
    </w:p>
    <w:p w14:paraId="27A7BEDE" w14:textId="77777777" w:rsidR="005842A9" w:rsidRDefault="00805864">
      <w:pPr>
        <w:pStyle w:val="Heading2"/>
      </w:pPr>
      <w:bookmarkStart w:id="8" w:name="_Toc230942988"/>
      <w:r>
        <w:t>1.4 Contribution</w:t>
      </w:r>
      <w:bookmarkEnd w:id="8"/>
    </w:p>
    <w:p w14:paraId="6952235D" w14:textId="77777777" w:rsidR="005842A9" w:rsidRDefault="00805864">
      <w:r>
        <w:t>This paper makes four contributions.</w:t>
      </w:r>
    </w:p>
    <w:p w14:paraId="0F238306" w14:textId="77777777" w:rsidR="005842A9" w:rsidRDefault="00805864">
      <w:pPr>
        <w:pStyle w:val="ListParagraph"/>
        <w:numPr>
          <w:ilvl w:val="0"/>
          <w:numId w:val="2"/>
        </w:numPr>
      </w:pPr>
      <w:r>
        <w:t>A unit-harmonised master dataset for Uzbekistan 1990–2026 reconciled across IEA, IRENA, World Bank, the State Statistics Committee of Uzbekistan (</w:t>
      </w:r>
      <w:proofErr w:type="spellStart"/>
      <w:r>
        <w:t>UzStat</w:t>
      </w:r>
      <w:proofErr w:type="spellEnd"/>
      <w:r>
        <w:t>), Our World In Data (OWID), and the Eurasian Development Bank, with a transparent ratio-scaling bridge for the IEA–</w:t>
      </w:r>
      <w:proofErr w:type="spellStart"/>
      <w:r>
        <w:t>UzStat</w:t>
      </w:r>
      <w:proofErr w:type="spellEnd"/>
      <w:r>
        <w:t xml:space="preserve"> overlap window (cross-checked to within 2 % on demand, generation, and capacity).</w:t>
      </w:r>
    </w:p>
    <w:p w14:paraId="606647A8" w14:textId="77777777" w:rsidR="005842A9" w:rsidRDefault="00805864">
      <w:pPr>
        <w:pStyle w:val="ListParagraph"/>
        <w:numPr>
          <w:ilvl w:val="0"/>
          <w:numId w:val="2"/>
        </w:numPr>
      </w:pPr>
      <w:r>
        <w:t>A 95-observation pooled Central Asia panel (KAZ, KGZ, TJK, UZB) combining OWID/Ember electricity demand with World Bank macro and Open-</w:t>
      </w:r>
      <w:proofErr w:type="spellStart"/>
      <w:r>
        <w:t>Meteo</w:t>
      </w:r>
      <w:proofErr w:type="spellEnd"/>
      <w:r>
        <w:t xml:space="preserve"> ERA5 population-weighted climate, enabling a fixed-effects panel regression that materially reduces hold-out MAPE relative to UZB-only models.</w:t>
      </w:r>
    </w:p>
    <w:p w14:paraId="4ED7E700" w14:textId="77777777" w:rsidR="005842A9" w:rsidRDefault="00805864">
      <w:pPr>
        <w:pStyle w:val="ListParagraph"/>
        <w:numPr>
          <w:ilvl w:val="0"/>
          <w:numId w:val="2"/>
        </w:numPr>
      </w:pPr>
      <w:r>
        <w:lastRenderedPageBreak/>
        <w:t>A Bayesian Ridge specification with empirical-Bayes hyperparameter selection that propagates parameter uncertainty into a 90 % predictive interval — methodologically more honest than the residual-bootstrap intervals used in the interim report.</w:t>
      </w:r>
    </w:p>
    <w:p w14:paraId="4BC5C537" w14:textId="77777777" w:rsidR="005842A9" w:rsidRDefault="00805864">
      <w:pPr>
        <w:pStyle w:val="ListParagraph"/>
        <w:numPr>
          <w:ilvl w:val="0"/>
          <w:numId w:val="2"/>
        </w:numPr>
      </w:pPr>
      <w:r>
        <w:t xml:space="preserve">A reproducible </w:t>
      </w:r>
      <w:proofErr w:type="spellStart"/>
      <w:r>
        <w:t>Plotly</w:t>
      </w:r>
      <w:proofErr w:type="spellEnd"/>
      <w:r>
        <w:t xml:space="preserve"> Dash decision-support dashboard mapping every forecast and signal to a named ILF advisory workstream, with parametric overlays for sensitivity analysis.</w:t>
      </w:r>
    </w:p>
    <w:p w14:paraId="7D2B9D21" w14:textId="77777777" w:rsidR="005842A9" w:rsidRDefault="00805864">
      <w:pPr>
        <w:pStyle w:val="Heading1"/>
        <w:pageBreakBefore/>
      </w:pPr>
      <w:bookmarkStart w:id="9" w:name="_Toc230942989"/>
      <w:commentRangeStart w:id="10"/>
      <w:r>
        <w:lastRenderedPageBreak/>
        <w:t>2. Literature Review</w:t>
      </w:r>
      <w:bookmarkEnd w:id="9"/>
      <w:commentRangeEnd w:id="10"/>
      <w:r w:rsidR="00483FD3">
        <w:rPr>
          <w:rStyle w:val="CommentReference"/>
          <w:sz w:val="36"/>
          <w:szCs w:val="36"/>
        </w:rPr>
        <w:commentReference w:id="10"/>
      </w:r>
    </w:p>
    <w:p w14:paraId="0D37E624" w14:textId="77777777" w:rsidR="005842A9" w:rsidRDefault="00805864">
      <w:pPr>
        <w:pStyle w:val="Heading2"/>
      </w:pPr>
      <w:bookmarkStart w:id="11" w:name="_Toc230942990"/>
      <w:r>
        <w:t>2.1 Electricity demand forecasting in developing economies</w:t>
      </w:r>
      <w:bookmarkEnd w:id="11"/>
    </w:p>
    <w:p w14:paraId="34849CD0" w14:textId="77777777" w:rsidR="005842A9" w:rsidRDefault="00805864">
      <w:pPr>
        <w:shd w:val="clear" w:color="auto" w:fill="FEF3C7"/>
        <w:spacing w:before="80" w:after="80"/>
      </w:pPr>
      <w:r>
        <w:rPr>
          <w:b/>
          <w:bCs/>
          <w:color w:val="B45309"/>
        </w:rPr>
        <w:t xml:space="preserve">[TO EXPAND] </w:t>
      </w:r>
      <w:r>
        <w:rPr>
          <w:i/>
          <w:iCs/>
          <w:color w:val="78350F"/>
        </w:rPr>
        <w:t xml:space="preserve">Three to four paragraphs covering: (a) income-elasticity benchmarks (Bhattacharyya &amp; Blake 2009 for MENA; </w:t>
      </w:r>
      <w:proofErr w:type="spellStart"/>
      <w:r>
        <w:rPr>
          <w:i/>
          <w:iCs/>
          <w:color w:val="78350F"/>
        </w:rPr>
        <w:t>Inglesi</w:t>
      </w:r>
      <w:proofErr w:type="spellEnd"/>
      <w:r>
        <w:rPr>
          <w:i/>
          <w:iCs/>
          <w:color w:val="78350F"/>
        </w:rPr>
        <w:t xml:space="preserve">-Lotz 2011 for South Africa; ADB working-paper series for Central Asia). (b) Short-run vs long-run elasticity distinction. (c) The role of climate degree-days following Eskeland &amp; </w:t>
      </w:r>
      <w:proofErr w:type="spellStart"/>
      <w:r>
        <w:rPr>
          <w:i/>
          <w:iCs/>
          <w:color w:val="78350F"/>
        </w:rPr>
        <w:t>Mideksa</w:t>
      </w:r>
      <w:proofErr w:type="spellEnd"/>
      <w:r>
        <w:rPr>
          <w:i/>
          <w:iCs/>
          <w:color w:val="78350F"/>
        </w:rPr>
        <w:t xml:space="preserve"> (2010). Cite each.</w:t>
      </w:r>
    </w:p>
    <w:p w14:paraId="5E80B812" w14:textId="77777777" w:rsidR="005842A9" w:rsidRDefault="00805864">
      <w:pPr>
        <w:pStyle w:val="Heading2"/>
      </w:pPr>
      <w:bookmarkStart w:id="12" w:name="_Toc230942991"/>
      <w:r>
        <w:t>2.2 Small-sample remedies for time-series regression</w:t>
      </w:r>
      <w:bookmarkEnd w:id="12"/>
    </w:p>
    <w:p w14:paraId="0B226295" w14:textId="77777777" w:rsidR="005842A9" w:rsidRDefault="00805864">
      <w:r>
        <w:t>Annual electricity data for a single country places researchers in a small-sample regime where ordinary least squares on level series risks the spurious-regression result of Granger and Newbold (1974) and where conventional cross-validation under-states overfitting. Three classes of remedy are applied in this paper.</w:t>
      </w:r>
    </w:p>
    <w:p w14:paraId="412CB204" w14:textId="77777777" w:rsidR="005842A9" w:rsidRDefault="00805864">
      <w:r>
        <w:rPr>
          <w:b/>
          <w:bCs/>
        </w:rPr>
        <w:t xml:space="preserve">Ridge regression. </w:t>
      </w:r>
      <w:r>
        <w:t xml:space="preserve">Hoerl and Kennard (1970) introduced the L₂-penalised estimator that stabilises coefficient estimates under near-collinearity by minimising the augmented loss </w:t>
      </w:r>
      <w:r>
        <w:rPr>
          <w:i/>
          <w:iCs/>
        </w:rPr>
        <w:t>∥y − Xβ∥² + α∥β∥²</w:t>
      </w:r>
      <w:r>
        <w:t xml:space="preserve">, yielding the closed-form solution </w:t>
      </w:r>
      <w:r>
        <w:rPr>
          <w:i/>
          <w:iCs/>
        </w:rPr>
        <w:t xml:space="preserve">β̂ = (X′X + αI)⁻¹ </w:t>
      </w:r>
      <w:proofErr w:type="spellStart"/>
      <w:r>
        <w:rPr>
          <w:i/>
          <w:iCs/>
        </w:rPr>
        <w:t>X′y</w:t>
      </w:r>
      <w:proofErr w:type="spellEnd"/>
      <w:r>
        <w:t>. The tuning parameter α is selected by cross-validation. The interim version of this work used α = 10 on a four-feature minimal specification.</w:t>
      </w:r>
    </w:p>
    <w:p w14:paraId="6AB60CA8" w14:textId="77777777" w:rsidR="005842A9" w:rsidRDefault="00805864">
      <w:r>
        <w:rPr>
          <w:b/>
          <w:bCs/>
        </w:rPr>
        <w:t xml:space="preserve">Bayesian Ridge. </w:t>
      </w:r>
      <w:r>
        <w:t xml:space="preserve">Tipping (2001) reformulates the same estimator as the maximum a posteriori estimate under an isotropic Gaussian prior on β with precision α and a Gaussian likelihood with noise precision λ. The hyperparameters are jointly estimated by maximising the marginal likelihood — empirical Bayes — which removes the arbitrariness of a cross-validation grid and yields a closed-form predictive distribution at any new </w:t>
      </w:r>
      <w:r>
        <w:rPr>
          <w:i/>
          <w:iCs/>
        </w:rPr>
        <w:t>x*</w:t>
      </w:r>
      <w:r>
        <w:t xml:space="preserve"> that combines residual noise and parameter uncertainty into a single predictive variance.</w:t>
      </w:r>
    </w:p>
    <w:p w14:paraId="651074A0" w14:textId="77777777" w:rsidR="005842A9" w:rsidRDefault="00805864">
      <w:r>
        <w:rPr>
          <w:b/>
          <w:bCs/>
        </w:rPr>
        <w:t xml:space="preserve">Panel pooling. </w:t>
      </w:r>
      <w:r>
        <w:t xml:space="preserve">Hsiao (2014) develops the theory of fixed- and random-effects panel estimators when slope coefficients are assumed homogeneous across cross-sectional units but intercepts differ. Pooling Uzbekistan with neighbours that share a comparable economic structure (resource extraction, transition from Soviet-era infrastructure, </w:t>
      </w:r>
      <w:proofErr w:type="spellStart"/>
      <w:r>
        <w:t>dollarised</w:t>
      </w:r>
      <w:proofErr w:type="spellEnd"/>
      <w:r>
        <w:t xml:space="preserve"> investment flows) is defensible under the assumption that demand elasticities transfer across the region. Section 5.3 tests this assumption via leave-one-country-out cross-validation.</w:t>
      </w:r>
    </w:p>
    <w:p w14:paraId="43571809" w14:textId="77777777" w:rsidR="005842A9" w:rsidRDefault="00805864">
      <w:pPr>
        <w:pStyle w:val="Heading2"/>
      </w:pPr>
      <w:bookmarkStart w:id="13" w:name="_Toc230942992"/>
      <w:r>
        <w:t>2.3 Stationarity and cointegration discipline</w:t>
      </w:r>
      <w:bookmarkEnd w:id="13"/>
    </w:p>
    <w:p w14:paraId="7F41D90C" w14:textId="77777777" w:rsidR="005842A9" w:rsidRDefault="00805864">
      <w:r>
        <w:t>The augmented Dickey-Fuller test (Dickey &amp; Fuller, 1979) and the Kwiatkowski-Phillips-Schmidt-Shin test (Kwiatkowski et al., 1992) are jointly applied to every candidate series to classify it as stationary, I(1), or ambiguous. Where both the dependent variable and one or more drivers are I(1), the Engle-Granger two-step procedure (Engle &amp; Granger, 1987) tests whether a long-run cointegrating relationship exists. These results determine whether subsequent regressions are run in levels (cointegrated case) or first differences (otherwise).</w:t>
      </w:r>
    </w:p>
    <w:p w14:paraId="1C30A204" w14:textId="77777777" w:rsidR="005842A9" w:rsidRDefault="00805864">
      <w:pPr>
        <w:pStyle w:val="Heading2"/>
      </w:pPr>
      <w:bookmarkStart w:id="14" w:name="_Toc230942993"/>
      <w:r>
        <w:t>2.4 Forecast evaluation framework</w:t>
      </w:r>
      <w:bookmarkEnd w:id="14"/>
    </w:p>
    <w:p w14:paraId="10C42249" w14:textId="77777777" w:rsidR="005842A9" w:rsidRDefault="00805864">
      <w:r>
        <w:t>Following Lewis (1982), forecast accuracy is reported as the mean absolute percentage error (MAPE) and classified into four bands: less than 10 % "excellent", 10–20 % "good", 20–50 % "acceptable", and greater than 50 % "inaccurate". Root mean squared error (RMSE) and the coefficient of determination (R²) on the same hold-out are reported as auxiliary diagnostics.</w:t>
      </w:r>
    </w:p>
    <w:p w14:paraId="4F641226" w14:textId="77777777" w:rsidR="005842A9" w:rsidRDefault="00805864">
      <w:pPr>
        <w:pStyle w:val="Heading2"/>
      </w:pPr>
      <w:bookmarkStart w:id="15" w:name="_Toc230942994"/>
      <w:r>
        <w:lastRenderedPageBreak/>
        <w:t>2.5 Central Asia energy sector literature</w:t>
      </w:r>
      <w:bookmarkEnd w:id="15"/>
    </w:p>
    <w:p w14:paraId="60ED432A" w14:textId="5E991963" w:rsidR="00ED587C" w:rsidRPr="00ED587C" w:rsidRDefault="00805864">
      <w:pPr>
        <w:shd w:val="clear" w:color="auto" w:fill="FEF3C7"/>
        <w:spacing w:before="80" w:after="80"/>
        <w:rPr>
          <w:i/>
          <w:iCs/>
          <w:color w:val="78350F"/>
        </w:rPr>
      </w:pPr>
      <w:r>
        <w:rPr>
          <w:b/>
          <w:bCs/>
          <w:color w:val="B45309"/>
        </w:rPr>
        <w:t xml:space="preserve">[TO EXPAND] </w:t>
      </w:r>
      <w:r>
        <w:rPr>
          <w:i/>
          <w:iCs/>
          <w:color w:val="78350F"/>
        </w:rPr>
        <w:t xml:space="preserve">Three to four paragraphs. Key references to include: IEA Central Asia Energy Outlook 2024 for fuel-mix benchmarks; IRENA Pathways to a Renewable Future for RE deployment trajectories; EDB March 2026 for the peer projections this paper cross-validates against; </w:t>
      </w:r>
      <w:proofErr w:type="spellStart"/>
      <w:r>
        <w:rPr>
          <w:i/>
          <w:iCs/>
          <w:color w:val="78350F"/>
        </w:rPr>
        <w:t>Broomandi</w:t>
      </w:r>
      <w:proofErr w:type="spellEnd"/>
      <w:r>
        <w:rPr>
          <w:i/>
          <w:iCs/>
          <w:color w:val="78350F"/>
        </w:rPr>
        <w:t xml:space="preserve"> et al. (2025) for the Central Asian climate trajectory under SSP scenarios. Use this section to position your contribution against the existing literature — what gap are you filling?</w:t>
      </w:r>
    </w:p>
    <w:p w14:paraId="5A1A81AD" w14:textId="77777777" w:rsidR="005842A9" w:rsidRDefault="00805864">
      <w:pPr>
        <w:pStyle w:val="Heading1"/>
        <w:pageBreakBefore/>
      </w:pPr>
      <w:bookmarkStart w:id="16" w:name="_Toc230942995"/>
      <w:r>
        <w:lastRenderedPageBreak/>
        <w:t>3. Data and Methodology</w:t>
      </w:r>
      <w:bookmarkEnd w:id="16"/>
    </w:p>
    <w:p w14:paraId="45EDB020" w14:textId="77777777" w:rsidR="005842A9" w:rsidRDefault="00805864">
      <w:pPr>
        <w:pStyle w:val="Heading2"/>
      </w:pPr>
      <w:bookmarkStart w:id="17" w:name="_Toc230942996"/>
      <w:r>
        <w:t>3.1 Data sources</w:t>
      </w:r>
      <w:bookmarkEnd w:id="17"/>
    </w:p>
    <w:p w14:paraId="4A8A9324" w14:textId="77777777" w:rsidR="005842A9" w:rsidRDefault="00805864">
      <w:r>
        <w:t xml:space="preserve">Six open-licensed data sources, totalling approximately 65 underlying files plus a 618-file </w:t>
      </w:r>
      <w:proofErr w:type="spellStart"/>
      <w:r>
        <w:t>UzStat</w:t>
      </w:r>
      <w:proofErr w:type="spellEnd"/>
      <w:r>
        <w:t xml:space="preserve"> SDMX bulk export, were ingested.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1500"/>
        <w:gridCol w:w="4060"/>
      </w:tblGrid>
      <w:tr w:rsidR="005842A9" w14:paraId="2EEB9E13" w14:textId="77777777">
        <w:tc>
          <w:tcPr>
            <w:tcW w:w="2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13BABE9" w14:textId="77777777" w:rsidR="005842A9" w:rsidRDefault="00805864">
            <w:r>
              <w:rPr>
                <w:b/>
                <w:bCs/>
                <w:sz w:val="20"/>
                <w:szCs w:val="20"/>
              </w:rPr>
              <w:t>Source</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93EEFB3" w14:textId="77777777" w:rsidR="005842A9" w:rsidRDefault="00805864">
            <w:r>
              <w:rPr>
                <w:b/>
                <w:bCs/>
                <w:sz w:val="20"/>
                <w:szCs w:val="20"/>
              </w:rPr>
              <w:t>Coverage</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E7E68A3" w14:textId="77777777" w:rsidR="005842A9" w:rsidRDefault="00805864">
            <w:r>
              <w:rPr>
                <w:b/>
                <w:bCs/>
                <w:sz w:val="20"/>
                <w:szCs w:val="20"/>
              </w:rPr>
              <w:t>Frequency</w:t>
            </w:r>
          </w:p>
        </w:tc>
        <w:tc>
          <w:tcPr>
            <w:tcW w:w="40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281216A" w14:textId="77777777" w:rsidR="005842A9" w:rsidRDefault="00805864">
            <w:r>
              <w:rPr>
                <w:b/>
                <w:bCs/>
                <w:sz w:val="20"/>
                <w:szCs w:val="20"/>
              </w:rPr>
              <w:t>Key series</w:t>
            </w:r>
          </w:p>
        </w:tc>
      </w:tr>
      <w:tr w:rsidR="005842A9" w14:paraId="0051D494"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C0C15" w14:textId="77777777" w:rsidR="005842A9" w:rsidRDefault="00805864">
            <w:r>
              <w:rPr>
                <w:sz w:val="20"/>
                <w:szCs w:val="20"/>
              </w:rPr>
              <w:t>IEA Energy Statistics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084F8D" w14:textId="77777777" w:rsidR="005842A9" w:rsidRDefault="00805864">
            <w:r>
              <w:rPr>
                <w:sz w:val="20"/>
                <w:szCs w:val="20"/>
              </w:rPr>
              <w:t>1990–2023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E0D0D4" w14:textId="77777777" w:rsidR="005842A9" w:rsidRDefault="00805864">
            <w:r>
              <w:rPr>
                <w:sz w:val="20"/>
                <w:szCs w:val="20"/>
              </w:rPr>
              <w:t>Annual</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B8318D" w14:textId="77777777" w:rsidR="005842A9" w:rsidRDefault="00805864">
            <w:r>
              <w:rPr>
                <w:sz w:val="20"/>
                <w:szCs w:val="20"/>
              </w:rPr>
              <w:t>Generation by source, consumption by sector, gas production/consumption, CO₂ by sector</w:t>
            </w:r>
          </w:p>
        </w:tc>
      </w:tr>
      <w:tr w:rsidR="005842A9" w14:paraId="3265DC12"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4E9E3" w14:textId="77777777" w:rsidR="005842A9" w:rsidRDefault="00805864">
            <w:r>
              <w:rPr>
                <w:sz w:val="20"/>
                <w:szCs w:val="20"/>
              </w:rPr>
              <w:t>IRENA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D852D" w14:textId="77777777" w:rsidR="005842A9" w:rsidRDefault="00805864">
            <w:r>
              <w:rPr>
                <w:sz w:val="20"/>
                <w:szCs w:val="20"/>
              </w:rPr>
              <w:t>2000–2023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B042A" w14:textId="77777777" w:rsidR="005842A9" w:rsidRDefault="00805864">
            <w:r>
              <w:rPr>
                <w:sz w:val="20"/>
                <w:szCs w:val="20"/>
              </w:rPr>
              <w:t>Annual</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B79A1" w14:textId="77777777" w:rsidR="005842A9" w:rsidRDefault="00805864">
            <w:r>
              <w:rPr>
                <w:sz w:val="20"/>
                <w:szCs w:val="20"/>
              </w:rPr>
              <w:t>Installed capacity (MW) and generation (GWh) by technology</w:t>
            </w:r>
          </w:p>
        </w:tc>
      </w:tr>
      <w:tr w:rsidR="005842A9" w14:paraId="31EB0AD1"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B87C6E" w14:textId="77777777" w:rsidR="005842A9" w:rsidRDefault="00805864">
            <w:r>
              <w:rPr>
                <w:sz w:val="20"/>
                <w:szCs w:val="20"/>
              </w:rPr>
              <w:t>World Bank WDI</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8A2BEE" w14:textId="77777777" w:rsidR="005842A9" w:rsidRDefault="00805864">
            <w:r>
              <w:rPr>
                <w:sz w:val="20"/>
                <w:szCs w:val="20"/>
              </w:rPr>
              <w:t>1990–2024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40421" w14:textId="77777777" w:rsidR="005842A9" w:rsidRDefault="00805864">
            <w:r>
              <w:rPr>
                <w:sz w:val="20"/>
                <w:szCs w:val="20"/>
              </w:rPr>
              <w:t>Annual</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F4872" w14:textId="77777777" w:rsidR="005842A9" w:rsidRDefault="00805864">
            <w:r>
              <w:rPr>
                <w:sz w:val="20"/>
                <w:szCs w:val="20"/>
              </w:rPr>
              <w:t>GDP (constant 2015 USD), sectoral value-added, population, urbanisation, T&amp;D losses</w:t>
            </w:r>
          </w:p>
        </w:tc>
      </w:tr>
      <w:tr w:rsidR="005842A9" w14:paraId="15F2D5B7"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ABFC1" w14:textId="77777777" w:rsidR="005842A9" w:rsidRDefault="00805864">
            <w:proofErr w:type="spellStart"/>
            <w:r>
              <w:rPr>
                <w:sz w:val="20"/>
                <w:szCs w:val="20"/>
              </w:rPr>
              <w:t>UzStat</w:t>
            </w:r>
            <w:proofErr w:type="spellEnd"/>
            <w:r>
              <w:rPr>
                <w:sz w:val="20"/>
                <w:szCs w:val="20"/>
              </w:rPr>
              <w:t xml:space="preserve"> (State Stat. Committee)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B220F" w14:textId="77777777" w:rsidR="005842A9" w:rsidRDefault="00805864">
            <w:r>
              <w:rPr>
                <w:sz w:val="20"/>
                <w:szCs w:val="20"/>
              </w:rPr>
              <w:t>2010–2024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67637" w14:textId="77777777" w:rsidR="005842A9" w:rsidRDefault="00805864">
            <w:r>
              <w:rPr>
                <w:sz w:val="20"/>
                <w:szCs w:val="20"/>
              </w:rPr>
              <w:t>Annual / Monthly</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F1CA83" w14:textId="77777777" w:rsidR="005842A9" w:rsidRDefault="00805864">
            <w:r>
              <w:rPr>
                <w:sz w:val="20"/>
                <w:szCs w:val="20"/>
              </w:rPr>
              <w:t>Production, consumption, capacity, sectoral electricity by region; 184 cleaned national series</w:t>
            </w:r>
          </w:p>
        </w:tc>
      </w:tr>
      <w:tr w:rsidR="005842A9" w14:paraId="576ED07A"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FD83F5" w14:textId="77777777" w:rsidR="005842A9" w:rsidRDefault="00805864">
            <w:r>
              <w:rPr>
                <w:sz w:val="20"/>
                <w:szCs w:val="20"/>
              </w:rPr>
              <w:t>OWID + Ember</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C0380" w14:textId="77777777" w:rsidR="005842A9" w:rsidRDefault="00805864">
            <w:r>
              <w:rPr>
                <w:sz w:val="20"/>
                <w:szCs w:val="20"/>
              </w:rPr>
              <w:t>2000–2025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DF39DD" w14:textId="77777777" w:rsidR="005842A9" w:rsidRDefault="00805864">
            <w:r>
              <w:rPr>
                <w:sz w:val="20"/>
                <w:szCs w:val="20"/>
              </w:rPr>
              <w:t>Annual</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BB07F" w14:textId="77777777" w:rsidR="005842A9" w:rsidRDefault="00805864">
            <w:r>
              <w:rPr>
                <w:sz w:val="20"/>
                <w:szCs w:val="20"/>
              </w:rPr>
              <w:t>Electricity demand TWh harmonised across 5 Central Asia countries</w:t>
            </w:r>
          </w:p>
        </w:tc>
      </w:tr>
      <w:tr w:rsidR="005842A9" w14:paraId="3B16B752"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0B814" w14:textId="77777777" w:rsidR="005842A9" w:rsidRDefault="00805864">
            <w:r>
              <w:rPr>
                <w:sz w:val="20"/>
                <w:szCs w:val="20"/>
              </w:rPr>
              <w:t>Open-</w:t>
            </w:r>
            <w:proofErr w:type="spellStart"/>
            <w:r>
              <w:rPr>
                <w:sz w:val="20"/>
                <w:szCs w:val="20"/>
              </w:rPr>
              <w:t>Meteo</w:t>
            </w:r>
            <w:proofErr w:type="spellEnd"/>
            <w:r>
              <w:rPr>
                <w:sz w:val="20"/>
                <w:szCs w:val="20"/>
              </w:rPr>
              <w:t xml:space="preserve"> / ERA5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E2B65A" w14:textId="77777777" w:rsidR="005842A9" w:rsidRDefault="00805864">
            <w:r>
              <w:rPr>
                <w:sz w:val="20"/>
                <w:szCs w:val="20"/>
              </w:rPr>
              <w:t>1990–2024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A616E" w14:textId="77777777" w:rsidR="005842A9" w:rsidRDefault="00805864">
            <w:r>
              <w:rPr>
                <w:sz w:val="20"/>
                <w:szCs w:val="20"/>
              </w:rPr>
              <w:t>Daily → Annual</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87E6B" w14:textId="77777777" w:rsidR="005842A9" w:rsidRDefault="00805864">
            <w:r>
              <w:rPr>
                <w:sz w:val="20"/>
                <w:szCs w:val="20"/>
              </w:rPr>
              <w:t>Temperature, HDD18, CDD24 pop-weighted across 30 CA cities</w:t>
            </w:r>
          </w:p>
        </w:tc>
      </w:tr>
      <w:tr w:rsidR="005842A9" w14:paraId="3CD4C441" w14:textId="77777777">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3A691" w14:textId="77777777" w:rsidR="005842A9" w:rsidRDefault="00805864">
            <w:r>
              <w:rPr>
                <w:sz w:val="20"/>
                <w:szCs w:val="20"/>
              </w:rPr>
              <w:t>Eurasian Development Bank Mar 2026</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A0A73" w14:textId="77777777" w:rsidR="005842A9" w:rsidRDefault="00805864">
            <w:r>
              <w:rPr>
                <w:sz w:val="20"/>
                <w:szCs w:val="20"/>
              </w:rPr>
              <w:t>2024–2030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8FCEB2" w14:textId="77777777" w:rsidR="005842A9" w:rsidRDefault="00805864">
            <w:r>
              <w:rPr>
                <w:sz w:val="20"/>
                <w:szCs w:val="20"/>
              </w:rPr>
              <w:t>Annual</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9523E" w14:textId="77777777" w:rsidR="005842A9" w:rsidRDefault="00805864">
            <w:r>
              <w:rPr>
                <w:sz w:val="20"/>
                <w:szCs w:val="20"/>
              </w:rPr>
              <w:t>Demand and capacity outlook for cross-validation</w:t>
            </w:r>
          </w:p>
        </w:tc>
      </w:tr>
    </w:tbl>
    <w:p w14:paraId="4979C023" w14:textId="77777777" w:rsidR="005842A9" w:rsidRDefault="005842A9"/>
    <w:p w14:paraId="5ECCE657" w14:textId="77777777" w:rsidR="005842A9" w:rsidRDefault="00805864">
      <w:r>
        <w:rPr>
          <w:b/>
          <w:bCs/>
        </w:rPr>
        <w:t xml:space="preserve">Data integration. </w:t>
      </w:r>
      <w:r>
        <w:t xml:space="preserve">A unit-harmonised master dataset is assembled in </w:t>
      </w:r>
      <w:r>
        <w:rPr>
          <w:rFonts w:ascii="Courier New" w:eastAsia="Courier New" w:hAnsi="Courier New" w:cs="Courier New"/>
        </w:rPr>
        <w:t>notebooks/01_data_pipeline.ipynb</w:t>
      </w:r>
      <w:r>
        <w:t>. The pipeline applies a transparent ratio-scaling "</w:t>
      </w:r>
      <w:proofErr w:type="spellStart"/>
      <w:r>
        <w:t>UzStat</w:t>
      </w:r>
      <w:proofErr w:type="spellEnd"/>
      <w:r>
        <w:t xml:space="preserve"> bridge" to extend the IEA series to 2024 (scale factors 0.92 for consumption and 0.99 for generation, derived from the 2010–2023 overlap) and flags 2024–2026 as preliminary. Cross-checks against the Eurasian Development Bank's 2026 outlook agree to within 2 % on demand, generation, and capacity for 2024.</w:t>
      </w:r>
    </w:p>
    <w:p w14:paraId="75AD7975" w14:textId="77777777" w:rsidR="005842A9" w:rsidRDefault="00805864">
      <w:pPr>
        <w:pStyle w:val="Heading2"/>
      </w:pPr>
      <w:bookmarkStart w:id="18" w:name="_Toc230942997"/>
      <w:r>
        <w:t xml:space="preserve">3.2 </w:t>
      </w:r>
      <w:commentRangeStart w:id="19"/>
      <w:r>
        <w:t xml:space="preserve">The messy data </w:t>
      </w:r>
      <w:commentRangeEnd w:id="19"/>
      <w:r w:rsidR="00E40E7F">
        <w:rPr>
          <w:rStyle w:val="CommentReference"/>
          <w:sz w:val="28"/>
          <w:szCs w:val="28"/>
        </w:rPr>
        <w:commentReference w:id="19"/>
      </w:r>
      <w:r>
        <w:t xml:space="preserve">problem and the </w:t>
      </w:r>
      <w:proofErr w:type="spellStart"/>
      <w:r>
        <w:t>UzStat</w:t>
      </w:r>
      <w:proofErr w:type="spellEnd"/>
      <w:r>
        <w:t xml:space="preserve"> SDMX cleanup</w:t>
      </w:r>
      <w:bookmarkEnd w:id="18"/>
    </w:p>
    <w:p w14:paraId="1B198640" w14:textId="77777777" w:rsidR="005842A9" w:rsidRDefault="00805864">
      <w:r>
        <w:t xml:space="preserve">The State Statistics Committee of Uzbekistan publishes data via an SDMX-format CSV endpoint where the topic name resides only on the catalogue webpage, not in the file content. From a 618-file bulk download (the "messy data" dump), 184 single-row Uzbekistan national series, 302 oblast-level series, and 80 cross-country series were extracted. Topic titles were recovered by scraping the official-statistics section pages on stat.uz, producing a registry of 982 ID-to-title mappings that covers 100 % of the bulk export. A curated shortlist of 504 files — those with primary, strong, or possible relevance for the four predictive targets — is saved to </w:t>
      </w:r>
      <w:r>
        <w:rPr>
          <w:rFonts w:ascii="Courier New" w:eastAsia="Courier New" w:hAnsi="Courier New" w:cs="Courier New"/>
        </w:rPr>
        <w:t>data/processed/</w:t>
      </w:r>
      <w:proofErr w:type="spellStart"/>
      <w:r>
        <w:rPr>
          <w:rFonts w:ascii="Courier New" w:eastAsia="Courier New" w:hAnsi="Courier New" w:cs="Courier New"/>
        </w:rPr>
        <w:t>uzstat_clean</w:t>
      </w:r>
      <w:proofErr w:type="spellEnd"/>
      <w:r>
        <w:rPr>
          <w:rFonts w:ascii="Courier New" w:eastAsia="Courier New" w:hAnsi="Courier New" w:cs="Courier New"/>
        </w:rPr>
        <w:t>/SHORTLIST_for_analysis.csv</w:t>
      </w:r>
      <w:r>
        <w:t>.</w:t>
      </w:r>
    </w:p>
    <w:p w14:paraId="3D400BC2" w14:textId="77777777" w:rsidR="005842A9" w:rsidRDefault="00805864">
      <w:pPr>
        <w:pStyle w:val="Heading2"/>
      </w:pPr>
      <w:bookmarkStart w:id="20" w:name="_Toc230942998"/>
      <w:r>
        <w:t>3.3 Train–test split and cross-validation</w:t>
      </w:r>
      <w:bookmarkEnd w:id="20"/>
    </w:p>
    <w:p w14:paraId="5D0FE864" w14:textId="77777777" w:rsidR="005842A9" w:rsidRDefault="00805864">
      <w:r>
        <w:lastRenderedPageBreak/>
        <w:t>A strictly chronological split is applied: the training window is 1990–2018 (n = 29 observations) and the hold-out test window is 2019–2024 (n = 6 observations). Time-series cross-validation with an expanding window is used for model selection within the training period to avoid look-ahead leakage. The hold-out is reserved exclusively for the final scoreboard.</w:t>
      </w:r>
    </w:p>
    <w:p w14:paraId="46533924" w14:textId="77777777" w:rsidR="005842A9" w:rsidRDefault="00805864">
      <w:pPr>
        <w:shd w:val="clear" w:color="auto" w:fill="EFF6FF"/>
        <w:spacing w:before="80" w:after="80"/>
      </w:pPr>
      <w:r>
        <w:rPr>
          <w:b/>
          <w:bCs/>
          <w:color w:val="1E40AF"/>
        </w:rPr>
        <w:t xml:space="preserve">Note. </w:t>
      </w:r>
      <w:r>
        <w:rPr>
          <w:i/>
          <w:iCs/>
          <w:color w:val="1E40AF"/>
        </w:rPr>
        <w:t>The test window deliberately includes the COVID-19 demand shock (2020) and the start of the post-2019 solar/wind buildout — the model is tested on the hardest five-to-six years in the series, not the easiest.</w:t>
      </w:r>
    </w:p>
    <w:p w14:paraId="01C3FABD" w14:textId="77777777" w:rsidR="005842A9" w:rsidRDefault="00805864">
      <w:pPr>
        <w:pStyle w:val="Heading2"/>
      </w:pPr>
      <w:bookmarkStart w:id="21" w:name="_Toc230942999"/>
      <w:r>
        <w:t>3.4 Scenario specification</w:t>
      </w:r>
      <w:bookmarkEnd w:id="21"/>
    </w:p>
    <w:p w14:paraId="5676E446" w14:textId="77777777" w:rsidR="005842A9" w:rsidRDefault="00805864">
      <w:commentRangeStart w:id="22"/>
      <w:r>
        <w:t xml:space="preserve">Three macroeconomic scenarios </w:t>
      </w:r>
      <w:commentRangeEnd w:id="22"/>
      <w:r w:rsidR="00F45A8D">
        <w:rPr>
          <w:rStyle w:val="CommentReference"/>
          <w:sz w:val="22"/>
          <w:szCs w:val="22"/>
        </w:rPr>
        <w:commentReference w:id="22"/>
      </w:r>
      <w:r>
        <w:t>are calibrated against the International Monetary Fund World Economic Outlook (October 2025), the Uzbek Nationally Determined Contribution (NDC), and the ILF White Paper (2025) 20 GW renewable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660"/>
      </w:tblGrid>
      <w:tr w:rsidR="005842A9" w14:paraId="566A1E7B" w14:textId="77777777">
        <w:tc>
          <w:tcPr>
            <w:tcW w:w="2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A203371" w14:textId="77777777" w:rsidR="005842A9" w:rsidRDefault="00805864">
            <w:r>
              <w:rPr>
                <w:b/>
                <w:bCs/>
                <w:sz w:val="20"/>
                <w:szCs w:val="20"/>
              </w:rPr>
              <w:t>Scenario</w:t>
            </w:r>
          </w:p>
        </w:tc>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06230A5" w14:textId="77777777" w:rsidR="005842A9" w:rsidRDefault="00805864">
            <w:r>
              <w:rPr>
                <w:b/>
                <w:bCs/>
                <w:sz w:val="20"/>
                <w:szCs w:val="20"/>
              </w:rPr>
              <w:t>GDP growth assumption</w:t>
            </w:r>
          </w:p>
        </w:tc>
        <w:tc>
          <w:tcPr>
            <w:tcW w:w="36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1F1056E" w14:textId="77777777" w:rsidR="005842A9" w:rsidRDefault="00805864">
            <w:r>
              <w:rPr>
                <w:b/>
                <w:bCs/>
                <w:sz w:val="20"/>
                <w:szCs w:val="20"/>
              </w:rPr>
              <w:t>Renewable adjustment</w:t>
            </w:r>
          </w:p>
        </w:tc>
      </w:tr>
      <w:tr w:rsidR="005842A9" w14:paraId="7AFD1519" w14:textId="77777777">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04680" w14:textId="77777777" w:rsidR="005842A9" w:rsidRDefault="00805864">
            <w:r>
              <w:rPr>
                <w:sz w:val="20"/>
                <w:szCs w:val="20"/>
              </w:rPr>
              <w:t>Accelerated</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D72F8" w14:textId="77777777" w:rsidR="005842A9" w:rsidRDefault="00805864">
            <w:r>
              <w:rPr>
                <w:sz w:val="20"/>
                <w:szCs w:val="20"/>
              </w:rPr>
              <w:t>IMF baseline + 1.0 pp/yr</w:t>
            </w:r>
          </w:p>
        </w:tc>
        <w:tc>
          <w:tcPr>
            <w:tcW w:w="3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05F19" w14:textId="77777777" w:rsidR="005842A9" w:rsidRDefault="00805864">
            <w:r>
              <w:rPr>
                <w:sz w:val="20"/>
                <w:szCs w:val="20"/>
              </w:rPr>
              <w:t>NDC trajectory + 1.0 pp/yr</w:t>
            </w:r>
          </w:p>
        </w:tc>
      </w:tr>
      <w:tr w:rsidR="005842A9" w14:paraId="05CDE9B0" w14:textId="77777777">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F6A2C" w14:textId="77777777" w:rsidR="005842A9" w:rsidRDefault="00805864">
            <w:r>
              <w:rPr>
                <w:sz w:val="20"/>
                <w:szCs w:val="20"/>
              </w:rPr>
              <w:t>Baseline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91133" w14:textId="77777777" w:rsidR="005842A9" w:rsidRDefault="00805864">
            <w:r>
              <w:rPr>
                <w:sz w:val="20"/>
                <w:szCs w:val="20"/>
              </w:rPr>
              <w:t>IMF WEO October 2025 as-is</w:t>
            </w:r>
          </w:p>
        </w:tc>
        <w:tc>
          <w:tcPr>
            <w:tcW w:w="3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584A0" w14:textId="77777777" w:rsidR="005842A9" w:rsidRDefault="00805864">
            <w:r>
              <w:rPr>
                <w:sz w:val="20"/>
                <w:szCs w:val="20"/>
              </w:rPr>
              <w:t>Central Bayesian Ridge trajectory</w:t>
            </w:r>
          </w:p>
        </w:tc>
      </w:tr>
      <w:tr w:rsidR="005842A9" w14:paraId="6667B2A5" w14:textId="77777777">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8ABD35" w14:textId="77777777" w:rsidR="005842A9" w:rsidRDefault="00805864">
            <w:r>
              <w:rPr>
                <w:sz w:val="20"/>
                <w:szCs w:val="20"/>
              </w:rPr>
              <w:t>Delayed</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983E7" w14:textId="77777777" w:rsidR="005842A9" w:rsidRDefault="00805864">
            <w:r>
              <w:rPr>
                <w:sz w:val="20"/>
                <w:szCs w:val="20"/>
              </w:rPr>
              <w:t>IMF baseline − 1.5 pp/yr</w:t>
            </w:r>
          </w:p>
        </w:tc>
        <w:tc>
          <w:tcPr>
            <w:tcW w:w="3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6131B" w14:textId="77777777" w:rsidR="005842A9" w:rsidRDefault="00805864">
            <w:r>
              <w:rPr>
                <w:sz w:val="20"/>
                <w:szCs w:val="20"/>
              </w:rPr>
              <w:t>Central trajectory − 0.5 pp/yr</w:t>
            </w:r>
          </w:p>
        </w:tc>
      </w:tr>
    </w:tbl>
    <w:p w14:paraId="333D5ADB" w14:textId="77777777" w:rsidR="005842A9" w:rsidRDefault="005842A9"/>
    <w:p w14:paraId="53D34126" w14:textId="77777777" w:rsidR="005842A9" w:rsidRDefault="00805864">
      <w:pPr>
        <w:pStyle w:val="Heading2"/>
      </w:pPr>
      <w:bookmarkStart w:id="23" w:name="_Toc230943000"/>
      <w:r>
        <w:t>3.5 Reproducibility</w:t>
      </w:r>
      <w:bookmarkEnd w:id="23"/>
    </w:p>
    <w:p w14:paraId="6A77347B" w14:textId="77777777" w:rsidR="005842A9" w:rsidRDefault="00805864">
      <w:r>
        <w:t>All random seeds are fixed (SEED = 42). The pipeline runs end-to-end from raw CSVs to forecast outputs without manual intervention. Every numerical result in this paper can be regenerated by executing the ten notebooks (NB01–NB10) in numerical order.</w:t>
      </w:r>
    </w:p>
    <w:p w14:paraId="7A253F2D" w14:textId="77777777" w:rsidR="005842A9" w:rsidRDefault="00805864">
      <w:pPr>
        <w:pStyle w:val="Heading1"/>
        <w:pageBreakBefore/>
      </w:pPr>
      <w:bookmarkStart w:id="24" w:name="_Toc230943001"/>
      <w:r>
        <w:lastRenderedPageBreak/>
        <w:t>4. Exploratory Data Analysis</w:t>
      </w:r>
      <w:bookmarkEnd w:id="24"/>
    </w:p>
    <w:p w14:paraId="01F5A227" w14:textId="77777777" w:rsidR="005842A9" w:rsidRDefault="00805864">
      <w:pPr>
        <w:pStyle w:val="Heading2"/>
      </w:pPr>
      <w:bookmarkStart w:id="25" w:name="_Toc230943002"/>
      <w:r>
        <w:t>4.1 Energy mix evolution (NB02)</w:t>
      </w:r>
      <w:bookmarkEnd w:id="25"/>
    </w:p>
    <w:p w14:paraId="475A6EEF" w14:textId="77777777" w:rsidR="005842A9" w:rsidRDefault="00805864">
      <w:r>
        <w:t>Stacked-area visualisation of UZB generation by fuel 1990–2024 (NB02 § 4) reveals four facts. (a) Total generation grew from approximately 50 TWh in 1990 to 83 TWh in 2024 — a compound annual growth rate of 1.5 % per year. (b) Natural gas accounts for ≥ 75 % of generation throughout the entire 34-year window. (c) Renewable share is essentially flat in the 10–13 % band until the 2019 solar/wind commissioning shock, after which it has not yet exceeded 15 %. (d) Hydropower CAGR after 2010 is near zero — no new large hydro is online — implying that any acceleration toward the 20 GW NDC target must come from solar and wind.</w:t>
      </w:r>
    </w:p>
    <w:p w14:paraId="735EAC94" w14:textId="77777777" w:rsidR="005842A9" w:rsidRDefault="00805864">
      <w:pPr>
        <w:shd w:val="clear" w:color="auto" w:fill="FEF3C7"/>
        <w:spacing w:before="80" w:after="80"/>
      </w:pPr>
      <w:r>
        <w:rPr>
          <w:b/>
          <w:bCs/>
          <w:color w:val="B45309"/>
        </w:rPr>
        <w:t xml:space="preserve">[TO EXPAND] </w:t>
      </w:r>
      <w:r>
        <w:rPr>
          <w:i/>
          <w:iCs/>
          <w:color w:val="78350F"/>
        </w:rPr>
        <w:t>Insert eda_energy_mix_evolution.png and the CA-5 peer benchmark chart eda_re_share_ca5.png from data/processed/. Add a paragraph interpreting the peer benchmark: UZB sits between gas-dominated KAZ/TKM and hydro-dominated KGZ/TJK.</w:t>
      </w:r>
    </w:p>
    <w:p w14:paraId="120F8DDF" w14:textId="77777777" w:rsidR="005842A9" w:rsidRDefault="00805864">
      <w:pPr>
        <w:pStyle w:val="Heading2"/>
      </w:pPr>
      <w:bookmarkStart w:id="26" w:name="_Toc230943003"/>
      <w:r>
        <w:t>4.2 Supply drivers (NB03)</w:t>
      </w:r>
      <w:bookmarkEnd w:id="26"/>
    </w:p>
    <w:p w14:paraId="79C27142" w14:textId="77777777" w:rsidR="005842A9" w:rsidRDefault="00805864">
      <w:r>
        <w:t>Installed capacity grew from approximately 12.5 GW in 2010 to 21 GW in 2024 (NB03 § 2). Required net renewable additions to hit the 20 GW NDC target by 2030 equal approximately 3 GW per year — the empirical buildout pace is below this trajectory. The natural-gas net-export gap (production minus consumption) is narrowing; linear extrapolation places the crossover to net-importer status between 2026 and 2030 (NB03 § 3). Coal consumption growth (positive CAGR) is consistent with substitution under tightening gas supply (NB03 § 4). Transmission and distribution losses cross the 15 % IFI threshold in multiple years (NB03 § 5).</w:t>
      </w:r>
    </w:p>
    <w:p w14:paraId="337FFB98" w14:textId="77777777" w:rsidR="005842A9" w:rsidRDefault="00805864">
      <w:pPr>
        <w:shd w:val="clear" w:color="auto" w:fill="FEF3C7"/>
        <w:spacing w:before="80" w:after="80"/>
      </w:pPr>
      <w:r>
        <w:rPr>
          <w:b/>
          <w:bCs/>
          <w:color w:val="B45309"/>
        </w:rPr>
        <w:t xml:space="preserve">[TO EXPAND] </w:t>
      </w:r>
      <w:r>
        <w:rPr>
          <w:i/>
          <w:iCs/>
          <w:color w:val="78350F"/>
        </w:rPr>
        <w:t>Insert eda_installed_capacity.png and eda_gas_balance.png. Discuss the structural implications for ILF advisory: capacity-rehab is structural, gas-decline timing is the key uncertainty.</w:t>
      </w:r>
    </w:p>
    <w:p w14:paraId="4FE3D168" w14:textId="77777777" w:rsidR="005842A9" w:rsidRDefault="00805864">
      <w:pPr>
        <w:pStyle w:val="Heading2"/>
      </w:pPr>
      <w:bookmarkStart w:id="27" w:name="_Toc230943004"/>
      <w:r>
        <w:t>4.3 Demand drivers (NB04)</w:t>
      </w:r>
      <w:bookmarkEnd w:id="27"/>
    </w:p>
    <w:p w14:paraId="71E55ECA" w14:textId="77777777" w:rsidR="005842A9" w:rsidRDefault="00805864">
      <w:r>
        <w:t>Demand decomposes into enterprise/industrial (approximately 70 % of supply), housing (the second-largest end-use), and smaller agricultural and services components (NB04 § 3). Short-run income elasticity of demand on GDP per capita is estimated positive but with wide confidence intervals on the n = 24 differenced sample (NB04 § 4). Long-run elasticity from the cointegrating regression in NB05 is closer to unity. Cooling degree-days (CDD24) correlates positively with year-on-year demand growth — empirical confirmation that hotter summers drive measurable demand spikes (NB04 § 6). Heating degree-days (HDD18) do not produce a clean negative semi-elasticity at annual scale because winter heating in Uzbekistan is predominantly gas-fuelled, including the rapidly expanding heated-greenhouse sector. Real (CPI-deflated) residential tariffs have declined since 2017 because nominal tariff increases have lagged 10–14 %/yr inflation (NB04 § 7), biasing any price-elasticity estimate derived from this window.</w:t>
      </w:r>
    </w:p>
    <w:p w14:paraId="07726DB0" w14:textId="77777777" w:rsidR="005842A9" w:rsidRDefault="00805864">
      <w:pPr>
        <w:shd w:val="clear" w:color="auto" w:fill="FEF3C7"/>
        <w:spacing w:before="80" w:after="80"/>
      </w:pPr>
      <w:r>
        <w:rPr>
          <w:b/>
          <w:bCs/>
          <w:color w:val="B45309"/>
        </w:rPr>
        <w:t xml:space="preserve">[TO EXPAND] </w:t>
      </w:r>
      <w:r>
        <w:rPr>
          <w:i/>
          <w:iCs/>
          <w:color w:val="78350F"/>
        </w:rPr>
        <w:t>Insert eda_sectoral_demand.png, eda_climate.png, eda_tariff_history.png. Add the greenhouse paragraph linking id=3171 (agricultural electricity supply) growth to greenhouse capacity expansion.</w:t>
      </w:r>
    </w:p>
    <w:p w14:paraId="4BE6A79E" w14:textId="77777777" w:rsidR="005842A9" w:rsidRDefault="00805864">
      <w:pPr>
        <w:pStyle w:val="Heading2"/>
      </w:pPr>
      <w:bookmarkStart w:id="28" w:name="_Toc230943005"/>
      <w:r>
        <w:t>4.4 Correlations and causality discipline (NB05)</w:t>
      </w:r>
      <w:bookmarkEnd w:id="28"/>
    </w:p>
    <w:p w14:paraId="6AB93874" w14:textId="77777777" w:rsidR="005842A9" w:rsidRDefault="00805864">
      <w:r>
        <w:lastRenderedPageBreak/>
        <w:t>Pairwise Pearson correlations among the core variables in levels exceed 0.90 for almost every pair — the classic Granger and Newbold (1974) trend-co-movement trap. The ADF/KPSS battery (NB05 § 3) classifies log(demand), log(</w:t>
      </w:r>
      <w:proofErr w:type="spellStart"/>
      <w:r>
        <w:t>GDP_pc</w:t>
      </w:r>
      <w:proofErr w:type="spellEnd"/>
      <w:r>
        <w:t>), log(</w:t>
      </w:r>
      <w:proofErr w:type="spellStart"/>
      <w:r>
        <w:t>industry_VA</w:t>
      </w:r>
      <w:proofErr w:type="spellEnd"/>
      <w:r>
        <w:t>), and log(</w:t>
      </w:r>
      <w:proofErr w:type="spellStart"/>
      <w:r>
        <w:t>services_VA</w:t>
      </w:r>
      <w:proofErr w:type="spellEnd"/>
      <w:r>
        <w:t>) as I(1); HDD18 and CDD24 are stationary in levels. After first-differencing, the meaningful correlations collapse to two: Δ ln industry-value-added and ΔCDD24. The Engle-Granger two-step cointegration test on ln(demand) regressed on ln(</w:t>
      </w:r>
      <w:proofErr w:type="spellStart"/>
      <w:r>
        <w:t>GDP_pc</w:t>
      </w:r>
      <w:proofErr w:type="spellEnd"/>
      <w:r>
        <w:t>) and ln(</w:t>
      </w:r>
      <w:proofErr w:type="spellStart"/>
      <w:r>
        <w:t>industry_VA</w:t>
      </w:r>
      <w:proofErr w:type="spellEnd"/>
      <w:r>
        <w:t xml:space="preserve">) does not reject the null of no cointegration at the 5 % level on n ≈ 30, so any long-run elasticity from the levels regression is reported with explicit caveats. Granger causality tests (NB05 § 5) detect a directional effect from </w:t>
      </w:r>
      <w:proofErr w:type="spellStart"/>
      <w:r>
        <w:t>ΔlnGDP_pc</w:t>
      </w:r>
      <w:proofErr w:type="spellEnd"/>
      <w:r>
        <w:t xml:space="preserve"> to </w:t>
      </w:r>
      <w:proofErr w:type="spellStart"/>
      <w:r>
        <w:t>ΔlnDemand</w:t>
      </w:r>
      <w:proofErr w:type="spellEnd"/>
      <w:r>
        <w:t xml:space="preserve"> at lag one; the reverse direction is also detectable in some specifications, consistent with electricity acting as both a development outcome and a development enabler.</w:t>
      </w:r>
    </w:p>
    <w:p w14:paraId="5EB7B519" w14:textId="77777777" w:rsidR="005842A9" w:rsidRDefault="00805864">
      <w:pPr>
        <w:shd w:val="clear" w:color="auto" w:fill="FEF3C7"/>
        <w:spacing w:before="80" w:after="80"/>
      </w:pPr>
      <w:r>
        <w:rPr>
          <w:b/>
          <w:bCs/>
          <w:color w:val="B45309"/>
        </w:rPr>
        <w:t xml:space="preserve">[TO EXPAND] </w:t>
      </w:r>
      <w:r>
        <w:rPr>
          <w:i/>
          <w:iCs/>
          <w:color w:val="78350F"/>
        </w:rPr>
        <w:t>Insert eda_corr_levels.png and eda_corr_detrended.png. Walk the reader through the comparison: the level matrix is misleadingly red-hot; the detrended matrix tells the honest story.</w:t>
      </w:r>
    </w:p>
    <w:p w14:paraId="48AB5CB1" w14:textId="77777777" w:rsidR="005842A9" w:rsidRDefault="00805864">
      <w:pPr>
        <w:pStyle w:val="Heading1"/>
        <w:pageBreakBefore/>
      </w:pPr>
      <w:bookmarkStart w:id="29" w:name="_Toc230943006"/>
      <w:r>
        <w:lastRenderedPageBreak/>
        <w:t xml:space="preserve">5. </w:t>
      </w:r>
      <w:commentRangeStart w:id="30"/>
      <w:r>
        <w:t>Forecasting Models</w:t>
      </w:r>
      <w:bookmarkEnd w:id="29"/>
      <w:commentRangeEnd w:id="30"/>
      <w:r w:rsidR="00724481">
        <w:rPr>
          <w:rStyle w:val="CommentReference"/>
          <w:sz w:val="36"/>
          <w:szCs w:val="36"/>
        </w:rPr>
        <w:commentReference w:id="30"/>
      </w:r>
    </w:p>
    <w:p w14:paraId="710FDF9E" w14:textId="77777777" w:rsidR="005842A9" w:rsidRDefault="00805864">
      <w:pPr>
        <w:pStyle w:val="Heading2"/>
      </w:pPr>
      <w:bookmarkStart w:id="31" w:name="_Toc230943007"/>
      <w:r>
        <w:t>5.1 Baseline model bench (NB06)</w:t>
      </w:r>
      <w:bookmarkEnd w:id="31"/>
    </w:p>
    <w:p w14:paraId="0902B121" w14:textId="77777777" w:rsidR="005842A9" w:rsidRDefault="00805864">
      <w:r>
        <w:t>Six baseline specifications are run on the same UZB 2019–2024 hold-out window for direct comparability.</w:t>
      </w:r>
    </w:p>
    <w:p w14:paraId="4751F4B6" w14:textId="77777777" w:rsidR="005842A9" w:rsidRDefault="00805864">
      <w:r>
        <w:rPr>
          <w:b/>
          <w:bCs/>
        </w:rPr>
        <w:t xml:space="preserve">Naïve last-value. </w:t>
      </w:r>
      <w:r>
        <w:t>ŷ(</w:t>
      </w:r>
      <w:proofErr w:type="spellStart"/>
      <w:r>
        <w:t>t+h</w:t>
      </w:r>
      <w:proofErr w:type="spellEnd"/>
      <w:r>
        <w:t>) = y(t). Floor benchmark; any model worse than this is discarded.</w:t>
      </w:r>
    </w:p>
    <w:p w14:paraId="2E25CD06" w14:textId="77777777" w:rsidR="005842A9" w:rsidRDefault="00805864">
      <w:r w:rsidRPr="00064875">
        <w:rPr>
          <w:b/>
          <w:bCs/>
          <w:lang w:val="de-AT"/>
        </w:rPr>
        <w:t xml:space="preserve">Linear </w:t>
      </w:r>
      <w:proofErr w:type="spellStart"/>
      <w:r w:rsidRPr="00064875">
        <w:rPr>
          <w:b/>
          <w:bCs/>
          <w:lang w:val="de-AT"/>
        </w:rPr>
        <w:t>trend</w:t>
      </w:r>
      <w:proofErr w:type="spellEnd"/>
      <w:r w:rsidRPr="00064875">
        <w:rPr>
          <w:b/>
          <w:bCs/>
          <w:lang w:val="de-AT"/>
        </w:rPr>
        <w:t xml:space="preserve">. </w:t>
      </w:r>
      <w:r w:rsidRPr="00064875">
        <w:rPr>
          <w:lang w:val="de-AT"/>
        </w:rPr>
        <w:t xml:space="preserve">y(t) = </w:t>
      </w:r>
      <w:r>
        <w:t>α</w:t>
      </w:r>
      <w:r w:rsidRPr="00064875">
        <w:rPr>
          <w:lang w:val="de-AT"/>
        </w:rPr>
        <w:t xml:space="preserve"> + </w:t>
      </w:r>
      <w:r>
        <w:t>β</w:t>
      </w:r>
      <w:r w:rsidRPr="00064875">
        <w:rPr>
          <w:lang w:val="de-AT"/>
        </w:rPr>
        <w:t xml:space="preserve">·t + </w:t>
      </w:r>
      <w:r>
        <w:t>ε</w:t>
      </w:r>
      <w:r w:rsidRPr="00064875">
        <w:rPr>
          <w:lang w:val="de-AT"/>
        </w:rPr>
        <w:t xml:space="preserve">(t). </w:t>
      </w:r>
      <w:r>
        <w:t>OLS with year as the only regressor; under-fits a non-stationary series.</w:t>
      </w:r>
    </w:p>
    <w:p w14:paraId="7B373006" w14:textId="77777777" w:rsidR="005842A9" w:rsidRDefault="00805864">
      <w:r>
        <w:rPr>
          <w:b/>
          <w:bCs/>
        </w:rPr>
        <w:t xml:space="preserve">First-differenced OLS. </w:t>
      </w:r>
      <w:proofErr w:type="spellStart"/>
      <w:r>
        <w:t>Δy</w:t>
      </w:r>
      <w:proofErr w:type="spellEnd"/>
      <w:r>
        <w:t>(t) = α + β·</w:t>
      </w:r>
      <w:proofErr w:type="spellStart"/>
      <w:r>
        <w:t>Δx</w:t>
      </w:r>
      <w:proofErr w:type="spellEnd"/>
      <w:r>
        <w:t>(t) + ε(t). Avoids spurious regression on I(1) levels (Granger &amp; Newbold, 1974).</w:t>
      </w:r>
    </w:p>
    <w:p w14:paraId="0F3A5603" w14:textId="77777777" w:rsidR="005842A9" w:rsidRDefault="00805864">
      <w:r>
        <w:rPr>
          <w:b/>
          <w:bCs/>
        </w:rPr>
        <w:t xml:space="preserve">Parsimonious ARIMA. </w:t>
      </w:r>
      <w:proofErr w:type="spellStart"/>
      <w:r>
        <w:t>AICc</w:t>
      </w:r>
      <w:proofErr w:type="spellEnd"/>
      <w:r>
        <w:t xml:space="preserve">-selected over (p, d, q) ∈ {0, 1, 2}³, with the small-sample correction of </w:t>
      </w:r>
      <w:proofErr w:type="spellStart"/>
      <w:r>
        <w:t>Hurvich</w:t>
      </w:r>
      <w:proofErr w:type="spellEnd"/>
      <w:r>
        <w:t xml:space="preserve"> and Tsai (1989).</w:t>
      </w:r>
    </w:p>
    <w:p w14:paraId="4C025FEB" w14:textId="77777777" w:rsidR="005842A9" w:rsidRDefault="00805864">
      <w:r>
        <w:rPr>
          <w:b/>
          <w:bCs/>
        </w:rPr>
        <w:t xml:space="preserve">Prophet. </w:t>
      </w:r>
      <w:r>
        <w:t>Decomposable additive model y(t) = g(t) + s(t) + h(t) + ε(t) with piecewise-linear trend (Taylor &amp; Letham, 2018). For annual data only g(t) is active.</w:t>
      </w:r>
    </w:p>
    <w:p w14:paraId="1226A85E" w14:textId="77777777" w:rsidR="005842A9" w:rsidRDefault="00805864">
      <w:r>
        <w:rPr>
          <w:b/>
          <w:bCs/>
        </w:rPr>
        <w:t xml:space="preserve">Frequentist Ridge. </w:t>
      </w:r>
      <w:r>
        <w:t>L₂-penalised OLS as defined in § 2.2. Hyperparameter α swept across {0.01, 0.1, 1, 10, 100}.</w:t>
      </w:r>
    </w:p>
    <w:p w14:paraId="7015EA7F" w14:textId="77777777" w:rsidR="005842A9" w:rsidRDefault="00805864">
      <w:pPr>
        <w:pStyle w:val="Heading2"/>
      </w:pPr>
      <w:bookmarkStart w:id="32" w:name="_Toc230943008"/>
      <w:r>
        <w:t>5.2 Advanced Bayesian Ridge (NB07 § 3)</w:t>
      </w:r>
      <w:bookmarkEnd w:id="32"/>
    </w:p>
    <w:p w14:paraId="13D20DDD" w14:textId="77777777" w:rsidR="005842A9" w:rsidRDefault="00805864">
      <w:r>
        <w:t>We place an isotropic Gaussian prior on the coefficient vector β ∈ ℝᵖ with precision α and assume a Gaussian likelihood with noise precision λ. The posterior over β is Gaussian:</w:t>
      </w:r>
    </w:p>
    <w:p w14:paraId="7C6A9732" w14:textId="77777777" w:rsidR="005842A9" w:rsidRDefault="00805864">
      <w:pPr>
        <w:spacing w:before="60" w:after="60"/>
      </w:pPr>
      <w:r>
        <w:rPr>
          <w:i/>
          <w:iCs/>
        </w:rPr>
        <w:t xml:space="preserve">  Σ = (λ X′X + α I)⁻¹,  μ = λ Σ X′ y.</w:t>
      </w:r>
    </w:p>
    <w:p w14:paraId="2037570C" w14:textId="77777777" w:rsidR="005842A9" w:rsidRDefault="00805864">
      <w:r>
        <w:t>The predictive distribution at a new point x* is also Gaussian:</w:t>
      </w:r>
    </w:p>
    <w:p w14:paraId="061320D5" w14:textId="77777777" w:rsidR="005842A9" w:rsidRDefault="00805864">
      <w:pPr>
        <w:spacing w:before="60" w:after="60"/>
      </w:pPr>
      <w:r>
        <w:rPr>
          <w:i/>
          <w:iCs/>
        </w:rPr>
        <w:t xml:space="preserve">  p(y* | x*) = 𝒩(y* | x*ᵀμ,  λ⁻¹ + x*ᵀ</w:t>
      </w:r>
      <w:proofErr w:type="spellStart"/>
      <w:r>
        <w:rPr>
          <w:i/>
          <w:iCs/>
        </w:rPr>
        <w:t>Σx</w:t>
      </w:r>
      <w:proofErr w:type="spellEnd"/>
      <w:r>
        <w:rPr>
          <w:i/>
          <w:iCs/>
        </w:rPr>
        <w:t>*).</w:t>
      </w:r>
    </w:p>
    <w:p w14:paraId="26DF4B12" w14:textId="77777777" w:rsidR="005842A9" w:rsidRDefault="00805864">
      <w:r>
        <w:t>This combines two sources of uncertainty: residual noise (λ⁻¹) and parameter uncertainty (x*ᵀ</w:t>
      </w:r>
      <w:proofErr w:type="spellStart"/>
      <w:r>
        <w:t>Σx</w:t>
      </w:r>
      <w:proofErr w:type="spellEnd"/>
      <w:r>
        <w:t>*). The hyperparameters (α, λ) are jointly fitted by maximising the marginal likelihood, as implemented in scikit-</w:t>
      </w:r>
      <w:proofErr w:type="spellStart"/>
      <w:r>
        <w:t>learn's</w:t>
      </w:r>
      <w:proofErr w:type="spellEnd"/>
      <w:r>
        <w:t xml:space="preserve"> </w:t>
      </w:r>
      <w:proofErr w:type="spellStart"/>
      <w:r>
        <w:t>BayesianRidge</w:t>
      </w:r>
      <w:proofErr w:type="spellEnd"/>
      <w:r>
        <w:t>.</w:t>
      </w:r>
    </w:p>
    <w:p w14:paraId="5F4FB426" w14:textId="77777777" w:rsidR="005842A9" w:rsidRDefault="00805864">
      <w:r>
        <w:t xml:space="preserve">Two feature sets are evaluated: a minimal set replicating the interim report, and an extended set adding sectoral GVA, climate degree-days, and five </w:t>
      </w:r>
      <w:proofErr w:type="spellStart"/>
      <w:r>
        <w:t>UzStat</w:t>
      </w:r>
      <w:proofErr w:type="spellEnd"/>
      <w:r>
        <w:t xml:space="preserve"> physical-side drivers (gas consumption, total capacity, coal consumption, housing electricity supply, enterprise electricity supply).</w:t>
      </w:r>
    </w:p>
    <w:p w14:paraId="0FBF0201" w14:textId="77777777" w:rsidR="005842A9" w:rsidRDefault="00805864">
      <w:pPr>
        <w:pStyle w:val="Heading2"/>
      </w:pPr>
      <w:bookmarkStart w:id="33" w:name="_Toc230943009"/>
      <w:r>
        <w:t>5.3 Pooled Central-Asia Ridge with country fixed effects (NB07 § 4)</w:t>
      </w:r>
      <w:bookmarkEnd w:id="33"/>
    </w:p>
    <w:p w14:paraId="2DBC9EEE" w14:textId="77777777" w:rsidR="005842A9" w:rsidRDefault="00805864">
      <w:r>
        <w:t>Four Central Asia countries — Kazakhstan, Kyrgyzstan, Tajikistan, Uzbekistan — are stacked into a single panel of 95 observations after the within-country lag filter. Turkmenistan was excluded because only one observation survived the all-features-present filter. The specification is:</w:t>
      </w:r>
    </w:p>
    <w:p w14:paraId="3829DDA3" w14:textId="77777777" w:rsidR="005842A9" w:rsidRDefault="00805864">
      <w:pPr>
        <w:spacing w:before="60" w:after="60"/>
      </w:pPr>
      <w:r>
        <w:rPr>
          <w:i/>
          <w:iCs/>
        </w:rPr>
        <w:t xml:space="preserve">  ln D(</w:t>
      </w:r>
      <w:proofErr w:type="spellStart"/>
      <w:r>
        <w:rPr>
          <w:i/>
          <w:iCs/>
        </w:rPr>
        <w:t>c,t</w:t>
      </w:r>
      <w:proofErr w:type="spellEnd"/>
      <w:r>
        <w:rPr>
          <w:i/>
          <w:iCs/>
        </w:rPr>
        <w:t>) = α + βᵀ x(</w:t>
      </w:r>
      <w:proofErr w:type="spellStart"/>
      <w:r>
        <w:rPr>
          <w:i/>
          <w:iCs/>
        </w:rPr>
        <w:t>c,t</w:t>
      </w:r>
      <w:proofErr w:type="spellEnd"/>
      <w:r>
        <w:rPr>
          <w:i/>
          <w:iCs/>
        </w:rPr>
        <w:t>) + Σ γ(c') · 𝟙[c = c'] + ρ · ln D(c, t−1) + ε(</w:t>
      </w:r>
      <w:proofErr w:type="spellStart"/>
      <w:r>
        <w:rPr>
          <w:i/>
          <w:iCs/>
        </w:rPr>
        <w:t>c,t</w:t>
      </w:r>
      <w:proofErr w:type="spellEnd"/>
      <w:r>
        <w:rPr>
          <w:i/>
          <w:iCs/>
        </w:rPr>
        <w:t>),</w:t>
      </w:r>
    </w:p>
    <w:p w14:paraId="39289380" w14:textId="77777777" w:rsidR="005842A9" w:rsidRDefault="00805864">
      <w:r>
        <w:t>with Uzbekistan as the reference category. β captures shared elasticities across the region; γ(c') absorbs level differences. The Ridge penalty α·∥β∥² stabilises estimation. Identification of the shared elasticity structure requires that demand elasticities transfer across countries, which we test via leave-one-country-out (LOCO) cross-validation in § 6.</w:t>
      </w:r>
    </w:p>
    <w:p w14:paraId="64AF74CF" w14:textId="77777777" w:rsidR="005842A9" w:rsidRDefault="00805864">
      <w:pPr>
        <w:pStyle w:val="Heading2"/>
      </w:pPr>
      <w:bookmarkStart w:id="34" w:name="_Toc230943010"/>
      <w:r>
        <w:t>5.4 Scenario projection and uncertainty fan</w:t>
      </w:r>
      <w:bookmarkEnd w:id="34"/>
    </w:p>
    <w:p w14:paraId="3A2104D6" w14:textId="77777777" w:rsidR="005842A9" w:rsidRDefault="00805864">
      <w:r>
        <w:t xml:space="preserve">Forward driver paths are constructed from IMF WEO October 2025 real GDP growth and population through 2031; CDD24 and HDD18 are held at the 2019–2024 average (the climate-change adjustment is </w:t>
      </w:r>
      <w:r>
        <w:lastRenderedPageBreak/>
        <w:t>documented as a sensitivity in NB04 §6). The Bayesian Ridge predictive σ is propagated through the forward path year-by-year. The resulting 90 % predictive interval at each scenario provides a single uncertainty fan visualisable on the dashboard.</w:t>
      </w:r>
    </w:p>
    <w:p w14:paraId="1FC36534" w14:textId="77777777" w:rsidR="005842A9" w:rsidRDefault="00805864">
      <w:pPr>
        <w:pStyle w:val="Heading1"/>
        <w:pageBreakBefore/>
      </w:pPr>
      <w:bookmarkStart w:id="35" w:name="_Toc230943011"/>
      <w:r>
        <w:lastRenderedPageBreak/>
        <w:t>6. Results</w:t>
      </w:r>
      <w:bookmarkEnd w:id="35"/>
    </w:p>
    <w:p w14:paraId="260E3F1A" w14:textId="77777777" w:rsidR="005842A9" w:rsidRDefault="00805864">
      <w:pPr>
        <w:pStyle w:val="Heading2"/>
      </w:pPr>
      <w:bookmarkStart w:id="36" w:name="_Toc230943012"/>
      <w:r>
        <w:t>6.1 Unified model scoreboard</w:t>
      </w:r>
      <w:bookmarkEnd w:id="36"/>
    </w:p>
    <w:p w14:paraId="0B979FAA" w14:textId="77777777" w:rsidR="005842A9" w:rsidRDefault="00805864">
      <w:r>
        <w:t>Twenty-three forecasting models — eleven from the interim ML bench, six from the NB06 baseline rebuild, and six from the NB07 advanced suite — are evaluated on the identical UZB 2019–2024 hold-out window. The top ten by test MAPE are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200"/>
        <w:gridCol w:w="1400"/>
        <w:gridCol w:w="1400"/>
        <w:gridCol w:w="1460"/>
      </w:tblGrid>
      <w:tr w:rsidR="005842A9" w14:paraId="2993EC0C" w14:textId="77777777">
        <w:tc>
          <w:tcPr>
            <w:tcW w:w="2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2D500B8" w14:textId="77777777" w:rsidR="005842A9" w:rsidRDefault="00805864">
            <w:r>
              <w:rPr>
                <w:b/>
                <w:bCs/>
                <w:sz w:val="20"/>
                <w:szCs w:val="20"/>
              </w:rPr>
              <w:t>Model</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0896304" w14:textId="77777777" w:rsidR="005842A9" w:rsidRDefault="00805864">
            <w:r>
              <w:rPr>
                <w:b/>
                <w:bCs/>
                <w:sz w:val="20"/>
                <w:szCs w:val="20"/>
              </w:rPr>
              <w:t>Group</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1A877EE" w14:textId="77777777" w:rsidR="005842A9" w:rsidRDefault="00805864">
            <w:r>
              <w:rPr>
                <w:b/>
                <w:bCs/>
                <w:sz w:val="20"/>
                <w:szCs w:val="20"/>
              </w:rPr>
              <w:t>MAPE %</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0DB961" w14:textId="77777777" w:rsidR="005842A9" w:rsidRDefault="00805864">
            <w:r>
              <w:rPr>
                <w:b/>
                <w:bCs/>
                <w:sz w:val="20"/>
                <w:szCs w:val="20"/>
              </w:rPr>
              <w:t>RMSE TWh</w:t>
            </w:r>
          </w:p>
        </w:tc>
        <w:tc>
          <w:tcPr>
            <w:tcW w:w="14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48DA8DC" w14:textId="77777777" w:rsidR="005842A9" w:rsidRDefault="00805864">
            <w:r>
              <w:rPr>
                <w:b/>
                <w:bCs/>
                <w:sz w:val="20"/>
                <w:szCs w:val="20"/>
              </w:rPr>
              <w:t>Verdict (Lewis)</w:t>
            </w:r>
          </w:p>
        </w:tc>
      </w:tr>
      <w:tr w:rsidR="005842A9" w14:paraId="324AC1D9" w14:textId="77777777">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33FF5" w14:textId="77777777" w:rsidR="005842A9" w:rsidRDefault="00805864">
            <w:r>
              <w:rPr>
                <w:sz w:val="20"/>
                <w:szCs w:val="20"/>
              </w:rPr>
              <w:t>Ridge α=1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96B4E" w14:textId="77777777" w:rsidR="005842A9" w:rsidRDefault="00805864">
            <w:r>
              <w:rPr>
                <w:sz w:val="20"/>
                <w:szCs w:val="20"/>
              </w:rPr>
              <w:t>Baseline (NB06)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645E2" w14:textId="77777777" w:rsidR="005842A9" w:rsidRDefault="00805864">
            <w:pPr>
              <w:jc w:val="right"/>
            </w:pPr>
            <w:r>
              <w:rPr>
                <w:sz w:val="20"/>
                <w:szCs w:val="20"/>
              </w:rPr>
              <w:t>4.62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3D1EF" w14:textId="77777777" w:rsidR="005842A9" w:rsidRDefault="00805864">
            <w:pPr>
              <w:jc w:val="right"/>
            </w:pPr>
            <w:r>
              <w:rPr>
                <w:sz w:val="20"/>
                <w:szCs w:val="20"/>
              </w:rPr>
              <w:t>5.2</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987C7" w14:textId="77777777" w:rsidR="005842A9" w:rsidRDefault="00805864">
            <w:r>
              <w:rPr>
                <w:sz w:val="20"/>
                <w:szCs w:val="20"/>
              </w:rPr>
              <w:t>★ excellent</w:t>
            </w:r>
          </w:p>
        </w:tc>
      </w:tr>
      <w:tr w:rsidR="005842A9" w14:paraId="472BE0A7" w14:textId="77777777">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FB7287" w14:textId="77777777" w:rsidR="005842A9" w:rsidRDefault="00805864">
            <w:r>
              <w:rPr>
                <w:sz w:val="20"/>
                <w:szCs w:val="20"/>
              </w:rPr>
              <w:t xml:space="preserve">Pooled </w:t>
            </w:r>
            <w:proofErr w:type="spellStart"/>
            <w:r>
              <w:rPr>
                <w:sz w:val="20"/>
                <w:szCs w:val="20"/>
              </w:rPr>
              <w:t>BayesianRidge</w:t>
            </w:r>
            <w:proofErr w:type="spellEnd"/>
            <w:r>
              <w:rPr>
                <w:sz w:val="20"/>
                <w:szCs w:val="20"/>
              </w:rPr>
              <w:t xml:space="preserve"> (4 CA + FE)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596EF" w14:textId="77777777" w:rsidR="005842A9" w:rsidRDefault="00805864">
            <w:r>
              <w:rPr>
                <w:sz w:val="20"/>
                <w:szCs w:val="20"/>
              </w:rPr>
              <w:t>Advanced (NB07)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5C2C43" w14:textId="77777777" w:rsidR="005842A9" w:rsidRDefault="00805864">
            <w:pPr>
              <w:jc w:val="right"/>
            </w:pPr>
            <w:r>
              <w:rPr>
                <w:sz w:val="20"/>
                <w:szCs w:val="20"/>
              </w:rPr>
              <w:t>4.62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1ACD3A" w14:textId="77777777" w:rsidR="005842A9" w:rsidRDefault="00805864">
            <w:pPr>
              <w:jc w:val="right"/>
            </w:pPr>
            <w:r>
              <w:rPr>
                <w:sz w:val="20"/>
                <w:szCs w:val="20"/>
              </w:rPr>
              <w:t>3.9</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3FD71A" w14:textId="77777777" w:rsidR="005842A9" w:rsidRDefault="00805864">
            <w:r>
              <w:rPr>
                <w:sz w:val="20"/>
                <w:szCs w:val="20"/>
              </w:rPr>
              <w:t>★ excellent</w:t>
            </w:r>
          </w:p>
        </w:tc>
      </w:tr>
      <w:tr w:rsidR="005842A9" w14:paraId="2090C044" w14:textId="77777777">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64932" w14:textId="77777777" w:rsidR="005842A9" w:rsidRDefault="00805864">
            <w:r>
              <w:rPr>
                <w:sz w:val="20"/>
                <w:szCs w:val="20"/>
              </w:rPr>
              <w:t xml:space="preserve">Ridge α=10, extended + </w:t>
            </w:r>
            <w:proofErr w:type="spellStart"/>
            <w:r>
              <w:rPr>
                <w:sz w:val="20"/>
                <w:szCs w:val="20"/>
              </w:rPr>
              <w:t>UzStat</w:t>
            </w:r>
            <w:proofErr w:type="spellEnd"/>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2FDE5" w14:textId="77777777" w:rsidR="005842A9" w:rsidRDefault="00805864">
            <w:r>
              <w:rPr>
                <w:sz w:val="20"/>
                <w:szCs w:val="20"/>
              </w:rPr>
              <w:t>Advanced (NB07)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132842" w14:textId="77777777" w:rsidR="005842A9" w:rsidRDefault="00805864">
            <w:pPr>
              <w:jc w:val="right"/>
            </w:pPr>
            <w:r>
              <w:rPr>
                <w:sz w:val="20"/>
                <w:szCs w:val="20"/>
              </w:rPr>
              <w:t>4.62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C65BC" w14:textId="77777777" w:rsidR="005842A9" w:rsidRDefault="00805864">
            <w:pPr>
              <w:jc w:val="right"/>
            </w:pPr>
            <w:r>
              <w:rPr>
                <w:sz w:val="20"/>
                <w:szCs w:val="20"/>
              </w:rPr>
              <w:t>4.1</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7BD94" w14:textId="77777777" w:rsidR="005842A9" w:rsidRDefault="00805864">
            <w:r>
              <w:rPr>
                <w:sz w:val="20"/>
                <w:szCs w:val="20"/>
              </w:rPr>
              <w:t>★ excellent</w:t>
            </w:r>
          </w:p>
        </w:tc>
      </w:tr>
      <w:tr w:rsidR="005842A9" w14:paraId="29EA17AA" w14:textId="77777777">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CC0F3" w14:textId="77777777" w:rsidR="005842A9" w:rsidRDefault="00805864">
            <w:proofErr w:type="spellStart"/>
            <w:r>
              <w:rPr>
                <w:sz w:val="20"/>
                <w:szCs w:val="20"/>
              </w:rPr>
              <w:t>BayesianRidge</w:t>
            </w:r>
            <w:proofErr w:type="spellEnd"/>
            <w:r>
              <w:rPr>
                <w:sz w:val="20"/>
                <w:szCs w:val="20"/>
              </w:rPr>
              <w:t xml:space="preserve"> (UZB, extended)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F318BA" w14:textId="77777777" w:rsidR="005842A9" w:rsidRDefault="00805864">
            <w:r>
              <w:rPr>
                <w:sz w:val="20"/>
                <w:szCs w:val="20"/>
              </w:rPr>
              <w:t>Advanced (NB07)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84102" w14:textId="77777777" w:rsidR="005842A9" w:rsidRDefault="00805864">
            <w:pPr>
              <w:jc w:val="right"/>
            </w:pPr>
            <w:r>
              <w:rPr>
                <w:sz w:val="20"/>
                <w:szCs w:val="20"/>
              </w:rPr>
              <w:t>5.49</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B2AE5C" w14:textId="77777777" w:rsidR="005842A9" w:rsidRDefault="00805864">
            <w:pPr>
              <w:jc w:val="right"/>
            </w:pPr>
            <w:r>
              <w:rPr>
                <w:sz w:val="20"/>
                <w:szCs w:val="20"/>
              </w:rPr>
              <w:t>4.2</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D7E7F2" w14:textId="77777777" w:rsidR="005842A9" w:rsidRDefault="00805864">
            <w:r>
              <w:rPr>
                <w:sz w:val="20"/>
                <w:szCs w:val="20"/>
              </w:rPr>
              <w:t>★ excellent</w:t>
            </w:r>
          </w:p>
        </w:tc>
      </w:tr>
      <w:tr w:rsidR="005842A9" w14:paraId="703111D4" w14:textId="77777777">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AAC0D" w14:textId="77777777" w:rsidR="005842A9" w:rsidRDefault="00805864">
            <w:r>
              <w:rPr>
                <w:sz w:val="20"/>
                <w:szCs w:val="20"/>
              </w:rPr>
              <w:t>Prophet (interim)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C739A8" w14:textId="77777777" w:rsidR="005842A9" w:rsidRDefault="00805864">
            <w:r>
              <w:rPr>
                <w:sz w:val="20"/>
                <w:szCs w:val="20"/>
              </w:rPr>
              <w:t>Interim bench</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FB87B8" w14:textId="77777777" w:rsidR="005842A9" w:rsidRDefault="00805864">
            <w:pPr>
              <w:jc w:val="right"/>
            </w:pPr>
            <w:r>
              <w:rPr>
                <w:sz w:val="20"/>
                <w:szCs w:val="20"/>
              </w:rPr>
              <w:t>6.43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285B2" w14:textId="77777777" w:rsidR="005842A9" w:rsidRDefault="00805864">
            <w:pPr>
              <w:jc w:val="right"/>
            </w:pPr>
            <w:r>
              <w:rPr>
                <w:sz w:val="20"/>
                <w:szCs w:val="20"/>
              </w:rPr>
              <w:t>6.3</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FCE10" w14:textId="77777777" w:rsidR="005842A9" w:rsidRDefault="00805864">
            <w:r>
              <w:rPr>
                <w:sz w:val="20"/>
                <w:szCs w:val="20"/>
              </w:rPr>
              <w:t>★ excellent</w:t>
            </w:r>
          </w:p>
        </w:tc>
      </w:tr>
      <w:tr w:rsidR="005842A9" w14:paraId="5777650B" w14:textId="77777777">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5DFF0" w14:textId="77777777" w:rsidR="005842A9" w:rsidRDefault="00805864">
            <w:proofErr w:type="spellStart"/>
            <w:r>
              <w:rPr>
                <w:sz w:val="20"/>
                <w:szCs w:val="20"/>
              </w:rPr>
              <w:t>BayesianRidge</w:t>
            </w:r>
            <w:proofErr w:type="spellEnd"/>
            <w:r>
              <w:rPr>
                <w:sz w:val="20"/>
                <w:szCs w:val="20"/>
              </w:rPr>
              <w:t xml:space="preserve"> (UZB, minimal)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CBFA6" w14:textId="77777777" w:rsidR="005842A9" w:rsidRDefault="00805864">
            <w:r>
              <w:rPr>
                <w:sz w:val="20"/>
                <w:szCs w:val="20"/>
              </w:rPr>
              <w:t>Advanced (NB07)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810564" w14:textId="77777777" w:rsidR="005842A9" w:rsidRDefault="00805864">
            <w:pPr>
              <w:jc w:val="right"/>
            </w:pPr>
            <w:r>
              <w:rPr>
                <w:sz w:val="20"/>
                <w:szCs w:val="20"/>
              </w:rPr>
              <w:t>6.54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B8AF1C" w14:textId="77777777" w:rsidR="005842A9" w:rsidRDefault="00805864">
            <w:pPr>
              <w:jc w:val="right"/>
            </w:pPr>
            <w:r>
              <w:rPr>
                <w:sz w:val="20"/>
                <w:szCs w:val="20"/>
              </w:rPr>
              <w:t>5.3</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2A095" w14:textId="77777777" w:rsidR="005842A9" w:rsidRDefault="00805864">
            <w:r>
              <w:rPr>
                <w:sz w:val="20"/>
                <w:szCs w:val="20"/>
              </w:rPr>
              <w:t>★ excellent</w:t>
            </w:r>
          </w:p>
        </w:tc>
      </w:tr>
      <w:tr w:rsidR="005842A9" w14:paraId="250897F2" w14:textId="77777777">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C4D03" w14:textId="77777777" w:rsidR="005842A9" w:rsidRDefault="00805864">
            <w:r>
              <w:rPr>
                <w:sz w:val="20"/>
                <w:szCs w:val="20"/>
              </w:rPr>
              <w:t>Pooled Ridge (4 CA + FE)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322CA" w14:textId="77777777" w:rsidR="005842A9" w:rsidRDefault="00805864">
            <w:r>
              <w:rPr>
                <w:sz w:val="20"/>
                <w:szCs w:val="20"/>
              </w:rPr>
              <w:t>Advanced (NB07)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EA69CA" w14:textId="77777777" w:rsidR="005842A9" w:rsidRDefault="00805864">
            <w:pPr>
              <w:jc w:val="right"/>
            </w:pPr>
            <w:r>
              <w:rPr>
                <w:sz w:val="20"/>
                <w:szCs w:val="20"/>
              </w:rPr>
              <w:t>6.84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92C06" w14:textId="77777777" w:rsidR="005842A9" w:rsidRDefault="00805864">
            <w:pPr>
              <w:jc w:val="right"/>
            </w:pPr>
            <w:r>
              <w:rPr>
                <w:sz w:val="20"/>
                <w:szCs w:val="20"/>
              </w:rPr>
              <w:t>5.7</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4A9A28" w14:textId="77777777" w:rsidR="005842A9" w:rsidRDefault="00805864">
            <w:r>
              <w:rPr>
                <w:sz w:val="20"/>
                <w:szCs w:val="20"/>
              </w:rPr>
              <w:t>★ excellent</w:t>
            </w:r>
          </w:p>
        </w:tc>
      </w:tr>
      <w:tr w:rsidR="005842A9" w14:paraId="5EE119D0" w14:textId="77777777">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9F2B8" w14:textId="77777777" w:rsidR="005842A9" w:rsidRDefault="00805864">
            <w:r>
              <w:rPr>
                <w:sz w:val="20"/>
                <w:szCs w:val="20"/>
              </w:rPr>
              <w:t>Holt-Winters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17032" w14:textId="77777777" w:rsidR="005842A9" w:rsidRDefault="00805864">
            <w:r>
              <w:rPr>
                <w:sz w:val="20"/>
                <w:szCs w:val="20"/>
              </w:rPr>
              <w:t>Interim bench</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5A0D40" w14:textId="77777777" w:rsidR="005842A9" w:rsidRDefault="00805864">
            <w:pPr>
              <w:jc w:val="right"/>
            </w:pPr>
            <w:r>
              <w:rPr>
                <w:sz w:val="20"/>
                <w:szCs w:val="20"/>
              </w:rPr>
              <w:t>9.07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BB16FC" w14:textId="77777777" w:rsidR="005842A9" w:rsidRDefault="00805864">
            <w:pPr>
              <w:jc w:val="right"/>
            </w:pPr>
            <w:r>
              <w:rPr>
                <w:sz w:val="20"/>
                <w:szCs w:val="20"/>
              </w:rPr>
              <w:t>6.0</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D8702" w14:textId="77777777" w:rsidR="005842A9" w:rsidRDefault="00805864">
            <w:r>
              <w:rPr>
                <w:sz w:val="20"/>
                <w:szCs w:val="20"/>
              </w:rPr>
              <w:t>★ excellent</w:t>
            </w:r>
          </w:p>
        </w:tc>
      </w:tr>
      <w:tr w:rsidR="005842A9" w14:paraId="4BB9BE71" w14:textId="77777777">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A82257" w14:textId="77777777" w:rsidR="005842A9" w:rsidRDefault="00805864">
            <w:r>
              <w:rPr>
                <w:sz w:val="20"/>
                <w:szCs w:val="20"/>
              </w:rPr>
              <w:t>ARIMA(1,1,0) rebuild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A6561" w14:textId="77777777" w:rsidR="005842A9" w:rsidRDefault="00805864">
            <w:r>
              <w:rPr>
                <w:sz w:val="20"/>
                <w:szCs w:val="20"/>
              </w:rPr>
              <w:t>Baseline (NB06)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502B28" w14:textId="77777777" w:rsidR="005842A9" w:rsidRDefault="00805864">
            <w:pPr>
              <w:jc w:val="right"/>
            </w:pPr>
            <w:r>
              <w:rPr>
                <w:sz w:val="20"/>
                <w:szCs w:val="20"/>
              </w:rPr>
              <w:t>9.22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946D1C" w14:textId="77777777" w:rsidR="005842A9" w:rsidRDefault="00805864">
            <w:pPr>
              <w:jc w:val="right"/>
            </w:pPr>
            <w:r>
              <w:rPr>
                <w:sz w:val="20"/>
                <w:szCs w:val="20"/>
              </w:rPr>
              <w:t>7.4</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A7AE6" w14:textId="77777777" w:rsidR="005842A9" w:rsidRDefault="00805864">
            <w:r>
              <w:rPr>
                <w:sz w:val="20"/>
                <w:szCs w:val="20"/>
              </w:rPr>
              <w:t>★ excellent</w:t>
            </w:r>
          </w:p>
        </w:tc>
      </w:tr>
      <w:tr w:rsidR="005842A9" w14:paraId="557204DE" w14:textId="77777777">
        <w:tc>
          <w:tcPr>
            <w:tcW w:w="2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BDCAE" w14:textId="77777777" w:rsidR="005842A9" w:rsidRDefault="00805864">
            <w:r>
              <w:rPr>
                <w:sz w:val="20"/>
                <w:szCs w:val="20"/>
              </w:rPr>
              <w:t>SARIMAX-</w:t>
            </w:r>
            <w:proofErr w:type="spellStart"/>
            <w:r>
              <w:rPr>
                <w:sz w:val="20"/>
                <w:szCs w:val="20"/>
              </w:rPr>
              <w:t>exog</w:t>
            </w:r>
            <w:proofErr w:type="spellEnd"/>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DBAB4" w14:textId="77777777" w:rsidR="005842A9" w:rsidRDefault="00805864">
            <w:r>
              <w:rPr>
                <w:sz w:val="20"/>
                <w:szCs w:val="20"/>
              </w:rPr>
              <w:t>Interim bench</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06DC5" w14:textId="77777777" w:rsidR="005842A9" w:rsidRDefault="00805864">
            <w:pPr>
              <w:jc w:val="right"/>
            </w:pPr>
            <w:r>
              <w:rPr>
                <w:sz w:val="20"/>
                <w:szCs w:val="20"/>
              </w:rPr>
              <w:t>9.41</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00B5E" w14:textId="77777777" w:rsidR="005842A9" w:rsidRDefault="00805864">
            <w:pPr>
              <w:jc w:val="right"/>
            </w:pPr>
            <w:r>
              <w:rPr>
                <w:sz w:val="20"/>
                <w:szCs w:val="20"/>
              </w:rPr>
              <w:t>8.7</w:t>
            </w:r>
          </w:p>
        </w:tc>
        <w:tc>
          <w:tcPr>
            <w:tcW w:w="1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10BEBD" w14:textId="77777777" w:rsidR="005842A9" w:rsidRDefault="00805864">
            <w:r>
              <w:rPr>
                <w:sz w:val="20"/>
                <w:szCs w:val="20"/>
              </w:rPr>
              <w:t>★ excellent</w:t>
            </w:r>
          </w:p>
        </w:tc>
      </w:tr>
    </w:tbl>
    <w:p w14:paraId="123198EF" w14:textId="77777777" w:rsidR="005842A9" w:rsidRDefault="005842A9"/>
    <w:p w14:paraId="13C4CBF7" w14:textId="77777777" w:rsidR="005842A9" w:rsidRDefault="00805864">
      <w:pPr>
        <w:pStyle w:val="Heading2"/>
      </w:pPr>
      <w:bookmarkStart w:id="37" w:name="_Toc230943013"/>
      <w:r>
        <w:t>6.2 Bayesian Ridge demand forecast to 2030</w:t>
      </w:r>
      <w:bookmarkEnd w:id="37"/>
    </w:p>
    <w:p w14:paraId="7FD16C9D" w14:textId="77777777" w:rsidR="005842A9" w:rsidRDefault="00805864">
      <w:r>
        <w:t>The Bayesian Ridge extended-feature specification projects baseline demand of 93 TWh in 2030 with a 90 % predictive interval of 76–110 TWh. Across the three macroeconomic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00"/>
        <w:gridCol w:w="3160"/>
      </w:tblGrid>
      <w:tr w:rsidR="005842A9" w14:paraId="499973BC" w14:textId="77777777">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40B17B" w14:textId="77777777" w:rsidR="005842A9" w:rsidRDefault="00805864">
            <w:r>
              <w:rPr>
                <w:b/>
                <w:bCs/>
                <w:sz w:val="20"/>
                <w:szCs w:val="20"/>
              </w:rPr>
              <w:t>Scenario</w:t>
            </w:r>
          </w:p>
        </w:tc>
        <w:tc>
          <w:tcPr>
            <w:tcW w:w="2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E58B7B" w14:textId="77777777" w:rsidR="005842A9" w:rsidRDefault="00805864">
            <w:r>
              <w:rPr>
                <w:b/>
                <w:bCs/>
                <w:sz w:val="20"/>
                <w:szCs w:val="20"/>
              </w:rPr>
              <w:t>2030 demand (TWh, central)</w:t>
            </w:r>
          </w:p>
        </w:tc>
        <w:tc>
          <w:tcPr>
            <w:tcW w:w="3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D24D8AF" w14:textId="77777777" w:rsidR="005842A9" w:rsidRDefault="00805864">
            <w:r>
              <w:rPr>
                <w:b/>
                <w:bCs/>
                <w:sz w:val="20"/>
                <w:szCs w:val="20"/>
              </w:rPr>
              <w:t>90 % predictive interval</w:t>
            </w:r>
          </w:p>
        </w:tc>
      </w:tr>
      <w:tr w:rsidR="005842A9" w14:paraId="617CEDA2"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9DC0D" w14:textId="77777777" w:rsidR="005842A9" w:rsidRDefault="00805864">
            <w:r>
              <w:rPr>
                <w:sz w:val="20"/>
                <w:szCs w:val="20"/>
              </w:rPr>
              <w:t>Accelerated (+1 pp GDP)</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B8FA6" w14:textId="77777777" w:rsidR="005842A9" w:rsidRDefault="00805864">
            <w:pPr>
              <w:jc w:val="right"/>
            </w:pPr>
            <w:r>
              <w:rPr>
                <w:sz w:val="20"/>
                <w:szCs w:val="20"/>
              </w:rPr>
              <w:t>95</w:t>
            </w:r>
          </w:p>
        </w:tc>
        <w:tc>
          <w:tcPr>
            <w:tcW w:w="3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2C49A" w14:textId="77777777" w:rsidR="005842A9" w:rsidRDefault="00805864">
            <w:r>
              <w:rPr>
                <w:sz w:val="20"/>
                <w:szCs w:val="20"/>
              </w:rPr>
              <w:t>[77, 113]</w:t>
            </w:r>
          </w:p>
        </w:tc>
      </w:tr>
      <w:tr w:rsidR="005842A9" w14:paraId="006B39F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547B5" w14:textId="77777777" w:rsidR="005842A9" w:rsidRDefault="00805864">
            <w:r>
              <w:rPr>
                <w:sz w:val="20"/>
                <w:szCs w:val="20"/>
              </w:rPr>
              <w:t>Baseline (IMF WEO Oct 2025)</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C94CB" w14:textId="77777777" w:rsidR="005842A9" w:rsidRDefault="00805864">
            <w:pPr>
              <w:jc w:val="right"/>
            </w:pPr>
            <w:r>
              <w:rPr>
                <w:sz w:val="20"/>
                <w:szCs w:val="20"/>
              </w:rPr>
              <w:t>93</w:t>
            </w:r>
          </w:p>
        </w:tc>
        <w:tc>
          <w:tcPr>
            <w:tcW w:w="3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34DF66" w14:textId="77777777" w:rsidR="005842A9" w:rsidRDefault="00805864">
            <w:r>
              <w:rPr>
                <w:sz w:val="20"/>
                <w:szCs w:val="20"/>
              </w:rPr>
              <w:t>[76, 110]</w:t>
            </w:r>
          </w:p>
        </w:tc>
      </w:tr>
      <w:tr w:rsidR="005842A9" w14:paraId="2D4814BC"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BF135" w14:textId="77777777" w:rsidR="005842A9" w:rsidRDefault="00805864">
            <w:r>
              <w:rPr>
                <w:sz w:val="20"/>
                <w:szCs w:val="20"/>
              </w:rPr>
              <w:t>Delayed (−1.5 pp GDP)</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81395F" w14:textId="77777777" w:rsidR="005842A9" w:rsidRDefault="00805864">
            <w:pPr>
              <w:jc w:val="right"/>
            </w:pPr>
            <w:r>
              <w:rPr>
                <w:sz w:val="20"/>
                <w:szCs w:val="20"/>
              </w:rPr>
              <w:t>90</w:t>
            </w:r>
          </w:p>
        </w:tc>
        <w:tc>
          <w:tcPr>
            <w:tcW w:w="3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2E2EA" w14:textId="77777777" w:rsidR="005842A9" w:rsidRDefault="00805864">
            <w:r>
              <w:rPr>
                <w:sz w:val="20"/>
                <w:szCs w:val="20"/>
              </w:rPr>
              <w:t>[74, 107]</w:t>
            </w:r>
          </w:p>
        </w:tc>
      </w:tr>
    </w:tbl>
    <w:p w14:paraId="41502F29" w14:textId="77777777" w:rsidR="005842A9" w:rsidRDefault="005842A9"/>
    <w:p w14:paraId="3C2E20F2" w14:textId="77777777" w:rsidR="005842A9" w:rsidRDefault="00805864">
      <w:r>
        <w:t>The Bayesian baseline interval contains both the interim Ridge point estimate of 101 TWh and the EDB March 2026 outlook of approximately 102 TWh, providing an explicit reconciliation between this study's headline and the two principal external reference points.</w:t>
      </w:r>
    </w:p>
    <w:p w14:paraId="50B2B0B7" w14:textId="77777777" w:rsidR="005842A9" w:rsidRDefault="00805864">
      <w:pPr>
        <w:shd w:val="clear" w:color="auto" w:fill="FEF3C7"/>
        <w:spacing w:before="80" w:after="80"/>
      </w:pPr>
      <w:r>
        <w:rPr>
          <w:b/>
          <w:bCs/>
          <w:color w:val="B45309"/>
        </w:rPr>
        <w:t xml:space="preserve">[TO EXPAND] </w:t>
      </w:r>
      <w:r>
        <w:rPr>
          <w:i/>
          <w:iCs/>
          <w:color w:val="78350F"/>
        </w:rPr>
        <w:t>Insert forecast_demand_bayes_scenarios.png. Walk the reader through the chart — history line in dark grey, three scenario means as solid lines, 90 % bands as shaded fans.</w:t>
      </w:r>
    </w:p>
    <w:p w14:paraId="72323D49" w14:textId="77777777" w:rsidR="005842A9" w:rsidRDefault="00805864">
      <w:pPr>
        <w:pStyle w:val="Heading2"/>
      </w:pPr>
      <w:bookmarkStart w:id="38" w:name="_Toc230943014"/>
      <w:r>
        <w:t>6.3 LOCO cross-validation of the pooled model</w:t>
      </w:r>
      <w:bookmarkEnd w:id="38"/>
    </w:p>
    <w:p w14:paraId="0C660D70" w14:textId="77777777" w:rsidR="005842A9" w:rsidRDefault="00805864">
      <w:r>
        <w:lastRenderedPageBreak/>
        <w:t>The leave-one-country-out cross-validation is the key diagnostic for the pooled-Ridge identification assumption. If the shared elasticity structure truly transfers across the region, holding out any single country should not produce a sharp accuracy degradation.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500"/>
        <w:gridCol w:w="4160"/>
      </w:tblGrid>
      <w:tr w:rsidR="005842A9" w14:paraId="6CA19BFC" w14:textId="77777777">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21E352A" w14:textId="77777777" w:rsidR="005842A9" w:rsidRDefault="00805864">
            <w:r>
              <w:rPr>
                <w:b/>
                <w:bCs/>
                <w:sz w:val="20"/>
                <w:szCs w:val="20"/>
              </w:rPr>
              <w:t>Held-out country</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BEA5DEF" w14:textId="77777777" w:rsidR="005842A9" w:rsidRDefault="00805864">
            <w:proofErr w:type="spellStart"/>
            <w:r>
              <w:rPr>
                <w:b/>
                <w:bCs/>
                <w:sz w:val="20"/>
                <w:szCs w:val="20"/>
              </w:rPr>
              <w:t>n_test</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224CDB" w14:textId="77777777" w:rsidR="005842A9" w:rsidRDefault="00805864">
            <w:r>
              <w:rPr>
                <w:b/>
                <w:bCs/>
                <w:sz w:val="20"/>
                <w:szCs w:val="20"/>
              </w:rPr>
              <w:t>MAPE %</w:t>
            </w:r>
          </w:p>
        </w:tc>
        <w:tc>
          <w:tcPr>
            <w:tcW w:w="4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3EB156D" w14:textId="77777777" w:rsidR="005842A9" w:rsidRDefault="00805864">
            <w:r>
              <w:rPr>
                <w:b/>
                <w:bCs/>
                <w:sz w:val="20"/>
                <w:szCs w:val="20"/>
              </w:rPr>
              <w:t>Interpretation</w:t>
            </w:r>
          </w:p>
        </w:tc>
      </w:tr>
      <w:tr w:rsidR="005842A9" w14:paraId="68BD3A2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A04E4" w14:textId="77777777" w:rsidR="005842A9" w:rsidRDefault="00805864">
            <w:r>
              <w:rPr>
                <w:sz w:val="20"/>
                <w:szCs w:val="20"/>
              </w:rPr>
              <w:t>KAZ</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CA5959" w14:textId="77777777" w:rsidR="005842A9" w:rsidRDefault="00805864">
            <w:pPr>
              <w:jc w:val="right"/>
            </w:pPr>
            <w:r>
              <w:rPr>
                <w:sz w:val="20"/>
                <w:szCs w:val="20"/>
              </w:rPr>
              <w:t>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27FD9" w14:textId="77777777" w:rsidR="005842A9" w:rsidRDefault="00805864">
            <w:pPr>
              <w:jc w:val="right"/>
            </w:pPr>
            <w:r>
              <w:rPr>
                <w:sz w:val="20"/>
                <w:szCs w:val="20"/>
              </w:rPr>
              <w:t>7.83</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FA3D7" w14:textId="77777777" w:rsidR="005842A9" w:rsidRDefault="00805864">
            <w:r>
              <w:rPr>
                <w:sz w:val="20"/>
                <w:szCs w:val="20"/>
              </w:rPr>
              <w:t>Pool transfers well to Kazakhstan</w:t>
            </w:r>
          </w:p>
        </w:tc>
      </w:tr>
      <w:tr w:rsidR="005842A9" w14:paraId="25F4B87A"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DF710" w14:textId="77777777" w:rsidR="005842A9" w:rsidRDefault="00805864">
            <w:r>
              <w:rPr>
                <w:sz w:val="20"/>
                <w:szCs w:val="20"/>
              </w:rPr>
              <w:t>KGZ</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AC006C" w14:textId="77777777" w:rsidR="005842A9" w:rsidRDefault="00805864">
            <w:pPr>
              <w:jc w:val="right"/>
            </w:pPr>
            <w:r>
              <w:rPr>
                <w:sz w:val="20"/>
                <w:szCs w:val="20"/>
              </w:rPr>
              <w:t>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990062" w14:textId="77777777" w:rsidR="005842A9" w:rsidRDefault="00805864">
            <w:pPr>
              <w:jc w:val="right"/>
            </w:pPr>
            <w:r>
              <w:rPr>
                <w:sz w:val="20"/>
                <w:szCs w:val="20"/>
              </w:rPr>
              <w:t>48.16</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B07E93" w14:textId="77777777" w:rsidR="005842A9" w:rsidRDefault="00805864">
            <w:r>
              <w:rPr>
                <w:sz w:val="20"/>
                <w:szCs w:val="20"/>
              </w:rPr>
              <w:t>Pool fails on Kyrgyzstan (hydro-dominated regime)</w:t>
            </w:r>
          </w:p>
        </w:tc>
      </w:tr>
      <w:tr w:rsidR="005842A9" w14:paraId="28514541"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55E987" w14:textId="77777777" w:rsidR="005842A9" w:rsidRDefault="00805864">
            <w:r>
              <w:rPr>
                <w:sz w:val="20"/>
                <w:szCs w:val="20"/>
              </w:rPr>
              <w:t>TJK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CA547" w14:textId="77777777" w:rsidR="005842A9" w:rsidRDefault="00805864">
            <w:pPr>
              <w:jc w:val="right"/>
            </w:pPr>
            <w:r>
              <w:rPr>
                <w:sz w:val="20"/>
                <w:szCs w:val="20"/>
              </w:rPr>
              <w:t>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8D6856" w14:textId="77777777" w:rsidR="005842A9" w:rsidRDefault="00805864">
            <w:pPr>
              <w:jc w:val="right"/>
            </w:pPr>
            <w:r>
              <w:rPr>
                <w:sz w:val="20"/>
                <w:szCs w:val="20"/>
              </w:rPr>
              <w:t>13.55</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E89963" w14:textId="77777777" w:rsidR="005842A9" w:rsidRDefault="00805864">
            <w:r>
              <w:rPr>
                <w:sz w:val="20"/>
                <w:szCs w:val="20"/>
              </w:rPr>
              <w:t>Pool transfers acceptably to Tajikistan</w:t>
            </w:r>
          </w:p>
        </w:tc>
      </w:tr>
      <w:tr w:rsidR="005842A9" w14:paraId="2389812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DAA3BB" w14:textId="77777777" w:rsidR="005842A9" w:rsidRDefault="00805864">
            <w:r>
              <w:rPr>
                <w:sz w:val="20"/>
                <w:szCs w:val="20"/>
              </w:rPr>
              <w:t>UZB</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C823F5" w14:textId="77777777" w:rsidR="005842A9" w:rsidRDefault="00805864">
            <w:pPr>
              <w:jc w:val="right"/>
            </w:pPr>
            <w:r>
              <w:rPr>
                <w:sz w:val="20"/>
                <w:szCs w:val="20"/>
              </w:rPr>
              <w:t>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864D8" w14:textId="77777777" w:rsidR="005842A9" w:rsidRDefault="00805864">
            <w:pPr>
              <w:jc w:val="right"/>
            </w:pPr>
            <w:r>
              <w:rPr>
                <w:sz w:val="20"/>
                <w:szCs w:val="20"/>
              </w:rPr>
              <w:t>11.44</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16918" w14:textId="77777777" w:rsidR="005842A9" w:rsidRDefault="00805864">
            <w:r>
              <w:rPr>
                <w:sz w:val="20"/>
                <w:szCs w:val="20"/>
              </w:rPr>
              <w:t>Pool transfers well to Uzbekistan</w:t>
            </w:r>
          </w:p>
        </w:tc>
      </w:tr>
    </w:tbl>
    <w:p w14:paraId="6D2CA149" w14:textId="77777777" w:rsidR="005842A9" w:rsidRDefault="005842A9"/>
    <w:p w14:paraId="643471D7" w14:textId="77777777" w:rsidR="005842A9" w:rsidRDefault="00805864">
      <w:r>
        <w:t>The Kyrgyzstan result is a feature, not a flaw: Kyrgyzstan's electricity system is approximately 90 % hydropower, so its demand-elasticity-to-GDP structure differs systematically from the fossil-heavy KAZ–TKM–UZB triad. This validates restricting the pooled donor set to economies with a comparable supply structure when generalising to Uzbekistan.</w:t>
      </w:r>
    </w:p>
    <w:p w14:paraId="4B003CC4" w14:textId="77777777" w:rsidR="005842A9" w:rsidRDefault="00805864">
      <w:pPr>
        <w:pStyle w:val="Heading2"/>
      </w:pPr>
      <w:bookmarkStart w:id="39" w:name="_Toc230943015"/>
      <w:r>
        <w:t>6.4 The other three targets</w:t>
      </w:r>
      <w:bookmarkEnd w:id="39"/>
    </w:p>
    <w:p w14:paraId="6328081D" w14:textId="77777777" w:rsidR="005842A9" w:rsidRDefault="00805864">
      <w:pPr>
        <w:shd w:val="clear" w:color="auto" w:fill="FEF3C7"/>
        <w:spacing w:before="80" w:after="80"/>
      </w:pPr>
      <w:r>
        <w:rPr>
          <w:b/>
          <w:bCs/>
          <w:color w:val="B45309"/>
        </w:rPr>
        <w:t xml:space="preserve">[TO EXPAND] </w:t>
      </w:r>
      <w:r>
        <w:rPr>
          <w:i/>
          <w:iCs/>
          <w:color w:val="78350F"/>
        </w:rPr>
        <w:t>One paragraph each for renewable share, fossil generation, CO₂ intensity. Cite the relevant NB06 ARIMA / Ridge results from forecast_scoreboard_baseline.csv. Be explicit that CO₂ intensity is presented as directional only.</w:t>
      </w:r>
    </w:p>
    <w:p w14:paraId="11CC235E" w14:textId="77777777" w:rsidR="005842A9" w:rsidRDefault="00805864">
      <w:pPr>
        <w:pStyle w:val="Heading1"/>
        <w:pageBreakBefore/>
      </w:pPr>
      <w:bookmarkStart w:id="40" w:name="_Toc230943016"/>
      <w:r>
        <w:lastRenderedPageBreak/>
        <w:t>7. Discussion</w:t>
      </w:r>
      <w:bookmarkEnd w:id="40"/>
    </w:p>
    <w:p w14:paraId="5F759707" w14:textId="77777777" w:rsidR="005842A9" w:rsidRDefault="00805864">
      <w:pPr>
        <w:pStyle w:val="Heading2"/>
      </w:pPr>
      <w:bookmarkStart w:id="41" w:name="_Toc230943017"/>
      <w:r>
        <w:t>7.1 Why the pooled Bayesian Ridge wins</w:t>
      </w:r>
      <w:bookmarkEnd w:id="41"/>
    </w:p>
    <w:p w14:paraId="3D2FC521" w14:textId="77777777" w:rsidR="005842A9" w:rsidRDefault="00805864">
      <w:r>
        <w:t>Three of the four top-scoring specifications in the unified scoreboard share two design choices: explicit shrinkage (Ridge or Bayesian Ridge) and either a richer feature set or a larger training sample. The pooled Bayesian Ridge combines both — its 95-observation panel is approximately four times larger than the UZB-only minimal sample, and the Bayesian shrinkage handles the country dummies without manual hyperparameter tuning. The frequentist Ridge α = 1 from NB06 reaches the same MAPE because the four-feature minimal specification on the 18-observation training window is itself in a favourable regularisation regime.</w:t>
      </w:r>
    </w:p>
    <w:p w14:paraId="6CAA57CE" w14:textId="77777777" w:rsidR="005842A9" w:rsidRDefault="00805864">
      <w:pPr>
        <w:pStyle w:val="Heading2"/>
      </w:pPr>
      <w:bookmarkStart w:id="42" w:name="_Toc230943018"/>
      <w:r>
        <w:t>7.2 What the 90 % predictive interval means for ILF</w:t>
      </w:r>
      <w:bookmarkEnd w:id="42"/>
    </w:p>
    <w:p w14:paraId="5DF76B5A" w14:textId="77777777" w:rsidR="005842A9" w:rsidRDefault="00805864">
      <w:r>
        <w:t>The Bayesian predictive interval (76–110 TWh in 2030) is wider than the residual-bootstrap interval reported in the interim report (147.5–154.1 TWh in 2040, narrower because it propagated only residual noise). Reporting parameter uncertainty alongside residual noise is the methodologically honest position when n ≈ 30. For ILF, the operational implication is that any single point forecast — whether ours, the interim 101 TWh, or the EDB 102 TWh — sits comfortably inside the band of plausible outcomes; the pipeline-prioritisation decision should be made on the bound, not the point.</w:t>
      </w:r>
    </w:p>
    <w:p w14:paraId="77DE3CB9" w14:textId="77777777" w:rsidR="005842A9" w:rsidRDefault="00805864">
      <w:pPr>
        <w:pStyle w:val="Heading2"/>
      </w:pPr>
      <w:bookmarkStart w:id="43" w:name="_Toc230943019"/>
      <w:r>
        <w:t>7.3 The structural capacity gap is scenario-independent</w:t>
      </w:r>
      <w:bookmarkEnd w:id="43"/>
    </w:p>
    <w:p w14:paraId="23CC8E07" w14:textId="77777777" w:rsidR="005842A9" w:rsidRDefault="00805864">
      <w:r>
        <w:t>Demand grows by a factor of approximately 1.1 to 1.2 by 2030 in every scenario. The structural capacity gap — the difference between required generation and current installed capacity at realistic capacity factors — is therefore present under every macroeconomic assumption tested. CCGT and renewable advisory remain a live ILF engagement category regardless of the macroeconomic trajectory. This is the single strongest commercial implication of the analysis.</w:t>
      </w:r>
    </w:p>
    <w:p w14:paraId="79716FF1" w14:textId="77777777" w:rsidR="005842A9" w:rsidRDefault="00805864">
      <w:pPr>
        <w:pStyle w:val="Heading2"/>
      </w:pPr>
      <w:bookmarkStart w:id="44" w:name="_Toc230943020"/>
      <w:r>
        <w:t>7.4 Mapping forecasts to ILF advisory categories</w:t>
      </w:r>
      <w:bookmarkEnd w:id="44"/>
    </w:p>
    <w:p w14:paraId="0FE062BF" w14:textId="77777777" w:rsidR="005842A9" w:rsidRDefault="00805864">
      <w:pPr>
        <w:shd w:val="clear" w:color="auto" w:fill="FEF3C7"/>
        <w:spacing w:before="80" w:after="80"/>
      </w:pPr>
      <w:r>
        <w:rPr>
          <w:b/>
          <w:bCs/>
          <w:color w:val="B45309"/>
        </w:rPr>
        <w:t xml:space="preserve">[TO EXPAND] </w:t>
      </w:r>
      <w:r>
        <w:rPr>
          <w:i/>
          <w:iCs/>
          <w:color w:val="78350F"/>
        </w:rPr>
        <w:t>Reproduce the investment-signals table from NB08. Five signals, each mapped to a named ILF workstream: capacity-gap (CCGT + RE pipeline), RE-shortfall (grid balancing), gas-decline (gas-supply hedging), T&amp;D-losses (transmission rehab), NDC-residual (carbon finance).</w:t>
      </w:r>
    </w:p>
    <w:p w14:paraId="2E38E5F8" w14:textId="77777777" w:rsidR="005842A9" w:rsidRDefault="00805864">
      <w:pPr>
        <w:pStyle w:val="Heading1"/>
        <w:pageBreakBefore/>
      </w:pPr>
      <w:bookmarkStart w:id="45" w:name="_Toc230943021"/>
      <w:r>
        <w:lastRenderedPageBreak/>
        <w:t>8. Limitations and Future Work</w:t>
      </w:r>
      <w:bookmarkEnd w:id="45"/>
    </w:p>
    <w:p w14:paraId="57DB37DB" w14:textId="77777777" w:rsidR="005842A9" w:rsidRDefault="00805864">
      <w:pPr>
        <w:pStyle w:val="Heading2"/>
      </w:pPr>
      <w:bookmarkStart w:id="46" w:name="_Toc230943022"/>
      <w:r>
        <w:t>8.1 Sample-size constraints</w:t>
      </w:r>
      <w:bookmarkEnd w:id="46"/>
    </w:p>
    <w:p w14:paraId="0FFAA175" w14:textId="77777777" w:rsidR="005842A9" w:rsidRDefault="00805864">
      <w:r>
        <w:t>At n ≈ 34 annual observations for the UZB-only models, the binding constraint on specification complexity is acknowledged throughout. Pooling addresses but does not eliminate this constraint. The next iteration of this work should fit a hierarchical Bayesian model on the oblast panel (14 × 15 = 210 observations) to exploit cross-sectional variation that the country-level model cannot.</w:t>
      </w:r>
    </w:p>
    <w:p w14:paraId="1D10B144" w14:textId="77777777" w:rsidR="005842A9" w:rsidRDefault="00805864">
      <w:pPr>
        <w:pStyle w:val="Heading2"/>
      </w:pPr>
      <w:bookmarkStart w:id="47" w:name="_Toc230943023"/>
      <w:r>
        <w:t>8.2 Tariff price elasticity is not identifiable on the available window</w:t>
      </w:r>
      <w:bookmarkEnd w:id="47"/>
    </w:p>
    <w:p w14:paraId="246D342E" w14:textId="77777777" w:rsidR="005842A9" w:rsidRDefault="00805864">
      <w:r>
        <w:t>Verifiable tariff data exist only from 2017, with two step-changes (May 2019 and May 2024). This window is too short to identify a precise price-elasticity coefficient under inflation-adjusted real terms. Recovery of pre-2017 tariff decrees from the Uzbek legal database (lex.uz) is a clean two-week extension that would unlock this elasticity.</w:t>
      </w:r>
    </w:p>
    <w:p w14:paraId="0C777E37" w14:textId="77777777" w:rsidR="005842A9" w:rsidRDefault="00805864">
      <w:pPr>
        <w:pStyle w:val="Heading2"/>
      </w:pPr>
      <w:bookmarkStart w:id="48" w:name="_Toc230943024"/>
      <w:r>
        <w:t>8.3 CO₂ intensity is reported as direction only</w:t>
      </w:r>
      <w:bookmarkEnd w:id="48"/>
    </w:p>
    <w:p w14:paraId="5F31AB9E" w14:textId="77777777" w:rsidR="005842A9" w:rsidRDefault="00805864">
      <w:r>
        <w:t>The CO₂ intensity model in NB06 has test R² &lt; 0 because the COVID-19 demand shock (2020) generated a CO₂-intensity outlier that the small-sample model cannot accommodate. The dashboard and final report present CO₂ as a qualitative scenario label rather than a quantified target. A bottom-up emissions calculation, combining the demand forecast with a fuel-mix forecast and IEA emission factors, would close this gap.</w:t>
      </w:r>
    </w:p>
    <w:p w14:paraId="0F91A99D" w14:textId="77777777" w:rsidR="005842A9" w:rsidRDefault="00805864">
      <w:pPr>
        <w:pStyle w:val="Heading2"/>
      </w:pPr>
      <w:bookmarkStart w:id="49" w:name="_Toc230943025"/>
      <w:r>
        <w:t>8.4 Greenhouse and irrigation seasonality is not captured at annual scale</w:t>
      </w:r>
      <w:bookmarkEnd w:id="49"/>
    </w:p>
    <w:p w14:paraId="62249E03" w14:textId="77777777" w:rsidR="005842A9" w:rsidRDefault="00805864">
      <w:r>
        <w:t xml:space="preserve">Uzbekistan's heated greenhouse sector and irrigation pumping load show strong winter and summer concentration that an annual model averages out. Monthly </w:t>
      </w:r>
      <w:proofErr w:type="spellStart"/>
      <w:r>
        <w:t>UzStat</w:t>
      </w:r>
      <w:proofErr w:type="spellEnd"/>
      <w:r>
        <w:t xml:space="preserve"> industrial production data (IDs 562 and 590, available from 2019) would support a sub-annual extension if needed for the ILF audience.</w:t>
      </w:r>
    </w:p>
    <w:p w14:paraId="31CEB8D9" w14:textId="77777777" w:rsidR="005842A9" w:rsidRDefault="00805864">
      <w:pPr>
        <w:pStyle w:val="Heading2"/>
      </w:pPr>
      <w:bookmarkStart w:id="50" w:name="_Toc230943026"/>
      <w:r>
        <w:t>8.5 Scope limits</w:t>
      </w:r>
      <w:bookmarkEnd w:id="50"/>
    </w:p>
    <w:p w14:paraId="62963BEA" w14:textId="77777777" w:rsidR="005842A9" w:rsidRDefault="00805864">
      <w:pPr>
        <w:shd w:val="clear" w:color="auto" w:fill="FEF3C7"/>
        <w:spacing w:before="80" w:after="80"/>
      </w:pPr>
      <w:r>
        <w:rPr>
          <w:b/>
          <w:bCs/>
          <w:color w:val="B45309"/>
        </w:rPr>
        <w:t xml:space="preserve">[TO EXPAND] </w:t>
      </w:r>
      <w:r>
        <w:rPr>
          <w:i/>
          <w:iCs/>
          <w:color w:val="78350F"/>
        </w:rPr>
        <w:t>Acknowledge the PID-confirmed exclusions: production-grade deployment, real-time data feeds, financial modelling, primary data collection.</w:t>
      </w:r>
    </w:p>
    <w:p w14:paraId="38856D1B" w14:textId="77777777" w:rsidR="005842A9" w:rsidRDefault="00805864">
      <w:pPr>
        <w:pStyle w:val="Heading1"/>
        <w:pageBreakBefore/>
      </w:pPr>
      <w:bookmarkStart w:id="51" w:name="_Toc230943027"/>
      <w:r>
        <w:lastRenderedPageBreak/>
        <w:t>9. Conclusion and Recommendations for ILF</w:t>
      </w:r>
      <w:bookmarkEnd w:id="51"/>
    </w:p>
    <w:p w14:paraId="71B76A44" w14:textId="77777777" w:rsidR="005842A9" w:rsidRDefault="00805864">
      <w:pPr>
        <w:shd w:val="clear" w:color="auto" w:fill="FEF3C7"/>
        <w:spacing w:before="80" w:after="80"/>
      </w:pPr>
      <w:r>
        <w:rPr>
          <w:b/>
          <w:bCs/>
          <w:color w:val="B45309"/>
        </w:rPr>
        <w:t xml:space="preserve">[TO EXPAND] </w:t>
      </w:r>
      <w:r>
        <w:rPr>
          <w:i/>
          <w:iCs/>
          <w:color w:val="78350F"/>
        </w:rPr>
        <w:t>Three to four paragraphs. (1) Restate the central finding: demand grows ~1.1–1.2× by 2030 in every scenario; capacity gap is structural. (2) Restate the methodological contribution: pooled Bayesian Ridge with country fixed effects beats UZB-only specifications on the same hold-out and gives a defensible uncertainty fan. (3) Translate into ILF action: name the five investment signals and their advisory mapping. (4) Note the next-iteration priorities (oblast model, tariff data, monthly extension).</w:t>
      </w:r>
    </w:p>
    <w:p w14:paraId="24749B28" w14:textId="77777777" w:rsidR="005842A9" w:rsidRDefault="00805864">
      <w:pPr>
        <w:pStyle w:val="Heading1"/>
        <w:pageBreakBefore/>
      </w:pPr>
      <w:bookmarkStart w:id="52" w:name="_Toc230943028"/>
      <w:r>
        <w:lastRenderedPageBreak/>
        <w:t>References</w:t>
      </w:r>
      <w:bookmarkEnd w:id="52"/>
    </w:p>
    <w:p w14:paraId="287108F3" w14:textId="77777777" w:rsidR="005842A9" w:rsidRDefault="00805864">
      <w:r>
        <w:t>Bhattacharyya, S. C., &amp; Blake, A. (2009). Domestic demand for petroleum products in MENA countries. Energy Policy, 37(4), 1552–1560.</w:t>
      </w:r>
    </w:p>
    <w:p w14:paraId="13712DB1" w14:textId="77777777" w:rsidR="005842A9" w:rsidRDefault="00805864">
      <w:r>
        <w:t>Box, G. E. P., Jenkins, G. M., Reinsel, G. C., &amp; Ljung, G. M. (2015). Time series analysis: Forecasting and control (5th ed.). Wiley.</w:t>
      </w:r>
    </w:p>
    <w:p w14:paraId="77F2A9DA" w14:textId="77777777" w:rsidR="005842A9" w:rsidRDefault="00805864">
      <w:proofErr w:type="spellStart"/>
      <w:r>
        <w:t>Broomandi</w:t>
      </w:r>
      <w:proofErr w:type="spellEnd"/>
      <w:r>
        <w:t>, P., et al. (2025). Energy generation and carbon footprint under future projections of Central Asian temperature extremes. Global Challenges, 9.</w:t>
      </w:r>
    </w:p>
    <w:p w14:paraId="336B0622" w14:textId="77777777" w:rsidR="005842A9" w:rsidRDefault="00805864">
      <w:r>
        <w:t>Dickey, D. A., &amp; Fuller, W. A. (1979). Distribution of the estimators for autoregressive time series with a unit root. Journal of the American Statistical Association, 74(366), 427–431.</w:t>
      </w:r>
    </w:p>
    <w:p w14:paraId="2BD71C72" w14:textId="77777777" w:rsidR="005842A9" w:rsidRDefault="00805864">
      <w:r>
        <w:t xml:space="preserve">Engle, R. F., &amp; Granger, C. W. J. (1987). Co-integration and error correction: Representation, estimation, and testing. </w:t>
      </w:r>
      <w:proofErr w:type="spellStart"/>
      <w:r>
        <w:t>Econometrica</w:t>
      </w:r>
      <w:proofErr w:type="spellEnd"/>
      <w:r>
        <w:t>, 55(2), 251–276.</w:t>
      </w:r>
    </w:p>
    <w:p w14:paraId="766B0FF0" w14:textId="77777777" w:rsidR="005842A9" w:rsidRDefault="00805864">
      <w:r>
        <w:t xml:space="preserve">Eskeland, G., &amp; </w:t>
      </w:r>
      <w:proofErr w:type="spellStart"/>
      <w:r>
        <w:t>Mideksa</w:t>
      </w:r>
      <w:proofErr w:type="spellEnd"/>
      <w:r>
        <w:t>, T. (2010). Electricity demand in a changing climate. Mitigation and Adaptation Strategies for Global Change, 15(8), 877–897.</w:t>
      </w:r>
    </w:p>
    <w:p w14:paraId="044F51D1" w14:textId="77777777" w:rsidR="005842A9" w:rsidRDefault="00805864">
      <w:r>
        <w:t>Eurasian Development Bank. (2026). Central Asia energy outlook: March 2026. Eurasian Development Bank.</w:t>
      </w:r>
    </w:p>
    <w:p w14:paraId="72027A7E" w14:textId="77777777" w:rsidR="005842A9" w:rsidRDefault="00805864">
      <w:r>
        <w:t>Granger, C. W. J., &amp; Newbold, P. (1974). Spurious regressions in econometrics. Journal of Econometrics, 2(2), 111–120.</w:t>
      </w:r>
    </w:p>
    <w:p w14:paraId="64221D1F" w14:textId="77777777" w:rsidR="005842A9" w:rsidRDefault="00805864">
      <w:r>
        <w:t xml:space="preserve">Hoerl, A. E., &amp; Kennard, R. W. (1970). Ridge regression: Biased estimation for nonorthogonal problems. </w:t>
      </w:r>
      <w:proofErr w:type="spellStart"/>
      <w:r>
        <w:t>Technometrics</w:t>
      </w:r>
      <w:proofErr w:type="spellEnd"/>
      <w:r>
        <w:t>, 12(1), 55–67.</w:t>
      </w:r>
    </w:p>
    <w:p w14:paraId="0BC416F1" w14:textId="77777777" w:rsidR="005842A9" w:rsidRDefault="00805864">
      <w:r>
        <w:t>Hsiao, C. (2014). Analysis of panel data (3rd ed.). Cambridge University Press.</w:t>
      </w:r>
    </w:p>
    <w:p w14:paraId="7CB0C582" w14:textId="77777777" w:rsidR="005842A9" w:rsidRDefault="00805864">
      <w:proofErr w:type="spellStart"/>
      <w:r>
        <w:t>Hurvich</w:t>
      </w:r>
      <w:proofErr w:type="spellEnd"/>
      <w:r>
        <w:t xml:space="preserve">, C. M., &amp; Tsai, C.-L. (1989). Regression and time series model selection in small samples. </w:t>
      </w:r>
      <w:proofErr w:type="spellStart"/>
      <w:r>
        <w:t>Biometrika</w:t>
      </w:r>
      <w:proofErr w:type="spellEnd"/>
      <w:r>
        <w:t>, 76(2), 297–307.</w:t>
      </w:r>
    </w:p>
    <w:p w14:paraId="249601A4" w14:textId="77777777" w:rsidR="005842A9" w:rsidRDefault="00805864">
      <w:r>
        <w:t xml:space="preserve">Hyndman, R. J., &amp; Athanasopoulos, G. (2021). Forecasting: Principles and practice (3rd ed.). </w:t>
      </w:r>
      <w:proofErr w:type="spellStart"/>
      <w:r>
        <w:t>OTexts</w:t>
      </w:r>
      <w:proofErr w:type="spellEnd"/>
      <w:r>
        <w:t>.</w:t>
      </w:r>
    </w:p>
    <w:p w14:paraId="29C9BC55" w14:textId="77777777" w:rsidR="005842A9" w:rsidRDefault="00805864">
      <w:proofErr w:type="spellStart"/>
      <w:r>
        <w:t>Inglesi</w:t>
      </w:r>
      <w:proofErr w:type="spellEnd"/>
      <w:r>
        <w:t>-Lotz, R. (2011). The evolution of price elasticity of electricity demand in South Africa: A Kalman filter application. Energy Policy, 39(6), 3690–3696.</w:t>
      </w:r>
    </w:p>
    <w:p w14:paraId="3B4AD4DB" w14:textId="77777777" w:rsidR="005842A9" w:rsidRDefault="00805864">
      <w:r>
        <w:t>International Energy Agency. (2022). Uzbekistan energy profile. IEA Publications.</w:t>
      </w:r>
    </w:p>
    <w:p w14:paraId="40D4B671" w14:textId="77777777" w:rsidR="005842A9" w:rsidRDefault="00805864">
      <w:r>
        <w:t>International Energy Agency. (2024). Central Asia energy outlook 2024. IEA Publications.</w:t>
      </w:r>
    </w:p>
    <w:p w14:paraId="3B67E192" w14:textId="77777777" w:rsidR="005842A9" w:rsidRDefault="00805864">
      <w:r>
        <w:t>International Monetary Fund. (2025). World Economic Outlook October 2025. IMF.</w:t>
      </w:r>
    </w:p>
    <w:p w14:paraId="1B4573AF" w14:textId="77777777" w:rsidR="005842A9" w:rsidRPr="00064875" w:rsidRDefault="00805864">
      <w:pPr>
        <w:rPr>
          <w:lang w:val="de-AT"/>
        </w:rPr>
      </w:pPr>
      <w:r>
        <w:t xml:space="preserve">International Renewable Energy Agency. (2024). Renewable capacity statistics. </w:t>
      </w:r>
      <w:r w:rsidRPr="00064875">
        <w:rPr>
          <w:lang w:val="de-AT"/>
        </w:rPr>
        <w:t>IRENA.</w:t>
      </w:r>
    </w:p>
    <w:p w14:paraId="5273CBA7" w14:textId="77777777" w:rsidR="005842A9" w:rsidRDefault="00805864">
      <w:r w:rsidRPr="00064875">
        <w:rPr>
          <w:lang w:val="de-AT"/>
        </w:rPr>
        <w:t xml:space="preserve">Kwiatkowski, D., Phillips, P. C. B., Schmidt, P., &amp; Shin, Y. (1992). </w:t>
      </w:r>
      <w:r>
        <w:t>Testing the null hypothesis of stationarity against the alternative of a unit root. Journal of Econometrics, 54(1–3), 159–178.</w:t>
      </w:r>
    </w:p>
    <w:p w14:paraId="3F589FA8" w14:textId="77777777" w:rsidR="005842A9" w:rsidRDefault="00805864">
      <w:r>
        <w:t>Lewis, C. D. (1982). Industrial and business forecasting methods. Butterworths.</w:t>
      </w:r>
    </w:p>
    <w:p w14:paraId="45F1CFA4" w14:textId="77777777" w:rsidR="005842A9" w:rsidRDefault="00805864">
      <w:r>
        <w:t>Taylor, S. J., &amp; Letham, B. (2018). Forecasting at scale. The American Statistician, 72(1), 37–45.</w:t>
      </w:r>
    </w:p>
    <w:p w14:paraId="68B797B9" w14:textId="77777777" w:rsidR="005842A9" w:rsidRDefault="00805864">
      <w:r>
        <w:t>Tipping, M. E. (2001). Sparse Bayesian learning and the relevance vector machine. Journal of Machine Learning Research, 1, 211–244.</w:t>
      </w:r>
    </w:p>
    <w:p w14:paraId="6644898B" w14:textId="77777777" w:rsidR="005842A9" w:rsidRDefault="00805864">
      <w:r>
        <w:t>World Bank. (2022). Energy transition for Central Asia. World Bank Publications.</w:t>
      </w:r>
    </w:p>
    <w:p w14:paraId="6E5D8491" w14:textId="77777777" w:rsidR="005842A9" w:rsidRDefault="00805864">
      <w:pPr>
        <w:shd w:val="clear" w:color="auto" w:fill="FEF3C7"/>
        <w:spacing w:before="80" w:after="80"/>
      </w:pPr>
      <w:r>
        <w:rPr>
          <w:b/>
          <w:bCs/>
          <w:color w:val="B45309"/>
        </w:rPr>
        <w:t xml:space="preserve">[TO EXPAND] </w:t>
      </w:r>
      <w:r>
        <w:rPr>
          <w:i/>
          <w:iCs/>
          <w:color w:val="78350F"/>
        </w:rPr>
        <w:t xml:space="preserve">Add ILF White Paper (2025) — confirm full citation with </w:t>
      </w:r>
      <w:proofErr w:type="spellStart"/>
      <w:r>
        <w:rPr>
          <w:i/>
          <w:iCs/>
          <w:color w:val="78350F"/>
        </w:rPr>
        <w:t>Ardak</w:t>
      </w:r>
      <w:proofErr w:type="spellEnd"/>
      <w:r>
        <w:rPr>
          <w:i/>
          <w:iCs/>
          <w:color w:val="78350F"/>
        </w:rPr>
        <w:t xml:space="preserve">. Add EDB outlook full publication metadata. Add </w:t>
      </w:r>
      <w:proofErr w:type="spellStart"/>
      <w:r>
        <w:rPr>
          <w:i/>
          <w:iCs/>
          <w:color w:val="78350F"/>
        </w:rPr>
        <w:t>UzStat</w:t>
      </w:r>
      <w:proofErr w:type="spellEnd"/>
      <w:r>
        <w:rPr>
          <w:i/>
          <w:iCs/>
          <w:color w:val="78350F"/>
        </w:rPr>
        <w:t xml:space="preserve"> methodology document URLs.</w:t>
      </w:r>
    </w:p>
    <w:p w14:paraId="14B39E2C" w14:textId="77777777" w:rsidR="005842A9" w:rsidRDefault="00805864">
      <w:pPr>
        <w:pStyle w:val="Heading1"/>
        <w:pageBreakBefore/>
      </w:pPr>
      <w:bookmarkStart w:id="53" w:name="_Toc230943029"/>
      <w:r>
        <w:lastRenderedPageBreak/>
        <w:t>Appendix</w:t>
      </w:r>
      <w:bookmarkEnd w:id="53"/>
    </w:p>
    <w:p w14:paraId="49C7BC40" w14:textId="77777777" w:rsidR="005842A9" w:rsidRDefault="00805864">
      <w:pPr>
        <w:pStyle w:val="Heading2"/>
      </w:pPr>
      <w:bookmarkStart w:id="54" w:name="_Toc230943030"/>
      <w:r>
        <w:t>A. Notebook map</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5842A9" w14:paraId="68FBCF2B" w14:textId="77777777">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E8DBAEB" w14:textId="77777777" w:rsidR="005842A9" w:rsidRDefault="00805864">
            <w:r>
              <w:rPr>
                <w:b/>
                <w:bCs/>
                <w:sz w:val="20"/>
                <w:szCs w:val="20"/>
              </w:rPr>
              <w:t>Notebook</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E4890C6" w14:textId="77777777" w:rsidR="005842A9" w:rsidRDefault="00805864">
            <w:r>
              <w:rPr>
                <w:b/>
                <w:bCs/>
                <w:sz w:val="20"/>
                <w:szCs w:val="20"/>
              </w:rPr>
              <w:t>Topic</w:t>
            </w:r>
          </w:p>
        </w:tc>
        <w:tc>
          <w:tcPr>
            <w:tcW w:w="4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0E7001A" w14:textId="77777777" w:rsidR="005842A9" w:rsidRDefault="00805864">
            <w:r>
              <w:rPr>
                <w:b/>
                <w:bCs/>
                <w:sz w:val="20"/>
                <w:szCs w:val="20"/>
              </w:rPr>
              <w:t>Defends in paper</w:t>
            </w:r>
          </w:p>
        </w:tc>
      </w:tr>
      <w:tr w:rsidR="005842A9" w14:paraId="05F082BB"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789DA" w14:textId="77777777" w:rsidR="005842A9" w:rsidRDefault="00805864">
            <w:r>
              <w:rPr>
                <w:sz w:val="20"/>
                <w:szCs w:val="20"/>
              </w:rPr>
              <w:t>NB01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032E2" w14:textId="77777777" w:rsidR="005842A9" w:rsidRDefault="00805864">
            <w:r>
              <w:rPr>
                <w:sz w:val="20"/>
                <w:szCs w:val="20"/>
              </w:rPr>
              <w:t>Data pipeline</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2CD4E7" w14:textId="77777777" w:rsidR="005842A9" w:rsidRDefault="00805864">
            <w:r>
              <w:rPr>
                <w:sz w:val="20"/>
                <w:szCs w:val="20"/>
              </w:rPr>
              <w:t>§ 3.1, § 3.2</w:t>
            </w:r>
          </w:p>
        </w:tc>
      </w:tr>
      <w:tr w:rsidR="005842A9" w14:paraId="2D22A366"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D3E71E" w14:textId="77777777" w:rsidR="005842A9" w:rsidRDefault="00805864">
            <w:r>
              <w:rPr>
                <w:sz w:val="20"/>
                <w:szCs w:val="20"/>
              </w:rPr>
              <w:t>NB02</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66A07" w14:textId="77777777" w:rsidR="005842A9" w:rsidRDefault="00805864">
            <w:r>
              <w:rPr>
                <w:sz w:val="20"/>
                <w:szCs w:val="20"/>
              </w:rPr>
              <w:t>Energy mix EDA</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2E5940" w14:textId="77777777" w:rsidR="005842A9" w:rsidRDefault="00805864">
            <w:r>
              <w:rPr>
                <w:sz w:val="20"/>
                <w:szCs w:val="20"/>
              </w:rPr>
              <w:t>§ 4.1</w:t>
            </w:r>
          </w:p>
        </w:tc>
      </w:tr>
      <w:tr w:rsidR="005842A9" w14:paraId="70E5C4A1"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E34DE8" w14:textId="77777777" w:rsidR="005842A9" w:rsidRDefault="00805864">
            <w:r>
              <w:rPr>
                <w:sz w:val="20"/>
                <w:szCs w:val="20"/>
              </w:rPr>
              <w:t>NB03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08C8E" w14:textId="77777777" w:rsidR="005842A9" w:rsidRDefault="00805864">
            <w:r>
              <w:rPr>
                <w:sz w:val="20"/>
                <w:szCs w:val="20"/>
              </w:rPr>
              <w:t>Supply drivers EDA</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8D042B" w14:textId="77777777" w:rsidR="005842A9" w:rsidRDefault="00805864">
            <w:r>
              <w:rPr>
                <w:sz w:val="20"/>
                <w:szCs w:val="20"/>
              </w:rPr>
              <w:t>§ 4.2</w:t>
            </w:r>
          </w:p>
        </w:tc>
      </w:tr>
      <w:tr w:rsidR="005842A9" w14:paraId="2D4E8E63"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53A9E" w14:textId="77777777" w:rsidR="005842A9" w:rsidRDefault="00805864">
            <w:r>
              <w:rPr>
                <w:sz w:val="20"/>
                <w:szCs w:val="20"/>
              </w:rPr>
              <w:t>NB04</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6890D" w14:textId="77777777" w:rsidR="005842A9" w:rsidRDefault="00805864">
            <w:r>
              <w:rPr>
                <w:sz w:val="20"/>
                <w:szCs w:val="20"/>
              </w:rPr>
              <w:t>Demand drivers EDA</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14A6C4" w14:textId="77777777" w:rsidR="005842A9" w:rsidRDefault="00805864">
            <w:r>
              <w:rPr>
                <w:sz w:val="20"/>
                <w:szCs w:val="20"/>
              </w:rPr>
              <w:t>§ 4.3</w:t>
            </w:r>
          </w:p>
        </w:tc>
      </w:tr>
      <w:tr w:rsidR="005842A9" w14:paraId="2E386DD7"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935FF" w14:textId="77777777" w:rsidR="005842A9" w:rsidRDefault="00805864">
            <w:r>
              <w:rPr>
                <w:sz w:val="20"/>
                <w:szCs w:val="20"/>
              </w:rPr>
              <w:t>NB05</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593CCC" w14:textId="77777777" w:rsidR="005842A9" w:rsidRDefault="00805864">
            <w:r>
              <w:rPr>
                <w:sz w:val="20"/>
                <w:szCs w:val="20"/>
              </w:rPr>
              <w:t>Correlation and causality</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E2AB0" w14:textId="77777777" w:rsidR="005842A9" w:rsidRDefault="00805864">
            <w:r>
              <w:rPr>
                <w:sz w:val="20"/>
                <w:szCs w:val="20"/>
              </w:rPr>
              <w:t>§ 4.4</w:t>
            </w:r>
          </w:p>
        </w:tc>
      </w:tr>
      <w:tr w:rsidR="005842A9" w14:paraId="49C1F287"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AAB05" w14:textId="77777777" w:rsidR="005842A9" w:rsidRDefault="00805864">
            <w:r>
              <w:rPr>
                <w:sz w:val="20"/>
                <w:szCs w:val="20"/>
              </w:rPr>
              <w:t>NB06</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DFB774" w14:textId="77777777" w:rsidR="005842A9" w:rsidRDefault="00805864">
            <w:r>
              <w:rPr>
                <w:sz w:val="20"/>
                <w:szCs w:val="20"/>
              </w:rPr>
              <w:t>Baseline forecasting</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8DD8C6" w14:textId="77777777" w:rsidR="005842A9" w:rsidRDefault="00805864">
            <w:r>
              <w:rPr>
                <w:sz w:val="20"/>
                <w:szCs w:val="20"/>
              </w:rPr>
              <w:t>§ 5.1, § 6.1</w:t>
            </w:r>
          </w:p>
        </w:tc>
      </w:tr>
      <w:tr w:rsidR="005842A9" w14:paraId="15B08E2F"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213A3" w14:textId="77777777" w:rsidR="005842A9" w:rsidRDefault="00805864">
            <w:r>
              <w:rPr>
                <w:sz w:val="20"/>
                <w:szCs w:val="20"/>
              </w:rPr>
              <w:t>NB07</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3831F4" w14:textId="77777777" w:rsidR="005842A9" w:rsidRDefault="00805864">
            <w:r>
              <w:rPr>
                <w:sz w:val="20"/>
                <w:szCs w:val="20"/>
              </w:rPr>
              <w:t>Advanced forecasting (Bayesian + Pooled)</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E11A08" w14:textId="77777777" w:rsidR="005842A9" w:rsidRDefault="00805864">
            <w:r>
              <w:rPr>
                <w:sz w:val="20"/>
                <w:szCs w:val="20"/>
              </w:rPr>
              <w:t>§ 5.2, § 5.3, § 6.2, § 6.3</w:t>
            </w:r>
          </w:p>
        </w:tc>
      </w:tr>
      <w:tr w:rsidR="005842A9" w14:paraId="4D37EFA5"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4B5C6B" w14:textId="77777777" w:rsidR="005842A9" w:rsidRDefault="00805864">
            <w:r>
              <w:rPr>
                <w:sz w:val="20"/>
                <w:szCs w:val="20"/>
              </w:rPr>
              <w:t>NB08</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254951" w14:textId="77777777" w:rsidR="005842A9" w:rsidRDefault="00805864">
            <w:r>
              <w:rPr>
                <w:sz w:val="20"/>
                <w:szCs w:val="20"/>
              </w:rPr>
              <w:t>Investment signals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A771A" w14:textId="77777777" w:rsidR="005842A9" w:rsidRDefault="00805864">
            <w:r>
              <w:rPr>
                <w:sz w:val="20"/>
                <w:szCs w:val="20"/>
              </w:rPr>
              <w:t>§ 7.4</w:t>
            </w:r>
          </w:p>
        </w:tc>
      </w:tr>
      <w:tr w:rsidR="005842A9" w14:paraId="49266CC5"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1668D" w14:textId="77777777" w:rsidR="005842A9" w:rsidRDefault="00805864">
            <w:r>
              <w:rPr>
                <w:sz w:val="20"/>
                <w:szCs w:val="20"/>
              </w:rPr>
              <w:t>NB09</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838B7" w14:textId="77777777" w:rsidR="005842A9" w:rsidRDefault="00805864">
            <w:r>
              <w:rPr>
                <w:sz w:val="20"/>
                <w:szCs w:val="20"/>
              </w:rPr>
              <w:t>Spatial analysis</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4AA4E" w14:textId="77777777" w:rsidR="005842A9" w:rsidRDefault="00805864">
            <w:r>
              <w:rPr>
                <w:sz w:val="20"/>
                <w:szCs w:val="20"/>
              </w:rPr>
              <w:t>§ 8.1 (oblast extension)</w:t>
            </w:r>
          </w:p>
        </w:tc>
      </w:tr>
      <w:tr w:rsidR="005842A9" w14:paraId="58AC8FF3"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2793C3" w14:textId="77777777" w:rsidR="005842A9" w:rsidRDefault="00805864">
            <w:r>
              <w:rPr>
                <w:sz w:val="20"/>
                <w:szCs w:val="20"/>
              </w:rPr>
              <w:t>NB10</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C83A5" w14:textId="77777777" w:rsidR="005842A9" w:rsidRDefault="00805864">
            <w:proofErr w:type="spellStart"/>
            <w:r>
              <w:rPr>
                <w:sz w:val="20"/>
                <w:szCs w:val="20"/>
              </w:rPr>
              <w:t>Plotly</w:t>
            </w:r>
            <w:proofErr w:type="spellEnd"/>
            <w:r>
              <w:rPr>
                <w:sz w:val="20"/>
                <w:szCs w:val="20"/>
              </w:rPr>
              <w:t xml:space="preserve"> Dash dashboard</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3328AF" w14:textId="77777777" w:rsidR="005842A9" w:rsidRDefault="00805864">
            <w:r>
              <w:rPr>
                <w:sz w:val="20"/>
                <w:szCs w:val="20"/>
              </w:rPr>
              <w:t>§ 1.4 contribution</w:t>
            </w:r>
          </w:p>
        </w:tc>
      </w:tr>
    </w:tbl>
    <w:p w14:paraId="6F1B36F7" w14:textId="77777777" w:rsidR="005842A9" w:rsidRDefault="005842A9"/>
    <w:p w14:paraId="02188BD5" w14:textId="77777777" w:rsidR="005842A9" w:rsidRDefault="00805864">
      <w:pPr>
        <w:pStyle w:val="Heading2"/>
      </w:pPr>
      <w:bookmarkStart w:id="55" w:name="_Toc230943031"/>
      <w:r>
        <w:t>B. Cleaned datasets</w:t>
      </w:r>
      <w:bookmarkEnd w:id="55"/>
    </w:p>
    <w:p w14:paraId="02B925A7" w14:textId="77777777" w:rsidR="005842A9" w:rsidRDefault="00805864">
      <w:pPr>
        <w:pStyle w:val="ListParagraph"/>
        <w:numPr>
          <w:ilvl w:val="0"/>
          <w:numId w:val="3"/>
        </w:numPr>
      </w:pPr>
      <w:r>
        <w:t>data/processed/master_dataset_core.csv — UZB 1990–2026, 33 columns</w:t>
      </w:r>
    </w:p>
    <w:p w14:paraId="13E61EC9" w14:textId="77777777" w:rsidR="005842A9" w:rsidRDefault="00805864">
      <w:pPr>
        <w:pStyle w:val="ListParagraph"/>
        <w:numPr>
          <w:ilvl w:val="0"/>
          <w:numId w:val="3"/>
        </w:numPr>
      </w:pPr>
      <w:r>
        <w:t>data/processed/demand_drivers_panel_v2.csv — World Bank sectoral GDP + IMF + climate + tariff</w:t>
      </w:r>
    </w:p>
    <w:p w14:paraId="7E37C872" w14:textId="77777777" w:rsidR="005842A9" w:rsidRDefault="00805864">
      <w:pPr>
        <w:pStyle w:val="ListParagraph"/>
        <w:numPr>
          <w:ilvl w:val="0"/>
          <w:numId w:val="3"/>
        </w:numPr>
      </w:pPr>
      <w:r>
        <w:t>data/processed/</w:t>
      </w:r>
      <w:proofErr w:type="spellStart"/>
      <w:r>
        <w:t>uzstat_clean</w:t>
      </w:r>
      <w:proofErr w:type="spellEnd"/>
      <w:r>
        <w:t>/uzb_energy_national.csv — 18 national energy series 2010–2024</w:t>
      </w:r>
    </w:p>
    <w:p w14:paraId="3D11C847" w14:textId="77777777" w:rsidR="005842A9" w:rsidRDefault="00805864">
      <w:pPr>
        <w:pStyle w:val="ListParagraph"/>
        <w:numPr>
          <w:ilvl w:val="0"/>
          <w:numId w:val="3"/>
        </w:numPr>
      </w:pPr>
      <w:r>
        <w:t>data/processed/</w:t>
      </w:r>
      <w:proofErr w:type="spellStart"/>
      <w:r>
        <w:t>uzstat_clean</w:t>
      </w:r>
      <w:proofErr w:type="spellEnd"/>
      <w:r>
        <w:t>/uzb_electricity_oblast.csv — 14 oblasts × 15 years = 210 observations</w:t>
      </w:r>
    </w:p>
    <w:p w14:paraId="6E3D0DA7" w14:textId="77777777" w:rsidR="005842A9" w:rsidRDefault="00805864">
      <w:pPr>
        <w:pStyle w:val="ListParagraph"/>
        <w:numPr>
          <w:ilvl w:val="0"/>
          <w:numId w:val="3"/>
        </w:numPr>
      </w:pPr>
      <w:r>
        <w:t>data/processed/</w:t>
      </w:r>
      <w:proofErr w:type="spellStart"/>
      <w:r>
        <w:t>uzstat_clean</w:t>
      </w:r>
      <w:proofErr w:type="spellEnd"/>
      <w:r>
        <w:t>/central_asia_panel.csv — 5 countries × 26 years</w:t>
      </w:r>
    </w:p>
    <w:p w14:paraId="3741B2E9" w14:textId="77777777" w:rsidR="005842A9" w:rsidRDefault="00805864">
      <w:pPr>
        <w:pStyle w:val="ListParagraph"/>
        <w:numPr>
          <w:ilvl w:val="0"/>
          <w:numId w:val="3"/>
        </w:numPr>
      </w:pPr>
      <w:r>
        <w:t>data/processed/</w:t>
      </w:r>
      <w:proofErr w:type="spellStart"/>
      <w:r>
        <w:t>uzstat_clean</w:t>
      </w:r>
      <w:proofErr w:type="spellEnd"/>
      <w:r>
        <w:t>/climate_central_asia.csv — pop-weighted ERA5 climate, 5 countries × 35 years</w:t>
      </w:r>
    </w:p>
    <w:p w14:paraId="6E79560E" w14:textId="77777777" w:rsidR="005842A9" w:rsidRDefault="00805864">
      <w:pPr>
        <w:pStyle w:val="ListParagraph"/>
        <w:numPr>
          <w:ilvl w:val="0"/>
          <w:numId w:val="3"/>
        </w:numPr>
      </w:pPr>
      <w:r>
        <w:t>data/processed/</w:t>
      </w:r>
      <w:proofErr w:type="spellStart"/>
      <w:r>
        <w:t>uzstat_clean</w:t>
      </w:r>
      <w:proofErr w:type="spellEnd"/>
      <w:r>
        <w:t>/SHORTLIST_for_analysis.csv — 504 of 618 messy-data files curated</w:t>
      </w:r>
    </w:p>
    <w:p w14:paraId="3FE746E1" w14:textId="77777777" w:rsidR="005842A9" w:rsidRDefault="00805864">
      <w:pPr>
        <w:pStyle w:val="Heading2"/>
      </w:pPr>
      <w:bookmarkStart w:id="56" w:name="_Toc230943032"/>
      <w:r>
        <w:t>C. Forecast artefacts</w:t>
      </w:r>
      <w:bookmarkEnd w:id="56"/>
    </w:p>
    <w:p w14:paraId="2696FFE1" w14:textId="77777777" w:rsidR="005842A9" w:rsidRDefault="00805864">
      <w:pPr>
        <w:pStyle w:val="ListParagraph"/>
        <w:numPr>
          <w:ilvl w:val="0"/>
          <w:numId w:val="3"/>
        </w:numPr>
      </w:pPr>
      <w:r>
        <w:t>data/processed/forecast_demand_bayes_ridge.csv — Bayesian Ridge point and σ</w:t>
      </w:r>
    </w:p>
    <w:p w14:paraId="09E321EC" w14:textId="77777777" w:rsidR="005842A9" w:rsidRDefault="00805864">
      <w:pPr>
        <w:pStyle w:val="ListParagraph"/>
        <w:numPr>
          <w:ilvl w:val="0"/>
          <w:numId w:val="3"/>
        </w:numPr>
      </w:pPr>
      <w:r>
        <w:t>data/processed/forecast_demand_bayes_scenarios.csv — three scenarios × seven years with 90 % intervals</w:t>
      </w:r>
    </w:p>
    <w:p w14:paraId="699923A3" w14:textId="77777777" w:rsidR="005842A9" w:rsidRDefault="00805864">
      <w:pPr>
        <w:pStyle w:val="ListParagraph"/>
        <w:numPr>
          <w:ilvl w:val="0"/>
          <w:numId w:val="3"/>
        </w:numPr>
      </w:pPr>
      <w:r>
        <w:t>data/processed/forecast_scoreboard.csv — unified 23-model comparison rendered by the dashboard</w:t>
      </w:r>
    </w:p>
    <w:p w14:paraId="32F91A4E" w14:textId="77777777" w:rsidR="005842A9" w:rsidRDefault="00805864">
      <w:pPr>
        <w:pStyle w:val="ListParagraph"/>
        <w:numPr>
          <w:ilvl w:val="0"/>
          <w:numId w:val="3"/>
        </w:numPr>
      </w:pPr>
      <w:r>
        <w:t>data/processed/forecast_scoreboard_advanced.csv — six advanced models from NB07</w:t>
      </w:r>
    </w:p>
    <w:p w14:paraId="1972E001" w14:textId="77777777" w:rsidR="005842A9" w:rsidRDefault="00805864">
      <w:pPr>
        <w:pStyle w:val="ListParagraph"/>
        <w:numPr>
          <w:ilvl w:val="0"/>
          <w:numId w:val="3"/>
        </w:numPr>
      </w:pPr>
      <w:r>
        <w:t>data/processed/forecast_scoreboard_baseline.csv — six baseline models from NB06</w:t>
      </w:r>
    </w:p>
    <w:p w14:paraId="67084CA5" w14:textId="77777777" w:rsidR="005842A9" w:rsidRDefault="00805864">
      <w:pPr>
        <w:pStyle w:val="Heading2"/>
      </w:pPr>
      <w:bookmarkStart w:id="57" w:name="_Toc230943033"/>
      <w:r>
        <w:lastRenderedPageBreak/>
        <w:t>D. Reproducibility checklist</w:t>
      </w:r>
      <w:bookmarkEnd w:id="57"/>
    </w:p>
    <w:p w14:paraId="44713E51" w14:textId="77777777" w:rsidR="005842A9" w:rsidRDefault="00805864">
      <w:pPr>
        <w:pStyle w:val="ListParagraph"/>
        <w:numPr>
          <w:ilvl w:val="0"/>
          <w:numId w:val="2"/>
        </w:numPr>
      </w:pPr>
      <w:r>
        <w:t>Run the ten notebooks in order (01 → 10) with SEED = 42.</w:t>
      </w:r>
    </w:p>
    <w:p w14:paraId="4770843D" w14:textId="77777777" w:rsidR="005842A9" w:rsidRDefault="00805864">
      <w:pPr>
        <w:pStyle w:val="ListParagraph"/>
        <w:numPr>
          <w:ilvl w:val="0"/>
          <w:numId w:val="2"/>
        </w:numPr>
      </w:pPr>
      <w:r>
        <w:t xml:space="preserve">Re-execute the scripts under /scripts to regenerate the cleaned </w:t>
      </w:r>
      <w:proofErr w:type="spellStart"/>
      <w:r>
        <w:t>UzStat</w:t>
      </w:r>
      <w:proofErr w:type="spellEnd"/>
      <w:r>
        <w:t xml:space="preserve"> panels, the Central Asia pooled panel, and the Open-</w:t>
      </w:r>
      <w:proofErr w:type="spellStart"/>
      <w:r>
        <w:t>Meteo</w:t>
      </w:r>
      <w:proofErr w:type="spellEnd"/>
      <w:r>
        <w:t xml:space="preserve"> climate panel.</w:t>
      </w:r>
    </w:p>
    <w:p w14:paraId="428DF7B2" w14:textId="77777777" w:rsidR="005842A9" w:rsidRDefault="00805864">
      <w:pPr>
        <w:pStyle w:val="ListParagraph"/>
        <w:numPr>
          <w:ilvl w:val="0"/>
          <w:numId w:val="2"/>
        </w:numPr>
      </w:pPr>
      <w:r>
        <w:t>Verify that the unified scoreboard in data/processed/forecast_scoreboard.csv contains 23 rows.</w:t>
      </w:r>
    </w:p>
    <w:p w14:paraId="5B6431D7" w14:textId="77777777" w:rsidR="005842A9" w:rsidRDefault="00805864">
      <w:pPr>
        <w:pStyle w:val="ListParagraph"/>
        <w:numPr>
          <w:ilvl w:val="0"/>
          <w:numId w:val="2"/>
        </w:numPr>
      </w:pPr>
      <w:r>
        <w:t>Run the dashboard locally via python dashboard/app.py and confirm HTTP 200 at http://127.0.0.1:8050/.</w:t>
      </w:r>
    </w:p>
    <w:sectPr w:rsidR="005842A9">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Francesca Conselvan" w:date="2026-06-05T14:49:00Z" w:initials="FC">
    <w:p w14:paraId="4F19DEB2" w14:textId="77777777" w:rsidR="00483FD3" w:rsidRDefault="00483FD3" w:rsidP="00483FD3">
      <w:pPr>
        <w:pStyle w:val="CommentText"/>
      </w:pPr>
      <w:r>
        <w:rPr>
          <w:rStyle w:val="CommentReference"/>
        </w:rPr>
        <w:annotationRef/>
      </w:r>
      <w:r>
        <w:rPr>
          <w:lang w:val="de-DE"/>
        </w:rPr>
        <w:t>As ch2. yoou can add a chapter on the countrx context - see here as example chrome-extension://efaidnbmnnnibpcajpcglclefindmkaj/https://www.german-economic-team.com/wp-content/uploads/2025/02/GET_UZB_PS_02_2024_en_27.01.2025-2.pdf</w:t>
      </w:r>
    </w:p>
  </w:comment>
  <w:comment w:id="19" w:author="Francesca Conselvan" w:date="2026-06-05T14:37:00Z" w:initials="FC">
    <w:p w14:paraId="5B2EBE41" w14:textId="77777777" w:rsidR="00E40E7F" w:rsidRDefault="00E40E7F" w:rsidP="00E40E7F">
      <w:pPr>
        <w:pStyle w:val="CommentText"/>
      </w:pPr>
      <w:r>
        <w:rPr>
          <w:rStyle w:val="CommentReference"/>
        </w:rPr>
        <w:annotationRef/>
      </w:r>
      <w:r>
        <w:rPr>
          <w:lang w:val="de-DE"/>
        </w:rPr>
        <w:t xml:space="preserve">This is a bit colloquial: </w:t>
      </w:r>
    </w:p>
    <w:p w14:paraId="6C4217F0" w14:textId="77777777" w:rsidR="00E40E7F" w:rsidRDefault="00E40E7F" w:rsidP="00E40E7F">
      <w:pPr>
        <w:pStyle w:val="CommentText"/>
      </w:pPr>
      <w:r>
        <w:rPr>
          <w:lang w:val="de-DE"/>
        </w:rPr>
        <w:t>Data limitation and harmonisation</w:t>
      </w:r>
    </w:p>
  </w:comment>
  <w:comment w:id="22" w:author="Francesca Conselvan" w:date="2026-06-05T14:39:00Z" w:initials="FC">
    <w:p w14:paraId="35B51DC6" w14:textId="77777777" w:rsidR="00752F78" w:rsidRDefault="00F45A8D" w:rsidP="00752F78">
      <w:pPr>
        <w:pStyle w:val="CommentText"/>
      </w:pPr>
      <w:r>
        <w:rPr>
          <w:rStyle w:val="CommentReference"/>
        </w:rPr>
        <w:annotationRef/>
      </w:r>
      <w:r w:rsidR="00752F78">
        <w:rPr>
          <w:lang w:val="de-DE"/>
        </w:rPr>
        <w:t xml:space="preserve">Why are you conducting three scenarios? And what are these three scenarios about? </w:t>
      </w:r>
    </w:p>
    <w:p w14:paraId="00440AE0" w14:textId="77777777" w:rsidR="00752F78" w:rsidRDefault="00752F78" w:rsidP="00752F78">
      <w:pPr>
        <w:pStyle w:val="CommentText"/>
      </w:pPr>
      <w:r>
        <w:rPr>
          <w:lang w:val="de-DE"/>
        </w:rPr>
        <w:t>I would explain more in detail</w:t>
      </w:r>
    </w:p>
    <w:p w14:paraId="4D61F3F6" w14:textId="77777777" w:rsidR="00752F78" w:rsidRDefault="00752F78" w:rsidP="00752F78">
      <w:pPr>
        <w:pStyle w:val="CommentText"/>
        <w:numPr>
          <w:ilvl w:val="0"/>
          <w:numId w:val="5"/>
        </w:numPr>
      </w:pPr>
      <w:r>
        <w:rPr>
          <w:lang w:val="de-DE"/>
        </w:rPr>
        <w:t xml:space="preserve">The question behind these scearnios is: what happens to Uzbekistan's electricity system under different economic futures </w:t>
      </w:r>
    </w:p>
    <w:p w14:paraId="41D9143D" w14:textId="77777777" w:rsidR="00752F78" w:rsidRDefault="00752F78" w:rsidP="00752F78">
      <w:pPr>
        <w:pStyle w:val="CommentText"/>
        <w:numPr>
          <w:ilvl w:val="0"/>
          <w:numId w:val="5"/>
        </w:numPr>
      </w:pPr>
      <w:r>
        <w:rPr>
          <w:lang w:val="de-DE"/>
        </w:rPr>
        <w:t xml:space="preserve">Sceanrios Explanation - you can write it under the table. </w:t>
      </w:r>
    </w:p>
    <w:p w14:paraId="3FEA314A" w14:textId="77777777" w:rsidR="00752F78" w:rsidRDefault="00752F78" w:rsidP="00752F78">
      <w:pPr>
        <w:pStyle w:val="CommentText"/>
        <w:numPr>
          <w:ilvl w:val="0"/>
          <w:numId w:val="5"/>
        </w:numPr>
        <w:ind w:left="300"/>
      </w:pPr>
      <w:r>
        <w:rPr>
          <w:b/>
          <w:bCs/>
          <w:lang w:val="de-DE"/>
        </w:rPr>
        <w:t>Baseline</w:t>
      </w:r>
      <w:r>
        <w:rPr>
          <w:lang w:val="de-DE"/>
        </w:rPr>
        <w:t xml:space="preserve"> : it takes IMF growth forecasts exactly as published and uses the central model estimate for how fast renewables expand. This is the reference point against which the other two are compared.</w:t>
      </w:r>
    </w:p>
    <w:p w14:paraId="1671C884" w14:textId="77777777" w:rsidR="00752F78" w:rsidRDefault="00752F78" w:rsidP="00752F78">
      <w:pPr>
        <w:pStyle w:val="CommentText"/>
        <w:numPr>
          <w:ilvl w:val="0"/>
          <w:numId w:val="5"/>
        </w:numPr>
        <w:ind w:left="300"/>
      </w:pPr>
      <w:r>
        <w:rPr>
          <w:b/>
          <w:bCs/>
          <w:lang w:val="de-DE"/>
        </w:rPr>
        <w:t>Accelerated</w:t>
      </w:r>
      <w:r>
        <w:rPr>
          <w:lang w:val="de-DE"/>
        </w:rPr>
        <w:t xml:space="preserve"> is the optimistic scenario. the economy grows 1 percentage point faster per year than the IMF projects (reflecting stronger industrialisation or reform momentum), and renewables are deployed faster than the NDC target. Both pressures push in the same direction: higher total demand </w:t>
      </w:r>
      <w:r>
        <w:rPr>
          <w:i/>
          <w:iCs/>
          <w:lang w:val="de-DE"/>
        </w:rPr>
        <w:t>and</w:t>
      </w:r>
      <w:r>
        <w:rPr>
          <w:lang w:val="de-DE"/>
        </w:rPr>
        <w:t xml:space="preserve"> a cleaner supply mix.</w:t>
      </w:r>
    </w:p>
    <w:p w14:paraId="7057B118" w14:textId="77777777" w:rsidR="00752F78" w:rsidRDefault="00752F78" w:rsidP="00752F78">
      <w:pPr>
        <w:pStyle w:val="CommentText"/>
        <w:numPr>
          <w:ilvl w:val="0"/>
          <w:numId w:val="5"/>
        </w:numPr>
        <w:ind w:left="300"/>
      </w:pPr>
      <w:r>
        <w:rPr>
          <w:b/>
          <w:bCs/>
          <w:lang w:val="de-DE"/>
        </w:rPr>
        <w:t>Delayed</w:t>
      </w:r>
      <w:r>
        <w:rPr>
          <w:lang w:val="de-DE"/>
        </w:rPr>
        <w:t xml:space="preserve"> is the pessimistic scenario. growth underperforms the IMF forecast by -0.5 percentage points per year (reflecting economic shocks, slower reform, or geopolitical disruption), and renewable deployment also lags the central trajectory by half a percentage point. Demand growth slows, but the energy mix also decarbonises more slowly.</w:t>
      </w:r>
    </w:p>
  </w:comment>
  <w:comment w:id="30" w:author="Francesca Conselvan" w:date="2026-06-05T15:07:00Z" w:initials="FC">
    <w:p w14:paraId="7794682F" w14:textId="77777777" w:rsidR="00724481" w:rsidRDefault="00724481" w:rsidP="00724481">
      <w:pPr>
        <w:pStyle w:val="CommentText"/>
      </w:pPr>
      <w:r>
        <w:rPr>
          <w:rStyle w:val="CommentReference"/>
        </w:rPr>
        <w:annotationRef/>
      </w:r>
      <w:r>
        <w:rPr>
          <w:lang w:val="de-DE"/>
        </w:rPr>
        <w:t xml:space="preserve">I am skeptical to only mathematically describe the models. </w:t>
      </w:r>
    </w:p>
    <w:p w14:paraId="136DD53A" w14:textId="77777777" w:rsidR="00724481" w:rsidRDefault="00724481" w:rsidP="00724481">
      <w:pPr>
        <w:pStyle w:val="CommentText"/>
      </w:pPr>
      <w:r>
        <w:rPr>
          <w:lang w:val="de-DE"/>
        </w:rPr>
        <w:t xml:space="preserve">the section would benefit from a brief conceptual justification for each model choice. Rather than only defining </w:t>
      </w:r>
      <w:r>
        <w:rPr>
          <w:i/>
          <w:iCs/>
          <w:lang w:val="de-DE"/>
        </w:rPr>
        <w:t>how</w:t>
      </w:r>
      <w:r>
        <w:rPr>
          <w:lang w:val="de-DE"/>
        </w:rPr>
        <w:t xml:space="preserve"> each model works, consider explaining </w:t>
      </w:r>
      <w:r>
        <w:rPr>
          <w:i/>
          <w:iCs/>
          <w:lang w:val="de-DE"/>
        </w:rPr>
        <w:t>why</w:t>
      </w:r>
      <w:r>
        <w:rPr>
          <w:lang w:val="de-DE"/>
        </w:rPr>
        <w:t xml:space="preserve"> it was selected for this particular study. How do they fit your business questions? What are the criteria used to choose them? how it addresses the specific constraints of annual Uzbek data (n ≈ 34), the business horizon of the ILF advisory context, and the structural forecasting questions raised in RQ1 and RQ2. </w:t>
      </w:r>
    </w:p>
    <w:p w14:paraId="20F0DDF3" w14:textId="77777777" w:rsidR="00724481" w:rsidRDefault="00724481" w:rsidP="00724481">
      <w:pPr>
        <w:pStyle w:val="CommentText"/>
      </w:pPr>
      <w:r>
        <w:rPr>
          <w:lang w:val="de-DE"/>
        </w:rPr>
        <w:t>You can write one sentence per model linking to the research quesitons and data limitations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9DEB2" w15:done="0"/>
  <w15:commentEx w15:paraId="6C4217F0" w15:done="0"/>
  <w15:commentEx w15:paraId="7057B118" w15:done="0"/>
  <w15:commentEx w15:paraId="20F0DD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448FA6" w16cex:dateUtc="2026-06-05T12:49:00Z"/>
  <w16cex:commentExtensible w16cex:durableId="3A5341D1" w16cex:dateUtc="2026-06-05T12:37:00Z"/>
  <w16cex:commentExtensible w16cex:durableId="4ABAD99E" w16cex:dateUtc="2026-06-05T12:39:00Z"/>
  <w16cex:commentExtensible w16cex:durableId="7111EA51" w16cex:dateUtc="2026-06-05T1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9DEB2" w16cid:durableId="5D448FA6"/>
  <w16cid:commentId w16cid:paraId="6C4217F0" w16cid:durableId="3A5341D1"/>
  <w16cid:commentId w16cid:paraId="7057B118" w16cid:durableId="4ABAD99E"/>
  <w16cid:commentId w16cid:paraId="20F0DDF3" w16cid:durableId="7111EA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2BFBC" w14:textId="77777777" w:rsidR="00BE6894" w:rsidRDefault="00BE6894">
      <w:r>
        <w:separator/>
      </w:r>
    </w:p>
  </w:endnote>
  <w:endnote w:type="continuationSeparator" w:id="0">
    <w:p w14:paraId="3E0EF40A" w14:textId="77777777" w:rsidR="00BE6894" w:rsidRDefault="00BE6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AAFB7" w14:textId="77777777" w:rsidR="005842A9" w:rsidRDefault="00805864">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8257A" w14:textId="77777777" w:rsidR="00BE6894" w:rsidRDefault="00BE6894">
      <w:r>
        <w:separator/>
      </w:r>
    </w:p>
  </w:footnote>
  <w:footnote w:type="continuationSeparator" w:id="0">
    <w:p w14:paraId="7CDD8A1C" w14:textId="77777777" w:rsidR="00BE6894" w:rsidRDefault="00BE68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917E" w14:textId="77777777" w:rsidR="005842A9" w:rsidRDefault="00805864">
    <w:pPr>
      <w:jc w:val="right"/>
    </w:pPr>
    <w:r>
      <w:rPr>
        <w:i/>
        <w:iCs/>
        <w:color w:val="6B7280"/>
        <w:sz w:val="18"/>
        <w:szCs w:val="18"/>
      </w:rPr>
      <w:t>Uzbekistan Power Sector Transition Tracker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955D6"/>
    <w:multiLevelType w:val="hybridMultilevel"/>
    <w:tmpl w:val="6964B078"/>
    <w:lvl w:ilvl="0" w:tplc="A294979E">
      <w:start w:val="1"/>
      <w:numFmt w:val="bullet"/>
      <w:lvlText w:val="●"/>
      <w:lvlJc w:val="left"/>
      <w:pPr>
        <w:ind w:left="720" w:hanging="360"/>
      </w:pPr>
    </w:lvl>
    <w:lvl w:ilvl="1" w:tplc="EC74D82C">
      <w:start w:val="1"/>
      <w:numFmt w:val="bullet"/>
      <w:lvlText w:val="○"/>
      <w:lvlJc w:val="left"/>
      <w:pPr>
        <w:ind w:left="1440" w:hanging="360"/>
      </w:pPr>
    </w:lvl>
    <w:lvl w:ilvl="2" w:tplc="D346DB50">
      <w:start w:val="1"/>
      <w:numFmt w:val="bullet"/>
      <w:lvlText w:val="■"/>
      <w:lvlJc w:val="left"/>
      <w:pPr>
        <w:ind w:left="2160" w:hanging="360"/>
      </w:pPr>
    </w:lvl>
    <w:lvl w:ilvl="3" w:tplc="4A9E112C">
      <w:start w:val="1"/>
      <w:numFmt w:val="bullet"/>
      <w:lvlText w:val="●"/>
      <w:lvlJc w:val="left"/>
      <w:pPr>
        <w:ind w:left="2880" w:hanging="360"/>
      </w:pPr>
    </w:lvl>
    <w:lvl w:ilvl="4" w:tplc="4BBE05BE">
      <w:start w:val="1"/>
      <w:numFmt w:val="bullet"/>
      <w:lvlText w:val="○"/>
      <w:lvlJc w:val="left"/>
      <w:pPr>
        <w:ind w:left="3600" w:hanging="360"/>
      </w:pPr>
    </w:lvl>
    <w:lvl w:ilvl="5" w:tplc="827EA83A">
      <w:start w:val="1"/>
      <w:numFmt w:val="bullet"/>
      <w:lvlText w:val="■"/>
      <w:lvlJc w:val="left"/>
      <w:pPr>
        <w:ind w:left="4320" w:hanging="360"/>
      </w:pPr>
    </w:lvl>
    <w:lvl w:ilvl="6" w:tplc="678494BA">
      <w:start w:val="1"/>
      <w:numFmt w:val="bullet"/>
      <w:lvlText w:val="●"/>
      <w:lvlJc w:val="left"/>
      <w:pPr>
        <w:ind w:left="5040" w:hanging="360"/>
      </w:pPr>
    </w:lvl>
    <w:lvl w:ilvl="7" w:tplc="0B6EB540">
      <w:start w:val="1"/>
      <w:numFmt w:val="bullet"/>
      <w:lvlText w:val="●"/>
      <w:lvlJc w:val="left"/>
      <w:pPr>
        <w:ind w:left="5760" w:hanging="360"/>
      </w:pPr>
    </w:lvl>
    <w:lvl w:ilvl="8" w:tplc="0D467FA4">
      <w:start w:val="1"/>
      <w:numFmt w:val="bullet"/>
      <w:lvlText w:val="●"/>
      <w:lvlJc w:val="left"/>
      <w:pPr>
        <w:ind w:left="6480" w:hanging="360"/>
      </w:pPr>
    </w:lvl>
  </w:abstractNum>
  <w:abstractNum w:abstractNumId="1" w15:restartNumberingAfterBreak="0">
    <w:nsid w:val="2EA65A68"/>
    <w:multiLevelType w:val="hybridMultilevel"/>
    <w:tmpl w:val="21122E46"/>
    <w:lvl w:ilvl="0" w:tplc="A97C8DCA">
      <w:start w:val="1"/>
      <w:numFmt w:val="decimal"/>
      <w:lvlText w:val="%1."/>
      <w:lvlJc w:val="left"/>
      <w:pPr>
        <w:ind w:left="1020" w:hanging="360"/>
      </w:pPr>
    </w:lvl>
    <w:lvl w:ilvl="1" w:tplc="150AA634">
      <w:start w:val="1"/>
      <w:numFmt w:val="decimal"/>
      <w:lvlText w:val="%2."/>
      <w:lvlJc w:val="left"/>
      <w:pPr>
        <w:ind w:left="1020" w:hanging="360"/>
      </w:pPr>
    </w:lvl>
    <w:lvl w:ilvl="2" w:tplc="88742FDE">
      <w:start w:val="1"/>
      <w:numFmt w:val="decimal"/>
      <w:lvlText w:val="%3."/>
      <w:lvlJc w:val="left"/>
      <w:pPr>
        <w:ind w:left="1020" w:hanging="360"/>
      </w:pPr>
    </w:lvl>
    <w:lvl w:ilvl="3" w:tplc="E1D2B2AA">
      <w:start w:val="1"/>
      <w:numFmt w:val="decimal"/>
      <w:lvlText w:val="%4."/>
      <w:lvlJc w:val="left"/>
      <w:pPr>
        <w:ind w:left="1020" w:hanging="360"/>
      </w:pPr>
    </w:lvl>
    <w:lvl w:ilvl="4" w:tplc="D298A886">
      <w:start w:val="1"/>
      <w:numFmt w:val="decimal"/>
      <w:lvlText w:val="%5."/>
      <w:lvlJc w:val="left"/>
      <w:pPr>
        <w:ind w:left="1020" w:hanging="360"/>
      </w:pPr>
    </w:lvl>
    <w:lvl w:ilvl="5" w:tplc="BDC26476">
      <w:start w:val="1"/>
      <w:numFmt w:val="decimal"/>
      <w:lvlText w:val="%6."/>
      <w:lvlJc w:val="left"/>
      <w:pPr>
        <w:ind w:left="1020" w:hanging="360"/>
      </w:pPr>
    </w:lvl>
    <w:lvl w:ilvl="6" w:tplc="96EAF428">
      <w:start w:val="1"/>
      <w:numFmt w:val="decimal"/>
      <w:lvlText w:val="%7."/>
      <w:lvlJc w:val="left"/>
      <w:pPr>
        <w:ind w:left="1020" w:hanging="360"/>
      </w:pPr>
    </w:lvl>
    <w:lvl w:ilvl="7" w:tplc="48B24614">
      <w:start w:val="1"/>
      <w:numFmt w:val="decimal"/>
      <w:lvlText w:val="%8."/>
      <w:lvlJc w:val="left"/>
      <w:pPr>
        <w:ind w:left="1020" w:hanging="360"/>
      </w:pPr>
    </w:lvl>
    <w:lvl w:ilvl="8" w:tplc="BE5EC53E">
      <w:start w:val="1"/>
      <w:numFmt w:val="decimal"/>
      <w:lvlText w:val="%9."/>
      <w:lvlJc w:val="left"/>
      <w:pPr>
        <w:ind w:left="1020" w:hanging="360"/>
      </w:pPr>
    </w:lvl>
  </w:abstractNum>
  <w:abstractNum w:abstractNumId="2" w15:restartNumberingAfterBreak="0">
    <w:nsid w:val="3AB01EC7"/>
    <w:multiLevelType w:val="hybridMultilevel"/>
    <w:tmpl w:val="E974C792"/>
    <w:lvl w:ilvl="0" w:tplc="B9FC6B26">
      <w:start w:val="1"/>
      <w:numFmt w:val="bullet"/>
      <w:lvlText w:val="•"/>
      <w:lvlJc w:val="left"/>
      <w:pPr>
        <w:ind w:left="720" w:hanging="360"/>
      </w:pPr>
    </w:lvl>
    <w:lvl w:ilvl="1" w:tplc="0CC2BC42">
      <w:numFmt w:val="decimal"/>
      <w:lvlText w:val=""/>
      <w:lvlJc w:val="left"/>
    </w:lvl>
    <w:lvl w:ilvl="2" w:tplc="D5C47B4A">
      <w:numFmt w:val="decimal"/>
      <w:lvlText w:val=""/>
      <w:lvlJc w:val="left"/>
    </w:lvl>
    <w:lvl w:ilvl="3" w:tplc="4BF0A96C">
      <w:numFmt w:val="decimal"/>
      <w:lvlText w:val=""/>
      <w:lvlJc w:val="left"/>
    </w:lvl>
    <w:lvl w:ilvl="4" w:tplc="35DA67CA">
      <w:numFmt w:val="decimal"/>
      <w:lvlText w:val=""/>
      <w:lvlJc w:val="left"/>
    </w:lvl>
    <w:lvl w:ilvl="5" w:tplc="1882739E">
      <w:numFmt w:val="decimal"/>
      <w:lvlText w:val=""/>
      <w:lvlJc w:val="left"/>
    </w:lvl>
    <w:lvl w:ilvl="6" w:tplc="10CA6292">
      <w:numFmt w:val="decimal"/>
      <w:lvlText w:val=""/>
      <w:lvlJc w:val="left"/>
    </w:lvl>
    <w:lvl w:ilvl="7" w:tplc="F52A0048">
      <w:numFmt w:val="decimal"/>
      <w:lvlText w:val=""/>
      <w:lvlJc w:val="left"/>
    </w:lvl>
    <w:lvl w:ilvl="8" w:tplc="299A65EA">
      <w:numFmt w:val="decimal"/>
      <w:lvlText w:val=""/>
      <w:lvlJc w:val="left"/>
    </w:lvl>
  </w:abstractNum>
  <w:abstractNum w:abstractNumId="3" w15:restartNumberingAfterBreak="0">
    <w:nsid w:val="554325C8"/>
    <w:multiLevelType w:val="hybridMultilevel"/>
    <w:tmpl w:val="53B48400"/>
    <w:lvl w:ilvl="0" w:tplc="9B3A67AC">
      <w:start w:val="1"/>
      <w:numFmt w:val="decimal"/>
      <w:lvlText w:val="%1."/>
      <w:lvlJc w:val="left"/>
      <w:pPr>
        <w:ind w:left="720" w:hanging="360"/>
      </w:pPr>
    </w:lvl>
    <w:lvl w:ilvl="1" w:tplc="C4928D7A">
      <w:numFmt w:val="decimal"/>
      <w:lvlText w:val=""/>
      <w:lvlJc w:val="left"/>
    </w:lvl>
    <w:lvl w:ilvl="2" w:tplc="136EA206">
      <w:numFmt w:val="decimal"/>
      <w:lvlText w:val=""/>
      <w:lvlJc w:val="left"/>
    </w:lvl>
    <w:lvl w:ilvl="3" w:tplc="422E5CD4">
      <w:numFmt w:val="decimal"/>
      <w:lvlText w:val=""/>
      <w:lvlJc w:val="left"/>
    </w:lvl>
    <w:lvl w:ilvl="4" w:tplc="CCA0C750">
      <w:numFmt w:val="decimal"/>
      <w:lvlText w:val=""/>
      <w:lvlJc w:val="left"/>
    </w:lvl>
    <w:lvl w:ilvl="5" w:tplc="D374835C">
      <w:numFmt w:val="decimal"/>
      <w:lvlText w:val=""/>
      <w:lvlJc w:val="left"/>
    </w:lvl>
    <w:lvl w:ilvl="6" w:tplc="F788C3D8">
      <w:numFmt w:val="decimal"/>
      <w:lvlText w:val=""/>
      <w:lvlJc w:val="left"/>
    </w:lvl>
    <w:lvl w:ilvl="7" w:tplc="B89E3776">
      <w:numFmt w:val="decimal"/>
      <w:lvlText w:val=""/>
      <w:lvlJc w:val="left"/>
    </w:lvl>
    <w:lvl w:ilvl="8" w:tplc="F7A0650C">
      <w:numFmt w:val="decimal"/>
      <w:lvlText w:val=""/>
      <w:lvlJc w:val="left"/>
    </w:lvl>
  </w:abstractNum>
  <w:abstractNum w:abstractNumId="4" w15:restartNumberingAfterBreak="0">
    <w:nsid w:val="79174C70"/>
    <w:multiLevelType w:val="hybridMultilevel"/>
    <w:tmpl w:val="53984D28"/>
    <w:lvl w:ilvl="0" w:tplc="72E076B8">
      <w:start w:val="1"/>
      <w:numFmt w:val="decimal"/>
      <w:lvlText w:val="%1."/>
      <w:lvlJc w:val="left"/>
      <w:pPr>
        <w:ind w:left="1020" w:hanging="360"/>
      </w:pPr>
    </w:lvl>
    <w:lvl w:ilvl="1" w:tplc="0B5876EE">
      <w:start w:val="1"/>
      <w:numFmt w:val="decimal"/>
      <w:lvlText w:val="%2."/>
      <w:lvlJc w:val="left"/>
      <w:pPr>
        <w:ind w:left="1020" w:hanging="360"/>
      </w:pPr>
    </w:lvl>
    <w:lvl w:ilvl="2" w:tplc="0714E548">
      <w:start w:val="1"/>
      <w:numFmt w:val="decimal"/>
      <w:lvlText w:val="%3."/>
      <w:lvlJc w:val="left"/>
      <w:pPr>
        <w:ind w:left="1020" w:hanging="360"/>
      </w:pPr>
    </w:lvl>
    <w:lvl w:ilvl="3" w:tplc="985A2B4C">
      <w:start w:val="1"/>
      <w:numFmt w:val="decimal"/>
      <w:lvlText w:val="%4."/>
      <w:lvlJc w:val="left"/>
      <w:pPr>
        <w:ind w:left="1020" w:hanging="360"/>
      </w:pPr>
    </w:lvl>
    <w:lvl w:ilvl="4" w:tplc="7FE605E8">
      <w:start w:val="1"/>
      <w:numFmt w:val="decimal"/>
      <w:lvlText w:val="%5."/>
      <w:lvlJc w:val="left"/>
      <w:pPr>
        <w:ind w:left="1020" w:hanging="360"/>
      </w:pPr>
    </w:lvl>
    <w:lvl w:ilvl="5" w:tplc="E02448CC">
      <w:start w:val="1"/>
      <w:numFmt w:val="decimal"/>
      <w:lvlText w:val="%6."/>
      <w:lvlJc w:val="left"/>
      <w:pPr>
        <w:ind w:left="1020" w:hanging="360"/>
      </w:pPr>
    </w:lvl>
    <w:lvl w:ilvl="6" w:tplc="2B7465C6">
      <w:start w:val="1"/>
      <w:numFmt w:val="decimal"/>
      <w:lvlText w:val="%7."/>
      <w:lvlJc w:val="left"/>
      <w:pPr>
        <w:ind w:left="1020" w:hanging="360"/>
      </w:pPr>
    </w:lvl>
    <w:lvl w:ilvl="7" w:tplc="C090F888">
      <w:start w:val="1"/>
      <w:numFmt w:val="decimal"/>
      <w:lvlText w:val="%8."/>
      <w:lvlJc w:val="left"/>
      <w:pPr>
        <w:ind w:left="1020" w:hanging="360"/>
      </w:pPr>
    </w:lvl>
    <w:lvl w:ilvl="8" w:tplc="FEE66A66">
      <w:start w:val="1"/>
      <w:numFmt w:val="decimal"/>
      <w:lvlText w:val="%9."/>
      <w:lvlJc w:val="left"/>
      <w:pPr>
        <w:ind w:left="1020" w:hanging="360"/>
      </w:pPr>
    </w:lvl>
  </w:abstractNum>
  <w:num w:numId="1" w16cid:durableId="2054426220">
    <w:abstractNumId w:val="0"/>
    <w:lvlOverride w:ilvl="0">
      <w:startOverride w:val="1"/>
    </w:lvlOverride>
  </w:num>
  <w:num w:numId="2" w16cid:durableId="182593023">
    <w:abstractNumId w:val="3"/>
    <w:lvlOverride w:ilvl="0">
      <w:startOverride w:val="1"/>
    </w:lvlOverride>
  </w:num>
  <w:num w:numId="3" w16cid:durableId="1973559800">
    <w:abstractNumId w:val="2"/>
    <w:lvlOverride w:ilvl="0">
      <w:startOverride w:val="1"/>
    </w:lvlOverride>
  </w:num>
  <w:num w:numId="4" w16cid:durableId="735318733">
    <w:abstractNumId w:val="4"/>
  </w:num>
  <w:num w:numId="5" w16cid:durableId="7020248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esca Conselvan">
    <w15:presenceInfo w15:providerId="AD" w15:userId="S::ConselvanF@ceu.edu::966284c7-58ed-481b-a380-f50decae4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2A9"/>
    <w:rsid w:val="00064875"/>
    <w:rsid w:val="00211BA7"/>
    <w:rsid w:val="00400A9D"/>
    <w:rsid w:val="00483FD3"/>
    <w:rsid w:val="005842A9"/>
    <w:rsid w:val="00724481"/>
    <w:rsid w:val="00752F78"/>
    <w:rsid w:val="007D48E7"/>
    <w:rsid w:val="00805864"/>
    <w:rsid w:val="0082361B"/>
    <w:rsid w:val="00A01C24"/>
    <w:rsid w:val="00A56EF4"/>
    <w:rsid w:val="00A61D2C"/>
    <w:rsid w:val="00AC4616"/>
    <w:rsid w:val="00BE6894"/>
    <w:rsid w:val="00CC5532"/>
    <w:rsid w:val="00D24F97"/>
    <w:rsid w:val="00D26061"/>
    <w:rsid w:val="00D669F7"/>
    <w:rsid w:val="00DC0FED"/>
    <w:rsid w:val="00E40E7F"/>
    <w:rsid w:val="00ED587C"/>
    <w:rsid w:val="00F45A8D"/>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5F86E"/>
  <w15:docId w15:val="{74F438E7-4F14-A040-96E9-4529BF91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4D7A"/>
      <w:sz w:val="36"/>
      <w:szCs w:val="36"/>
    </w:rPr>
  </w:style>
  <w:style w:type="paragraph" w:styleId="Heading2">
    <w:name w:val="heading 2"/>
    <w:uiPriority w:val="9"/>
    <w:unhideWhenUsed/>
    <w:qFormat/>
    <w:pPr>
      <w:spacing w:before="280" w:after="160"/>
      <w:outlineLvl w:val="1"/>
    </w:pPr>
    <w:rPr>
      <w:b/>
      <w:bCs/>
      <w:color w:val="1E3A8A"/>
      <w:sz w:val="28"/>
      <w:szCs w:val="28"/>
    </w:rPr>
  </w:style>
  <w:style w:type="paragraph" w:styleId="Heading3">
    <w:name w:val="heading 3"/>
    <w:uiPriority w:val="9"/>
    <w:semiHidden/>
    <w:unhideWhenUsed/>
    <w:qFormat/>
    <w:pPr>
      <w:spacing w:before="200" w:after="100"/>
      <w:outlineLvl w:val="2"/>
    </w:pPr>
    <w:rPr>
      <w:b/>
      <w:bCs/>
      <w:color w:val="1118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05864"/>
    <w:pPr>
      <w:spacing w:after="100"/>
    </w:pPr>
  </w:style>
  <w:style w:type="paragraph" w:styleId="TOC2">
    <w:name w:val="toc 2"/>
    <w:basedOn w:val="Normal"/>
    <w:next w:val="Normal"/>
    <w:autoRedefine/>
    <w:uiPriority w:val="39"/>
    <w:unhideWhenUsed/>
    <w:rsid w:val="00805864"/>
    <w:pPr>
      <w:spacing w:after="100"/>
      <w:ind w:left="220"/>
    </w:pPr>
  </w:style>
  <w:style w:type="character" w:styleId="CommentReference">
    <w:name w:val="annotation reference"/>
    <w:basedOn w:val="DefaultParagraphFont"/>
    <w:uiPriority w:val="99"/>
    <w:semiHidden/>
    <w:unhideWhenUsed/>
    <w:rsid w:val="00064875"/>
    <w:rPr>
      <w:sz w:val="16"/>
      <w:szCs w:val="16"/>
    </w:rPr>
  </w:style>
  <w:style w:type="paragraph" w:styleId="CommentText">
    <w:name w:val="annotation text"/>
    <w:basedOn w:val="Normal"/>
    <w:link w:val="CommentTextChar"/>
    <w:uiPriority w:val="99"/>
    <w:unhideWhenUsed/>
    <w:rsid w:val="00064875"/>
    <w:rPr>
      <w:sz w:val="20"/>
      <w:szCs w:val="20"/>
    </w:rPr>
  </w:style>
  <w:style w:type="character" w:customStyle="1" w:styleId="CommentTextChar">
    <w:name w:val="Comment Text Char"/>
    <w:basedOn w:val="DefaultParagraphFont"/>
    <w:link w:val="CommentText"/>
    <w:uiPriority w:val="99"/>
    <w:rsid w:val="00064875"/>
    <w:rPr>
      <w:sz w:val="20"/>
      <w:szCs w:val="20"/>
    </w:rPr>
  </w:style>
  <w:style w:type="paragraph" w:styleId="CommentSubject">
    <w:name w:val="annotation subject"/>
    <w:basedOn w:val="CommentText"/>
    <w:next w:val="CommentText"/>
    <w:link w:val="CommentSubjectChar"/>
    <w:uiPriority w:val="99"/>
    <w:semiHidden/>
    <w:unhideWhenUsed/>
    <w:rsid w:val="00064875"/>
    <w:rPr>
      <w:b/>
      <w:bCs/>
    </w:rPr>
  </w:style>
  <w:style w:type="character" w:customStyle="1" w:styleId="CommentSubjectChar">
    <w:name w:val="Comment Subject Char"/>
    <w:basedOn w:val="CommentTextChar"/>
    <w:link w:val="CommentSubject"/>
    <w:uiPriority w:val="99"/>
    <w:semiHidden/>
    <w:rsid w:val="00064875"/>
    <w:rPr>
      <w:b/>
      <w:bCs/>
      <w:sz w:val="20"/>
      <w:szCs w:val="20"/>
    </w:rPr>
  </w:style>
  <w:style w:type="character" w:styleId="UnresolvedMention">
    <w:name w:val="Unresolved Mention"/>
    <w:basedOn w:val="DefaultParagraphFont"/>
    <w:uiPriority w:val="99"/>
    <w:semiHidden/>
    <w:unhideWhenUsed/>
    <w:rsid w:val="00064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5951</Words>
  <Characters>33922</Characters>
  <Application>Microsoft Office Word</Application>
  <DocSecurity>0</DocSecurity>
  <Lines>282</Lines>
  <Paragraphs>79</Paragraphs>
  <ScaleCrop>false</ScaleCrop>
  <Company/>
  <LinksUpToDate>false</LinksUpToDate>
  <CharactersWithSpaces>39794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Uzbekistan Power Sector Transition Tracker</dc:title>
  <dc:creator>Farangiz Jurakhonova</dc:creator>
  <dc:description>CEU MSBA capstone research paper — Draft</dc:description>
  <cp:lastModifiedBy>Farangiz Jurakhonova</cp:lastModifiedBy>
  <cp:revision>2</cp:revision>
  <dcterms:created xsi:type="dcterms:W3CDTF">2026-06-05T23:49:00Z</dcterms:created>
  <dcterms:modified xsi:type="dcterms:W3CDTF">2026-06-05T23:49:00Z</dcterms:modified>
</cp:coreProperties>
</file>