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0d4d7a"/>
          <w:sz w:val="44"/>
          <w:szCs w:val="44"/>
        </w:rPr>
        <w:t xml:space="preserve">Uzbekistan Power Sector Transition Tracker</w:t>
      </w:r>
    </w:p>
    <w:p>
      <w:pPr>
        <w:spacing w:after="720"/>
        <w:jc w:val="center"/>
      </w:pPr>
      <w:r>
        <w:rPr>
          <w:i/>
          <w:iCs/>
          <w:color w:val="6b7280"/>
          <w:sz w:val="28"/>
          <w:szCs w:val="28"/>
        </w:rPr>
        <w:t xml:space="preserve">A Scenario-Based Forecasting and Decision-Support Framework for Energy-Sector Advisory</w:t>
      </w:r>
    </w:p>
    <w:p>
      <w:pPr>
        <w:spacing w:after="480"/>
        <w:jc w:val="center"/>
      </w:pPr>
      <w:r>
        <w:rPr>
          <w:sz w:val="24"/>
          <w:szCs w:val="24"/>
        </w:rPr>
        <w:t xml:space="preserve">Central European University — Master of Science in Business Analytics</w:t>
      </w:r>
    </w:p>
    <w:p>
      <w:pPr>
        <w:spacing w:after="240"/>
        <w:jc w:val="center"/>
      </w:pPr>
      <w:r>
        <w:rPr>
          <w:b/>
          <w:bCs/>
          <w:sz w:val="24"/>
          <w:szCs w:val="24"/>
        </w:rPr>
        <w:t xml:space="preserve">Capstone Research Paper</w:t>
      </w:r>
    </w:p>
    <w:p>
      <w:pPr>
        <w:spacing w:after="120" w:before="1200"/>
        <w:jc w:val="center"/>
      </w:pPr>
      <w:r>
        <w:rPr>
          <w:b/>
          <w:bCs/>
          <w:sz w:val="28"/>
          <w:szCs w:val="28"/>
        </w:rPr>
        <w:t xml:space="preserve">Farangiz Jurakhonova</w:t>
      </w:r>
    </w:p>
    <w:p>
      <w:pPr>
        <w:spacing w:after="120"/>
        <w:jc w:val="center"/>
      </w:pPr>
      <w:r>
        <w:rPr>
          <w:sz w:val="22"/>
          <w:szCs w:val="22"/>
        </w:rPr>
        <w:t xml:space="preserve">Jurakhonova_Farangiz@student.ceu.edu</w:t>
      </w:r>
    </w:p>
    <w:p>
      <w:pPr>
        <w:spacing w:after="60" w:before="720"/>
        <w:jc w:val="center"/>
      </w:pPr>
      <w:r>
        <w:rPr>
          <w:color w:val="6b7280"/>
          <w:sz w:val="20"/>
          <w:szCs w:val="20"/>
        </w:rPr>
        <w:t xml:space="preserve">Faculty Supervisor</w:t>
      </w:r>
    </w:p>
    <w:p>
      <w:pPr>
        <w:spacing w:after="240"/>
        <w:jc w:val="center"/>
      </w:pPr>
      <w:r>
        <w:rPr>
          <w:sz w:val="24"/>
          <w:szCs w:val="24"/>
        </w:rPr>
        <w:t xml:space="preserve">Francesca Conselvan, CEU</w:t>
      </w:r>
    </w:p>
    <w:p>
      <w:pPr>
        <w:spacing w:after="60"/>
        <w:jc w:val="center"/>
      </w:pPr>
      <w:r>
        <w:rPr>
          <w:color w:val="6b7280"/>
          <w:sz w:val="20"/>
          <w:szCs w:val="20"/>
        </w:rPr>
        <w:t xml:space="preserve">Project Sponsor / Client</w:t>
      </w:r>
    </w:p>
    <w:p>
      <w:pPr>
        <w:spacing w:after="240"/>
        <w:jc w:val="center"/>
      </w:pPr>
      <w:r>
        <w:rPr>
          <w:sz w:val="24"/>
          <w:szCs w:val="24"/>
        </w:rPr>
        <w:t xml:space="preserve">Ardak Akhatova — ILF Consulting Engineers Austria GmbH</w:t>
      </w:r>
    </w:p>
    <w:p>
      <w:pPr>
        <w:spacing w:before="1200"/>
        <w:jc w:val="center"/>
      </w:pPr>
      <w:r>
        <w:rPr>
          <w:i/>
          <w:iCs/>
          <w:color w:val="1e3a8a"/>
          <w:sz w:val="22"/>
          <w:szCs w:val="22"/>
        </w:rPr>
        <w:t xml:space="preserve">Draft — Working Manuscript for Mentor Review</w:t>
      </w:r>
    </w:p>
    <w:p>
      <w:pPr>
        <w:spacing w:after="240"/>
        <w:jc w:val="center"/>
      </w:pPr>
      <w:r>
        <w:rPr>
          <w:color w:val="6b7280"/>
          <w:sz w:val="20"/>
          <w:szCs w:val="20"/>
        </w:rPr>
        <w:t xml:space="preserve">Version 0.1 — 2026-05-27</w:t>
      </w:r>
    </w:p>
    <w:p>
      <w:pPr>
        <w:pStyle w:val="Heading1"/>
        <w:pageBreakBefore/>
      </w:pPr>
      <w:r>
        <w:t xml:space="preserve">How to use this draft</w:t>
      </w:r>
    </w:p>
    <w:p>
      <w:pPr>
        <w:spacing w:after="120"/>
      </w:pPr>
      <w:r>
        <w:t xml:space="preserve">This document is the writing scaffold for the capstone research paper. It is structured to support iterative drafting with mentor review.</w:t>
      </w:r>
    </w:p>
    <w:p>
      <w:r>
        <w:rPr>
          <w:i/>
          <w:iCs/>
        </w:rPr>
        <w:t xml:space="preserve">Yellow highlighted blocks marked </w:t>
      </w:r>
      <w:r>
        <w:rPr>
          <w:b/>
          <w:bCs/>
          <w:color w:val="B45309"/>
        </w:rPr>
        <w:t xml:space="preserve">[TO EXPAND]</w:t>
      </w:r>
      <w:r>
        <w:rPr>
          <w:i/>
          <w:iCs/>
        </w:rPr>
        <w:t xml:space="preserve"> are placeholders showing what content the student should write in that location, with the key points already pre-noted. Replace them with full prose as you draft.</w:t>
      </w:r>
    </w:p>
    <w:p>
      <w:r>
        <w:t xml:space="preserve">Blue </w:t>
      </w:r>
      <w:r>
        <w:rPr>
          <w:b/>
          <w:bCs/>
          <w:color w:val="1E40AF"/>
        </w:rPr>
        <w:t xml:space="preserve">Note. </w:t>
      </w:r>
      <w:r>
        <w:t xml:space="preserve">blocks contain methodological reminders or cross-references to the analytical notebooks (NB01–NB10) and the cleaned datasets under </w:t>
      </w:r>
      <w:r>
        <w:rPr>
          <w:rFonts w:ascii="Courier New" w:cs="Courier New" w:eastAsia="Courier New" w:hAnsi="Courier New"/>
        </w:rPr>
        <w:t xml:space="preserve">data/processed/</w:t>
      </w:r>
      <w:r>
        <w:t xml:space="preserve">.</w:t>
      </w:r>
    </w:p>
    <w:p>
      <w:r>
        <w:t xml:space="preserve">Recommended workflow with mentors:</w:t>
      </w:r>
    </w:p>
    <w:p>
      <w:pPr>
        <w:pStyle w:val="ListParagraph"/>
        <w:numPr>
          <w:ilvl w:val="0"/>
          <w:numId w:val="2"/>
        </w:numPr>
      </w:pPr>
      <w:r>
        <w:t xml:space="preserve">Enable Track Changes in Word (Review → Track Changes → All Markup) before sharing.</w:t>
      </w:r>
    </w:p>
    <w:p>
      <w:pPr>
        <w:pStyle w:val="ListParagraph"/>
        <w:numPr>
          <w:ilvl w:val="0"/>
          <w:numId w:val="2"/>
        </w:numPr>
      </w:pPr>
      <w:r>
        <w:t xml:space="preserve">Mentors leave comments via Review → New Comment, or use Track Changes directly.</w:t>
      </w:r>
    </w:p>
    <w:p>
      <w:pPr>
        <w:pStyle w:val="ListParagraph"/>
        <w:numPr>
          <w:ilvl w:val="0"/>
          <w:numId w:val="2"/>
        </w:numPr>
      </w:pPr>
      <w:r>
        <w:t xml:space="preserve">After incorporating feedback, accept or reject changes section by section.</w:t>
      </w:r>
    </w:p>
    <w:p>
      <w:pPr>
        <w:pStyle w:val="ListParagraph"/>
        <w:numPr>
          <w:ilvl w:val="0"/>
          <w:numId w:val="2"/>
        </w:numPr>
      </w:pPr>
      <w:r>
        <w:t xml:space="preserve">Update the version number on the title page each time you share.</w:t>
      </w:r>
    </w:p>
    <w:p>
      <w:pPr>
        <w:pStyle w:val="Heading1"/>
        <w:pageBreakBefore/>
      </w:pPr>
      <w:r>
        <w:t xml:space="preserve">Abstract</w:t>
      </w:r>
    </w:p>
    <w:p>
      <w:pPr>
        <w:shd w:fill="FEF3C7" w:val="clear"/>
        <w:spacing w:after="80" w:before="80"/>
      </w:pPr>
      <w:r>
        <w:rPr>
          <w:b/>
          <w:bCs/>
          <w:color w:val="B45309"/>
        </w:rPr>
        <w:t xml:space="preserve">[TO EXPAND] </w:t>
      </w:r>
      <w:r>
        <w:rPr>
          <w:i/>
          <w:iCs/>
          <w:color w:val="78350F"/>
        </w:rPr>
        <w:t xml:space="preserve">150–250 words. State the problem (Uzbekistan power transition + ILF advisory pipeline), the data sources (six open-licensed sources, 1990–2026), the methods (regularised regression bench + Bayesian Ridge + pooled CA panel), the headline result (2030 demand fan 76–110 TWh from Bayesian Ridge, all four targets within Lewis (1982) MAPE bands), and the contribution to ILF (decision-support dashboard).</w:t>
      </w:r>
    </w:p>
    <w:p>
      <w:pPr>
        <w:spacing w:after="120" w:before="120"/>
      </w:pPr>
      <w:r>
        <w:t xml:space="preserve"/>
      </w:r>
    </w:p>
    <w:p>
      <w:r>
        <w:rPr>
          <w:b/>
          <w:bCs/>
        </w:rPr>
        <w:t xml:space="preserve">Keywords: </w:t>
      </w:r>
      <w:r>
        <w:t xml:space="preserve">electricity demand forecasting, Bayesian Ridge regression, Central Asia, panel data, energy transition, scenario analysis, decision-support dashboard.</w:t>
      </w:r>
    </w:p>
    <w:p>
      <w:pPr>
        <w:pStyle w:val="Heading1"/>
        <w:pageBreakBefore/>
      </w:pPr>
      <w:r>
        <w:t xml:space="preserve">Executive Summary</w:t>
      </w:r>
    </w:p>
    <w:p>
      <w:r>
        <w:rPr>
          <w:b/>
          <w:bCs/>
        </w:rPr>
        <w:t xml:space="preserve">Context. </w:t>
      </w:r>
      <w:r>
        <w:t xml:space="preserve">ILF Consulting Engineers Austria advises governments, IFIs, and utilities on Central Asian power-sector projects. Uzbekistan is undergoing simultaneous structural shifts — gas-supply decline, renewable build-out toward a 20 GW NDC target by 2030, ageing transmission, and unprecedented multilateral investment inflows. ILF currently reconciles these signals manually across fragmented sources.</w:t>
      </w:r>
    </w:p>
    <w:p>
      <w:r>
        <w:rPr>
          <w:b/>
          <w:bCs/>
        </w:rPr>
        <w:t xml:space="preserve">Objective. </w:t>
      </w:r>
      <w:r>
        <w:t xml:space="preserve">Build a reproducible Power Sector Transition Tracker — a Python data pipeline, scenario-aware forecasting models, an investment-signal layer, and a Plotly Dash dashboard — that consolidates the system view from 1990 through 2040 with calibrated uncertainty.</w:t>
      </w:r>
    </w:p>
    <w:p>
      <w:r>
        <w:rPr>
          <w:b/>
          <w:bCs/>
        </w:rPr>
        <w:t xml:space="preserve">Headline findings. </w:t>
      </w:r>
    </w:p>
    <w:p>
      <w:pPr>
        <w:pStyle w:val="ListParagraph"/>
        <w:numPr>
          <w:ilvl w:val="0"/>
          <w:numId w:val="3"/>
        </w:numPr>
      </w:pPr>
      <w:r>
        <w:t xml:space="preserve">Generation grew from approximately 50 TWh (1990) to 83 TWh (2024), a CAGR of about 1.5 % per year; natural gas accounts for ≥ 75 % of the generation mix throughout the entire period.</w:t>
      </w:r>
    </w:p>
    <w:p>
      <w:pPr>
        <w:pStyle w:val="ListParagraph"/>
        <w:numPr>
          <w:ilvl w:val="0"/>
          <w:numId w:val="3"/>
        </w:numPr>
      </w:pPr>
      <w:r>
        <w:t xml:space="preserve">The Bayesian Ridge baseline forecast places 2030 electricity demand at 93 TWh with a 90 % predictive interval of 76–110 TWh; this interval contains the interim Ridge point estimate (101 TWh) and the Eurasian Development Bank (EDB) March 2026 outlook (~102 TWh).</w:t>
      </w:r>
    </w:p>
    <w:p>
      <w:pPr>
        <w:pStyle w:val="ListParagraph"/>
        <w:numPr>
          <w:ilvl w:val="0"/>
          <w:numId w:val="3"/>
        </w:numPr>
      </w:pPr>
      <w:r>
        <w:t xml:space="preserve">Pooling Uzbekistan with three other Central Asia countries (KAZ + KGZ + TJK, n = 95) yields a hold-out test MAPE of 4.62 % for UZB, materially better than the UZB-only minimal Ridge (10.58 %).</w:t>
      </w:r>
    </w:p>
    <w:p>
      <w:pPr>
        <w:pStyle w:val="ListParagraph"/>
        <w:numPr>
          <w:ilvl w:val="0"/>
          <w:numId w:val="3"/>
        </w:numPr>
      </w:pPr>
      <w:r>
        <w:t xml:space="preserve">A structural capacity gap of approximately 3 GW per year of net renewable additions is required to meet the 20 GW 2030 target; the empirical build-out pace is below this trajectory.</w:t>
      </w:r>
    </w:p>
    <w:p>
      <w:pPr>
        <w:pStyle w:val="ListParagraph"/>
        <w:numPr>
          <w:ilvl w:val="0"/>
          <w:numId w:val="3"/>
        </w:numPr>
      </w:pPr>
      <w:r>
        <w:t xml:space="preserve">Three of the four predictive targets meet the Lewis (1982) "excellent" MAPE band (&lt; 10 %); CO₂ intensity is reported as a directional trend rather than a point forecast given negative test R².</w:t>
      </w:r>
    </w:p>
    <w:p>
      <w:r>
        <w:rPr>
          <w:b/>
          <w:bCs/>
        </w:rPr>
        <w:t xml:space="preserve">Decision-support contribution. </w:t>
      </w:r>
      <w:r>
        <w:t xml:space="preserve">A live Plotly Dash dashboard, deployable to Render, surfaces capacity-gap, renewable-shortfall, and NDC-residual signals mapped one-to-one to ILF advisory categories. Sensitivity overlays — including a parametric Plan B nuclear scenario — let the analyst run "what-if" interactions in under three clicks.</w:t>
      </w:r>
    </w:p>
    <w:p>
      <w:pPr>
        <w:pStyle w:val="Heading1"/>
        <w:pageBreakBefore/>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hd w:fill="EFF6FF" w:val="clear"/>
        <w:spacing w:after="80" w:before="80"/>
      </w:pPr>
      <w:r>
        <w:rPr>
          <w:b/>
          <w:bCs/>
          <w:color w:val="1E40AF"/>
        </w:rPr>
        <w:t xml:space="preserve">Note. </w:t>
      </w:r>
      <w:r>
        <w:rPr>
          <w:i/>
          <w:iCs/>
          <w:color w:val="1E40AF"/>
        </w:rPr>
        <w:t xml:space="preserve">To refresh this Table of Contents in Word: right-click anywhere in the TOC and choose "Update Field" → "Update entire table". If the TOC appears empty when you first open the document, this is normal — pressing F9 (or right-clicking → Update Field) generates it from the heading structure.</w:t>
      </w:r>
    </w:p>
    <w:p>
      <w:pPr>
        <w:pStyle w:val="Heading1"/>
        <w:pageBreakBefore/>
      </w:pPr>
      <w:r>
        <w:t xml:space="preserve">1. Introduction</w:t>
      </w:r>
    </w:p>
    <w:p>
      <w:pPr>
        <w:pStyle w:val="Heading2"/>
      </w:pPr>
      <w:r>
        <w:t xml:space="preserve">1.1 Motivation</w:t>
      </w:r>
    </w:p>
    <w:p>
      <w:pPr>
        <w:shd w:fill="FEF3C7" w:val="clear"/>
        <w:spacing w:after="80" w:before="80"/>
      </w:pPr>
      <w:r>
        <w:rPr>
          <w:b/>
          <w:bCs/>
          <w:color w:val="B45309"/>
        </w:rPr>
        <w:t xml:space="preserve">[TO EXPAND] </w:t>
      </w:r>
      <w:r>
        <w:rPr>
          <w:i/>
          <w:iCs/>
          <w:color w:val="78350F"/>
        </w:rPr>
        <w:t xml:space="preserve">Two paragraphs. (1) ILF's commercial context — multi-year advisory engagement in Uzbekistan, fragmented data, no consolidated view. (2) Why now — convergence of gas decline, RE buildout, NDC pressure, multilateral capital inflows creates a 2026–2030 window where structured analytical work has commercial value.</w:t>
      </w:r>
    </w:p>
    <w:p>
      <w:pPr>
        <w:pStyle w:val="Heading2"/>
      </w:pPr>
      <w:r>
        <w:t xml:space="preserve">1.2 Research questions</w:t>
      </w:r>
    </w:p>
    <w:p>
      <w:r>
        <w:t xml:space="preserve">This paper addresses one primary and four operational research questions.</w:t>
      </w:r>
    </w:p>
    <w:p>
      <w:r>
        <w:rPr>
          <w:b/>
          <w:bCs/>
        </w:rPr>
        <w:t xml:space="preserve">RQ (primary). </w:t>
      </w:r>
      <w:r>
        <w:t xml:space="preserve">How will Uzbekistan's electricity demand, renewable-energy share, fossil-based generation, and power-sector CO₂ intensity evolve between 2024 and 2040 under a calibrated set of macroeconomic and policy scenarios, and with what confidence can each be forecast given the constraints of annual national data?</w:t>
      </w:r>
    </w:p>
    <w:p>
      <w:r>
        <w:rPr>
          <w:b/>
          <w:bCs/>
        </w:rPr>
        <w:t xml:space="preserve">RQ1. </w:t>
      </w:r>
      <w:r>
        <w:t xml:space="preserve">Which statistical and machine-learning specifications produce the most accurate out-of-sample forecast for annual electricity demand on n ≈ 34 observations?</w:t>
      </w:r>
    </w:p>
    <w:p>
      <w:r>
        <w:rPr>
          <w:b/>
          <w:bCs/>
        </w:rPr>
        <w:t xml:space="preserve">RQ2. </w:t>
      </w:r>
      <w:r>
        <w:t xml:space="preserve">Does pooling Central Asia neighbours with country fixed effects materially improve forecast accuracy compared with UZB-only models, and under what assumptions does this pooling identify a defensible long-run elasticity structure?</w:t>
      </w:r>
    </w:p>
    <w:p>
      <w:r>
        <w:rPr>
          <w:b/>
          <w:bCs/>
        </w:rPr>
        <w:t xml:space="preserve">RQ3. </w:t>
      </w:r>
      <w:r>
        <w:t xml:space="preserve">How should uncertainty be communicated to a non-technical advisory audience so that scenario outputs translate into investment-pipeline decisions?</w:t>
      </w:r>
    </w:p>
    <w:p>
      <w:r>
        <w:rPr>
          <w:b/>
          <w:bCs/>
        </w:rPr>
        <w:t xml:space="preserve">RQ4. </w:t>
      </w:r>
      <w:r>
        <w:t xml:space="preserve">Which structural drivers — gross domestic product, sectoral value-added, urbanisation, climate degree-days, fuel-price pass-through — carry the strongest empirical signal for annual electricity demand, and which are over-stated by spurious-regression artefacts?</w:t>
      </w:r>
    </w:p>
    <w:p>
      <w:pPr>
        <w:pStyle w:val="Heading2"/>
      </w:pPr>
      <w:r>
        <w:t xml:space="preserve">1.3 Scope and unit of analysis</w:t>
      </w:r>
    </w:p>
    <w:p>
      <w:r>
        <w:t xml:space="preserve">The unit of analysis is country-year (Republic of Uzbekistan, annual frequency, 1990–2026 confirmed and preliminary; forecasted to 2040). Annual country-level data is chosen for three reasons: (a) all six authoritative source publications report at annual cadence; (b) ILF advisory decisions operate on multi-year horizons where sub-annual variance is not material; (c) the structural transition dynamics under study — capacity build-out, fuel mix, carbon intensity — evolve at annual or slower frequencies. An oblast-level extension is treated as a stretch goal contingent on data availability (see § 7).</w:t>
      </w:r>
    </w:p>
    <w:p>
      <w:pPr>
        <w:pStyle w:val="Heading2"/>
      </w:pPr>
      <w:r>
        <w:t xml:space="preserve">1.4 Contribution</w:t>
      </w:r>
    </w:p>
    <w:p>
      <w:r>
        <w:t xml:space="preserve">This paper makes four contributions.</w:t>
      </w:r>
    </w:p>
    <w:p>
      <w:pPr>
        <w:pStyle w:val="ListParagraph"/>
        <w:numPr>
          <w:ilvl w:val="0"/>
          <w:numId w:val="2"/>
        </w:numPr>
      </w:pPr>
      <w:r>
        <w:t xml:space="preserve">A unit-harmonised master dataset for Uzbekistan 1990–2026 reconciled across IEA, IRENA, World Bank, the State Statistics Committee of Uzbekistan (UzStat), Our World In Data (OWID), and the Eurasian Development Bank, with a transparent ratio-scaling bridge for the IEA–UzStat overlap window (cross-checked to within 2 % on demand, generation, and capacity).</w:t>
      </w:r>
    </w:p>
    <w:p>
      <w:pPr>
        <w:pStyle w:val="ListParagraph"/>
        <w:numPr>
          <w:ilvl w:val="0"/>
          <w:numId w:val="2"/>
        </w:numPr>
      </w:pPr>
      <w:r>
        <w:t xml:space="preserve">A 95-observation pooled Central Asia panel (KAZ, KGZ, TJK, UZB) combining OWID/Ember electricity demand with World Bank macro and Open-Meteo ERA5 population-weighted climate, enabling a fixed-effects panel regression that materially reduces hold-out MAPE relative to UZB-only models.</w:t>
      </w:r>
    </w:p>
    <w:p>
      <w:pPr>
        <w:pStyle w:val="ListParagraph"/>
        <w:numPr>
          <w:ilvl w:val="0"/>
          <w:numId w:val="2"/>
        </w:numPr>
      </w:pPr>
      <w:r>
        <w:t xml:space="preserve">A Bayesian Ridge specification with empirical-Bayes hyperparameter selection that propagates parameter uncertainty into a 90 % predictive interval — methodologically more honest than the residual-bootstrap intervals used in the interim report.</w:t>
      </w:r>
    </w:p>
    <w:p>
      <w:pPr>
        <w:pStyle w:val="ListParagraph"/>
        <w:numPr>
          <w:ilvl w:val="0"/>
          <w:numId w:val="2"/>
        </w:numPr>
      </w:pPr>
      <w:r>
        <w:t xml:space="preserve">A reproducible Plotly Dash decision-support dashboard mapping every forecast and signal to a named ILF advisory workstream, with parametric overlays for sensitivity analysis.</w:t>
      </w:r>
    </w:p>
    <w:p>
      <w:pPr>
        <w:pStyle w:val="Heading1"/>
        <w:pageBreakBefore/>
      </w:pPr>
      <w:r>
        <w:t xml:space="preserve">2. Literature Review</w:t>
      </w:r>
    </w:p>
    <w:p>
      <w:pPr>
        <w:pStyle w:val="Heading2"/>
      </w:pPr>
      <w:r>
        <w:t xml:space="preserve">2.1 Electricity demand forecasting in developing economies</w:t>
      </w:r>
    </w:p>
    <w:p>
      <w:pPr>
        <w:shd w:fill="FEF3C7" w:val="clear"/>
        <w:spacing w:after="80" w:before="80"/>
      </w:pPr>
      <w:r>
        <w:rPr>
          <w:b/>
          <w:bCs/>
          <w:color w:val="B45309"/>
        </w:rPr>
        <w:t xml:space="preserve">[TO EXPAND] </w:t>
      </w:r>
      <w:r>
        <w:rPr>
          <w:i/>
          <w:iCs/>
          <w:color w:val="78350F"/>
        </w:rPr>
        <w:t xml:space="preserve">Three to four paragraphs covering: (a) income-elasticity benchmarks (Bhattacharyya &amp; Blake 2009 for MENA; Inglesi-Lotz 2011 for South Africa; ADB working-paper series for Central Asia). (b) Short-run vs long-run elasticity distinction. (c) The role of climate degree-days following Eskeland &amp; Mideksa (2010). Cite each.</w:t>
      </w:r>
    </w:p>
    <w:p>
      <w:pPr>
        <w:pStyle w:val="Heading2"/>
      </w:pPr>
      <w:r>
        <w:t xml:space="preserve">2.2 Small-sample remedies for time-series regression</w:t>
      </w:r>
    </w:p>
    <w:p>
      <w:r>
        <w:t xml:space="preserve">Annual electricity data for a single country places researchers in a small-sample regime where ordinary least squares on level series risks the spurious-regression result of Granger and Newbold (1974) and where conventional cross-validation under-states overfitting. Three classes of remedy are applied in this paper.</w:t>
      </w:r>
    </w:p>
    <w:p>
      <w:r>
        <w:rPr>
          <w:b/>
          <w:bCs/>
        </w:rPr>
        <w:t xml:space="preserve">Ridge regression. </w:t>
      </w:r>
      <w:r>
        <w:t xml:space="preserve">Hoerl and Kennard (1970) introduced the L₂-penalised estimator that stabilises coefficient estimates under near-collinearity by minimising the augmented loss </w:t>
      </w:r>
      <w:r>
        <w:rPr>
          <w:i/>
          <w:iCs/>
        </w:rPr>
        <w:t xml:space="preserve">∥y − Xβ∥² + α∥β∥²</w:t>
      </w:r>
      <w:r>
        <w:t xml:space="preserve">, yielding the closed-form solution </w:t>
      </w:r>
      <w:r>
        <w:rPr>
          <w:i/>
          <w:iCs/>
        </w:rPr>
        <w:t xml:space="preserve">β̂ = (X′X + αI)⁻¹ X′y</w:t>
      </w:r>
      <w:r>
        <w:t xml:space="preserve">. The tuning parameter α is selected by cross-validation. The interim version of this work used α = 10 on a four-feature minimal specification.</w:t>
      </w:r>
    </w:p>
    <w:p>
      <w:r>
        <w:rPr>
          <w:b/>
          <w:bCs/>
        </w:rPr>
        <w:t xml:space="preserve">Bayesian Ridge. </w:t>
      </w:r>
      <w:r>
        <w:t xml:space="preserve">Tipping (2001) reformulates the same estimator as the maximum a posteriori estimate under an isotropic Gaussian prior on β with precision α and a Gaussian likelihood with noise precision λ. The hyperparameters are jointly estimated by maximising the marginal likelihood — empirical Bayes — which removes the arbitrariness of a cross-validation grid and yields a closed-form predictive distribution at any new </w:t>
      </w:r>
      <w:r>
        <w:rPr>
          <w:i/>
          <w:iCs/>
        </w:rPr>
        <w:t xml:space="preserve">x*</w:t>
      </w:r>
      <w:r>
        <w:t xml:space="preserve"> that combines residual noise and parameter uncertainty into a single predictive variance.</w:t>
      </w:r>
    </w:p>
    <w:p>
      <w:r>
        <w:rPr>
          <w:b/>
          <w:bCs/>
        </w:rPr>
        <w:t xml:space="preserve">Panel pooling. </w:t>
      </w:r>
      <w:r>
        <w:t xml:space="preserve">Hsiao (2014) develops the theory of fixed- and random-effects panel estimators when slope coefficients are assumed homogeneous across cross-sectional units but intercepts differ. Pooling Uzbekistan with neighbours that share a comparable economic structure (resource extraction, transition from Soviet-era infrastructure, dollarised investment flows) is defensible under the assumption that demand elasticities transfer across the region. Section 5.3 tests this assumption via leave-one-country-out cross-validation.</w:t>
      </w:r>
    </w:p>
    <w:p>
      <w:pPr>
        <w:pStyle w:val="Heading2"/>
      </w:pPr>
      <w:r>
        <w:t xml:space="preserve">2.3 Stationarity and cointegration discipline</w:t>
      </w:r>
    </w:p>
    <w:p>
      <w:r>
        <w:t xml:space="preserve">The augmented Dickey-Fuller test (Dickey &amp; Fuller, 1979) and the Kwiatkowski-Phillips-Schmidt-Shin test (Kwiatkowski et al., 1992) are jointly applied to every candidate series to classify it as stationary, I(1), or ambiguous. Where both the dependent variable and one or more drivers are I(1), the Engle-Granger two-step procedure (Engle &amp; Granger, 1987) tests whether a long-run cointegrating relationship exists. These results determine whether subsequent regressions are run in levels (cointegrated case) or first differences (otherwise).</w:t>
      </w:r>
    </w:p>
    <w:p>
      <w:pPr>
        <w:pStyle w:val="Heading2"/>
      </w:pPr>
      <w:r>
        <w:t xml:space="preserve">2.4 Forecast evaluation framework</w:t>
      </w:r>
    </w:p>
    <w:p>
      <w:r>
        <w:t xml:space="preserve">Following Lewis (1982), forecast accuracy is reported as the mean absolute percentage error (MAPE) and classified into four bands: less than 10 % "excellent", 10–20 % "good", 20–50 % "acceptable", and greater than 50 % "inaccurate". Root mean squared error (RMSE) and the coefficient of determination (R²) on the same hold-out are reported as auxiliary diagnostics.</w:t>
      </w:r>
    </w:p>
    <w:p>
      <w:pPr>
        <w:pStyle w:val="Heading2"/>
      </w:pPr>
      <w:r>
        <w:t xml:space="preserve">2.5 Central Asia energy sector literature</w:t>
      </w:r>
    </w:p>
    <w:p>
      <w:pPr>
        <w:shd w:fill="FEF3C7" w:val="clear"/>
        <w:spacing w:after="80" w:before="80"/>
      </w:pPr>
      <w:r>
        <w:rPr>
          <w:b/>
          <w:bCs/>
          <w:color w:val="B45309"/>
        </w:rPr>
        <w:t xml:space="preserve">[TO EXPAND] </w:t>
      </w:r>
      <w:r>
        <w:rPr>
          <w:i/>
          <w:iCs/>
          <w:color w:val="78350F"/>
        </w:rPr>
        <w:t xml:space="preserve">Three to four paragraphs. Key references to include: IEA Central Asia Energy Outlook 2024 for fuel-mix benchmarks; IRENA Pathways to a Renewable Future for RE deployment trajectories; EDB March 2026 for the peer projections this paper cross-validates against; Broomandi et al. (2025) for the Central Asian climate trajectory under SSP scenarios. Use this section to position your contribution against the existing literature — what gap are you filling?</w:t>
      </w:r>
    </w:p>
    <w:p>
      <w:pPr>
        <w:pStyle w:val="Heading1"/>
        <w:pageBreakBefore/>
      </w:pPr>
      <w:r>
        <w:t xml:space="preserve">3. Data and Methodology</w:t>
      </w:r>
    </w:p>
    <w:p>
      <w:pPr>
        <w:pStyle w:val="Heading2"/>
      </w:pPr>
      <w:r>
        <w:t xml:space="preserve">3.1 Data sources</w:t>
      </w:r>
    </w:p>
    <w:p>
      <w:r>
        <w:t xml:space="preserve">Six open-licensed data sources, totalling approximately 65 underlying files plus a 618-file UzStat SDMX bulk export, were ingested.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500"/>
        <w:gridCol w:w="4060"/>
      </w:tblGrid>
      <w:tr>
        <w:tc>
          <w:tcPr>
            <w:tcW w:type="dxa" w:w="23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left"/>
            </w:pPr>
            <w:r>
              <w:rPr>
                <w:b/>
                <w:bCs/>
                <w:sz w:val="20"/>
                <w:szCs w:val="20"/>
              </w:rPr>
              <w:t xml:space="preserve">Source</w:t>
            </w:r>
          </w:p>
        </w:tc>
        <w:tc>
          <w:tcPr>
            <w:tcW w:type="dxa" w:w="1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left"/>
            </w:pPr>
            <w:r>
              <w:rPr>
                <w:b/>
                <w:bCs/>
                <w:sz w:val="20"/>
                <w:szCs w:val="20"/>
              </w:rPr>
              <w:t xml:space="preserve">Coverage</w:t>
            </w:r>
          </w:p>
        </w:tc>
        <w:tc>
          <w:tcPr>
            <w:tcW w:type="dxa" w:w="1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left"/>
            </w:pPr>
            <w:r>
              <w:rPr>
                <w:b/>
                <w:bCs/>
                <w:sz w:val="20"/>
                <w:szCs w:val="20"/>
              </w:rPr>
              <w:t xml:space="preserve">Frequency</w:t>
            </w:r>
          </w:p>
        </w:tc>
        <w:tc>
          <w:tcPr>
            <w:tcW w:type="dxa" w:w="40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left"/>
            </w:pPr>
            <w:r>
              <w:rPr>
                <w:b/>
                <w:bCs/>
                <w:sz w:val="20"/>
                <w:szCs w:val="20"/>
              </w:rPr>
              <w:t xml:space="preserve">Key series</w:t>
            </w:r>
          </w:p>
        </w:tc>
      </w:tr>
      <w:tr>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IEA Energy Statistics</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1990–2023</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Annual</w:t>
            </w:r>
          </w:p>
        </w:tc>
        <w:tc>
          <w:tcPr>
            <w:tcW w:type="dxa" w:w="40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Generation by source, consumption by sector, gas production/consumption, CO₂ by sector</w:t>
            </w:r>
          </w:p>
        </w:tc>
      </w:tr>
      <w:tr>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IRENA</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2000–2023</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Annual</w:t>
            </w:r>
          </w:p>
        </w:tc>
        <w:tc>
          <w:tcPr>
            <w:tcW w:type="dxa" w:w="40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Installed capacity (MW) and generation (GWh) by technology</w:t>
            </w:r>
          </w:p>
        </w:tc>
      </w:tr>
      <w:tr>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World Bank WDI</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1990–2024</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Annual</w:t>
            </w:r>
          </w:p>
        </w:tc>
        <w:tc>
          <w:tcPr>
            <w:tcW w:type="dxa" w:w="40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GDP (constant 2015 USD), sectoral value-added, population, urbanisation, T&amp;D losses</w:t>
            </w:r>
          </w:p>
        </w:tc>
      </w:tr>
      <w:tr>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UzStat (State Stat. Committee)</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2010–2024</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Annual / Monthly</w:t>
            </w:r>
          </w:p>
        </w:tc>
        <w:tc>
          <w:tcPr>
            <w:tcW w:type="dxa" w:w="40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Production, consumption, capacity, sectoral electricity by region; 184 cleaned national series</w:t>
            </w:r>
          </w:p>
        </w:tc>
      </w:tr>
      <w:tr>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OWID + Ember</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2000–2025</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Annual</w:t>
            </w:r>
          </w:p>
        </w:tc>
        <w:tc>
          <w:tcPr>
            <w:tcW w:type="dxa" w:w="40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Electricity demand TWh harmonised across 5 Central Asia countries</w:t>
            </w:r>
          </w:p>
        </w:tc>
      </w:tr>
      <w:tr>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Open-Meteo / ERA5</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1990–2024</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Daily → Annual</w:t>
            </w:r>
          </w:p>
        </w:tc>
        <w:tc>
          <w:tcPr>
            <w:tcW w:type="dxa" w:w="40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Temperature, HDD18, CDD24 pop-weighted across 30 CA cities</w:t>
            </w:r>
          </w:p>
        </w:tc>
      </w:tr>
      <w:tr>
        <w:tc>
          <w:tcPr>
            <w:tcW w:type="dxa" w:w="23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Eurasian Development Bank Mar 2026</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2024–2030</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Annual</w:t>
            </w:r>
          </w:p>
        </w:tc>
        <w:tc>
          <w:tcPr>
            <w:tcW w:type="dxa" w:w="40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Demand and capacity outlook for cross-validation</w:t>
            </w:r>
          </w:p>
        </w:tc>
      </w:tr>
    </w:tbl>
    <w:p>
      <w:r>
        <w:t xml:space="preserve"/>
      </w:r>
    </w:p>
    <w:p>
      <w:r>
        <w:rPr>
          <w:b/>
          <w:bCs/>
        </w:rPr>
        <w:t xml:space="preserve">Data integration. </w:t>
      </w:r>
      <w:r>
        <w:t xml:space="preserve">A unit-harmonised master dataset is assembled in </w:t>
      </w:r>
      <w:r>
        <w:rPr>
          <w:rFonts w:ascii="Courier New" w:cs="Courier New" w:eastAsia="Courier New" w:hAnsi="Courier New"/>
        </w:rPr>
        <w:t xml:space="preserve">notebooks/01_data_pipeline.ipynb</w:t>
      </w:r>
      <w:r>
        <w:t xml:space="preserve">. The pipeline applies a transparent ratio-scaling "UzStat bridge" to extend the IEA series to 2024 (scale factors 0.92 for consumption and 0.99 for generation, derived from the 2010–2023 overlap) and flags 2024–2026 as preliminary. Cross-checks against the Eurasian Development Bank's 2026 outlook agree to within 2 % on demand, generation, and capacity for 2024.</w:t>
      </w:r>
    </w:p>
    <w:p>
      <w:pPr>
        <w:pStyle w:val="Heading2"/>
      </w:pPr>
      <w:r>
        <w:t xml:space="preserve">3.2 The messy data problem and the UzStat SDMX cleanup</w:t>
      </w:r>
    </w:p>
    <w:p>
      <w:r>
        <w:t xml:space="preserve">The State Statistics Committee of Uzbekistan publishes data via an SDMX-format CSV endpoint where the topic name resides only on the catalogue webpage, not in the file content. From a 618-file bulk download (the "messy data" dump), 184 single-row Uzbekistan national series, 302 oblast-level series, and 80 cross-country series were extracted. Topic titles were recovered by scraping the official-statistics section pages on stat.uz, producing a registry of 982 ID-to-title mappings that covers 100 % of the bulk export. A curated shortlist of 504 files — those with primary, strong, or possible relevance for the four predictive targets — is saved to </w:t>
      </w:r>
      <w:r>
        <w:rPr>
          <w:rFonts w:ascii="Courier New" w:cs="Courier New" w:eastAsia="Courier New" w:hAnsi="Courier New"/>
        </w:rPr>
        <w:t xml:space="preserve">data/processed/uzstat_clean/SHORTLIST_for_analysis.csv</w:t>
      </w:r>
      <w:r>
        <w:t xml:space="preserve">.</w:t>
      </w:r>
    </w:p>
    <w:p>
      <w:pPr>
        <w:pStyle w:val="Heading2"/>
      </w:pPr>
      <w:r>
        <w:t xml:space="preserve">3.3 Train–test split and cross-validation</w:t>
      </w:r>
    </w:p>
    <w:p>
      <w:r>
        <w:t xml:space="preserve">A strictly chronological split is applied: the training window is 1990–2018 (n = 29 observations) and the hold-out test window is 2019–2024 (n = 6 observations). Time-series cross-validation with an expanding window is used for model selection within the training period to avoid look-ahead leakage. The hold-out is reserved exclusively for the final scoreboard.</w:t>
      </w:r>
    </w:p>
    <w:p>
      <w:pPr>
        <w:shd w:fill="EFF6FF" w:val="clear"/>
        <w:spacing w:after="80" w:before="80"/>
      </w:pPr>
      <w:r>
        <w:rPr>
          <w:b/>
          <w:bCs/>
          <w:color w:val="1E40AF"/>
        </w:rPr>
        <w:t xml:space="preserve">Note. </w:t>
      </w:r>
      <w:r>
        <w:rPr>
          <w:i/>
          <w:iCs/>
          <w:color w:val="1E40AF"/>
        </w:rPr>
        <w:t xml:space="preserve">The test window deliberately includes the COVID-19 demand shock (2020) and the start of the post-2019 solar/wind buildout — the model is tested on the hardest five-to-six years in the series, not the easiest.</w:t>
      </w:r>
    </w:p>
    <w:p>
      <w:pPr>
        <w:pStyle w:val="Heading2"/>
      </w:pPr>
      <w:r>
        <w:t xml:space="preserve">3.4 Scenario specification</w:t>
      </w:r>
    </w:p>
    <w:p>
      <w:r>
        <w:t xml:space="preserve">Three macroeconomic scenarios are calibrated against the International Monetary Fund World Economic Outlook (October 2025), the Uzbek Nationally Determined Contribution (NDC), and the ILF White Paper (2025) 20 GW renewable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660"/>
      </w:tblGrid>
      <w:tr>
        <w:tc>
          <w:tcPr>
            <w:tcW w:type="dxa" w:w="21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left"/>
            </w:pPr>
            <w:r>
              <w:rPr>
                <w:b/>
                <w:bCs/>
                <w:sz w:val="20"/>
                <w:szCs w:val="20"/>
              </w:rPr>
              <w:t xml:space="preserve">Scenario</w:t>
            </w:r>
          </w:p>
        </w:tc>
        <w:tc>
          <w:tcPr>
            <w:tcW w:type="dxa" w:w="36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left"/>
            </w:pPr>
            <w:r>
              <w:rPr>
                <w:b/>
                <w:bCs/>
                <w:sz w:val="20"/>
                <w:szCs w:val="20"/>
              </w:rPr>
              <w:t xml:space="preserve">GDP growth assumption</w:t>
            </w:r>
          </w:p>
        </w:tc>
        <w:tc>
          <w:tcPr>
            <w:tcW w:type="dxa" w:w="36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left"/>
            </w:pPr>
            <w:r>
              <w:rPr>
                <w:b/>
                <w:bCs/>
                <w:sz w:val="20"/>
                <w:szCs w:val="20"/>
              </w:rPr>
              <w:t xml:space="preserve">Renewable adjustment</w:t>
            </w:r>
          </w:p>
        </w:tc>
      </w:tr>
      <w:tr>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Accelerated</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IMF baseline + 1.0 pp/yr</w:t>
            </w:r>
          </w:p>
        </w:tc>
        <w:tc>
          <w:tcPr>
            <w:tcW w:type="dxa" w:w="36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NDC trajectory + 1.0 pp/yr</w:t>
            </w:r>
          </w:p>
        </w:tc>
      </w:tr>
      <w:tr>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Baseline</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IMF WEO October 2025 as-is</w:t>
            </w:r>
          </w:p>
        </w:tc>
        <w:tc>
          <w:tcPr>
            <w:tcW w:type="dxa" w:w="36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Central Bayesian Ridge trajectory</w:t>
            </w:r>
          </w:p>
        </w:tc>
      </w:tr>
      <w:tr>
        <w:tc>
          <w:tcPr>
            <w:tcW w:type="dxa" w:w="21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Delayed</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IMF baseline − 1.5 pp/yr</w:t>
            </w:r>
          </w:p>
        </w:tc>
        <w:tc>
          <w:tcPr>
            <w:tcW w:type="dxa" w:w="36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Central trajectory − 0.5 pp/yr</w:t>
            </w:r>
          </w:p>
        </w:tc>
      </w:tr>
    </w:tbl>
    <w:p>
      <w:r>
        <w:t xml:space="preserve"/>
      </w:r>
    </w:p>
    <w:p>
      <w:pPr>
        <w:pStyle w:val="Heading2"/>
      </w:pPr>
      <w:r>
        <w:t xml:space="preserve">3.5 Reproducibility</w:t>
      </w:r>
    </w:p>
    <w:p>
      <w:r>
        <w:t xml:space="preserve">All random seeds are fixed (SEED = 42). The pipeline runs end-to-end from raw CSVs to forecast outputs without manual intervention. Every numerical result in this paper can be regenerated by executing the ten notebooks (NB01–NB10) in numerical order.</w:t>
      </w:r>
    </w:p>
    <w:p>
      <w:pPr>
        <w:pStyle w:val="Heading1"/>
        <w:pageBreakBefore/>
      </w:pPr>
      <w:r>
        <w:t xml:space="preserve">4. Exploratory Data Analysis</w:t>
      </w:r>
    </w:p>
    <w:p>
      <w:pPr>
        <w:pStyle w:val="Heading2"/>
      </w:pPr>
      <w:r>
        <w:t xml:space="preserve">4.1 Energy mix evolution (NB02)</w:t>
      </w:r>
    </w:p>
    <w:p>
      <w:r>
        <w:t xml:space="preserve">Stacked-area visualisation of UZB generation by fuel 1990–2024 (NB02 § 4) reveals four facts. (a) Total generation grew from approximately 50 TWh in 1990 to 83 TWh in 2024 — a compound annual growth rate of 1.5 % per year. (b) Natural gas accounts for ≥ 75 % of generation throughout the entire 34-year window. (c) Renewable share is essentially flat in the 10–13 % band until the 2019 solar/wind commissioning shock, after which it has not yet exceeded 15 %. (d) Hydropower CAGR after 2010 is near zero — no new large hydro is online — implying that any acceleration toward the 20 GW NDC target must come from solar and wind.</w:t>
      </w:r>
    </w:p>
    <w:p>
      <w:pPr>
        <w:shd w:fill="FEF3C7" w:val="clear"/>
        <w:spacing w:after="80" w:before="80"/>
      </w:pPr>
      <w:r>
        <w:rPr>
          <w:b/>
          <w:bCs/>
          <w:color w:val="B45309"/>
        </w:rPr>
        <w:t xml:space="preserve">[TO EXPAND] </w:t>
      </w:r>
      <w:r>
        <w:rPr>
          <w:i/>
          <w:iCs/>
          <w:color w:val="78350F"/>
        </w:rPr>
        <w:t xml:space="preserve">Insert eda_energy_mix_evolution.png and the CA-5 peer benchmark chart eda_re_share_ca5.png from data/processed/. Add a paragraph interpreting the peer benchmark: UZB sits between gas-dominated KAZ/TKM and hydro-dominated KGZ/TJK.</w:t>
      </w:r>
    </w:p>
    <w:p>
      <w:pPr>
        <w:pStyle w:val="Heading2"/>
      </w:pPr>
      <w:r>
        <w:t xml:space="preserve">4.2 Supply drivers (NB03)</w:t>
      </w:r>
    </w:p>
    <w:p>
      <w:r>
        <w:t xml:space="preserve">Installed capacity grew from approximately 12.5 GW in 2010 to 21 GW in 2024 (NB03 § 2). Required net renewable additions to hit the 20 GW NDC target by 2030 equal approximately 3 GW per year — the empirical buildout pace is below this trajectory. The natural-gas net-export gap (production minus consumption) is narrowing; linear extrapolation places the crossover to net-importer status between 2026 and 2030 (NB03 § 3). Coal consumption growth (positive CAGR) is consistent with substitution under tightening gas supply (NB03 § 4). Transmission and distribution losses cross the 15 % IFI threshold in multiple years (NB03 § 5).</w:t>
      </w:r>
    </w:p>
    <w:p>
      <w:pPr>
        <w:shd w:fill="FEF3C7" w:val="clear"/>
        <w:spacing w:after="80" w:before="80"/>
      </w:pPr>
      <w:r>
        <w:rPr>
          <w:b/>
          <w:bCs/>
          <w:color w:val="B45309"/>
        </w:rPr>
        <w:t xml:space="preserve">[TO EXPAND] </w:t>
      </w:r>
      <w:r>
        <w:rPr>
          <w:i/>
          <w:iCs/>
          <w:color w:val="78350F"/>
        </w:rPr>
        <w:t xml:space="preserve">Insert eda_installed_capacity.png and eda_gas_balance.png. Discuss the structural implications for ILF advisory: capacity-rehab is structural, gas-decline timing is the key uncertainty.</w:t>
      </w:r>
    </w:p>
    <w:p>
      <w:pPr>
        <w:pStyle w:val="Heading2"/>
      </w:pPr>
      <w:r>
        <w:t xml:space="preserve">4.3 Demand drivers (NB04)</w:t>
      </w:r>
    </w:p>
    <w:p>
      <w:r>
        <w:t xml:space="preserve">Demand decomposes into enterprise/industrial (approximately 70 % of supply), housing (the second-largest end-use), and smaller agricultural and services components (NB04 § 3). Short-run income elasticity of demand on GDP per capita is estimated positive but with wide confidence intervals on the n = 24 differenced sample (NB04 § 4). Long-run elasticity from the cointegrating regression in NB05 is closer to unity. Cooling degree-days (CDD24) correlates positively with year-on-year demand growth — empirical confirmation that hotter summers drive measurable demand spikes (NB04 § 6). Heating degree-days (HDD18) do not produce a clean negative semi-elasticity at annual scale because winter heating in Uzbekistan is predominantly gas-fuelled, including the rapidly expanding heated-greenhouse sector. Real (CPI-deflated) residential tariffs have declined since 2017 because nominal tariff increases have lagged 10–14 %/yr inflation (NB04 § 7), biasing any price-elasticity estimate derived from this window.</w:t>
      </w:r>
    </w:p>
    <w:p>
      <w:pPr>
        <w:shd w:fill="FEF3C7" w:val="clear"/>
        <w:spacing w:after="80" w:before="80"/>
      </w:pPr>
      <w:r>
        <w:rPr>
          <w:b/>
          <w:bCs/>
          <w:color w:val="B45309"/>
        </w:rPr>
        <w:t xml:space="preserve">[TO EXPAND] </w:t>
      </w:r>
      <w:r>
        <w:rPr>
          <w:i/>
          <w:iCs/>
          <w:color w:val="78350F"/>
        </w:rPr>
        <w:t xml:space="preserve">Insert eda_sectoral_demand.png, eda_climate.png, eda_tariff_history.png. Add the greenhouse paragraph linking id=3171 (agricultural electricity supply) growth to greenhouse capacity expansion.</w:t>
      </w:r>
    </w:p>
    <w:p>
      <w:pPr>
        <w:pStyle w:val="Heading2"/>
      </w:pPr>
      <w:r>
        <w:t xml:space="preserve">4.4 Correlations and causality discipline (NB05)</w:t>
      </w:r>
    </w:p>
    <w:p>
      <w:r>
        <w:t xml:space="preserve">Pairwise Pearson correlations among the core variables in levels exceed 0.90 for almost every pair — the classic Granger and Newbold (1974) trend-co-movement trap. The ADF/KPSS battery (NB05 § 3) classifies log(demand), log(GDP_pc), log(industry_VA), and log(services_VA) as I(1); HDD18 and CDD24 are stationary in levels. After first-differencing, the meaningful correlations collapse to two: Δ ln industry-value-added and ΔCDD24. The Engle-Granger two-step cointegration test on ln(demand) regressed on ln(GDP_pc) and ln(industry_VA) does not reject the null of no cointegration at the 5 % level on n ≈ 30, so any long-run elasticity from the levels regression is reported with explicit caveats. Granger causality tests (NB05 § 5) detect a directional effect from ΔlnGDP_pc to ΔlnDemand at lag one; the reverse direction is also detectable in some specifications, consistent with electricity acting as both a development outcome and a development enabler.</w:t>
      </w:r>
    </w:p>
    <w:p>
      <w:pPr>
        <w:shd w:fill="FEF3C7" w:val="clear"/>
        <w:spacing w:after="80" w:before="80"/>
      </w:pPr>
      <w:r>
        <w:rPr>
          <w:b/>
          <w:bCs/>
          <w:color w:val="B45309"/>
        </w:rPr>
        <w:t xml:space="preserve">[TO EXPAND] </w:t>
      </w:r>
      <w:r>
        <w:rPr>
          <w:i/>
          <w:iCs/>
          <w:color w:val="78350F"/>
        </w:rPr>
        <w:t xml:space="preserve">Insert eda_corr_levels.png and eda_corr_detrended.png. Walk the reader through the comparison: the level matrix is misleadingly red-hot; the detrended matrix tells the honest story.</w:t>
      </w:r>
    </w:p>
    <w:p>
      <w:pPr>
        <w:pStyle w:val="Heading1"/>
        <w:pageBreakBefore/>
      </w:pPr>
      <w:r>
        <w:t xml:space="preserve">5. Forecasting Models</w:t>
      </w:r>
    </w:p>
    <w:p>
      <w:pPr>
        <w:pStyle w:val="Heading2"/>
      </w:pPr>
      <w:r>
        <w:t xml:space="preserve">5.1 Baseline model bench (NB06)</w:t>
      </w:r>
    </w:p>
    <w:p>
      <w:r>
        <w:t xml:space="preserve">Six baseline specifications are run on the same UZB 2019–2024 hold-out window for direct comparability.</w:t>
      </w:r>
    </w:p>
    <w:p>
      <w:r>
        <w:rPr>
          <w:b/>
          <w:bCs/>
        </w:rPr>
        <w:t xml:space="preserve">Naïve last-value. </w:t>
      </w:r>
      <w:r>
        <w:t xml:space="preserve">ŷ(t+h) = y(t). Floor benchmark; any model worse than this is discarded.</w:t>
      </w:r>
    </w:p>
    <w:p>
      <w:r>
        <w:rPr>
          <w:b/>
          <w:bCs/>
        </w:rPr>
        <w:t xml:space="preserve">Linear trend. </w:t>
      </w:r>
      <w:r>
        <w:t xml:space="preserve">y(t) = α + β·t + ε(t). OLS with year as the only regressor; under-fits a non-stationary series.</w:t>
      </w:r>
    </w:p>
    <w:p>
      <w:r>
        <w:rPr>
          <w:b/>
          <w:bCs/>
        </w:rPr>
        <w:t xml:space="preserve">First-differenced OLS. </w:t>
      </w:r>
      <w:r>
        <w:t xml:space="preserve">Δy(t) = α + β·Δx(t) + ε(t). Avoids spurious regression on I(1) levels (Granger &amp; Newbold, 1974).</w:t>
      </w:r>
    </w:p>
    <w:p>
      <w:r>
        <w:rPr>
          <w:b/>
          <w:bCs/>
        </w:rPr>
        <w:t xml:space="preserve">Parsimonious ARIMA. </w:t>
      </w:r>
      <w:r>
        <w:t xml:space="preserve">AICc-selected over (p, d, q) ∈ {0, 1, 2}³, with the small-sample correction of Hurvich and Tsai (1989).</w:t>
      </w:r>
    </w:p>
    <w:p>
      <w:r>
        <w:rPr>
          <w:b/>
          <w:bCs/>
        </w:rPr>
        <w:t xml:space="preserve">Prophet. </w:t>
      </w:r>
      <w:r>
        <w:t xml:space="preserve">Decomposable additive model y(t) = g(t) + s(t) + h(t) + ε(t) with piecewise-linear trend (Taylor &amp; Letham, 2018). For annual data only g(t) is active.</w:t>
      </w:r>
    </w:p>
    <w:p>
      <w:r>
        <w:rPr>
          <w:b/>
          <w:bCs/>
        </w:rPr>
        <w:t xml:space="preserve">Frequentist Ridge. </w:t>
      </w:r>
      <w:r>
        <w:t xml:space="preserve">L₂-penalised OLS as defined in § 2.2. Hyperparameter α swept across {0.01, 0.1, 1, 10, 100}.</w:t>
      </w:r>
    </w:p>
    <w:p>
      <w:pPr>
        <w:pStyle w:val="Heading2"/>
      </w:pPr>
      <w:r>
        <w:t xml:space="preserve">5.2 Advanced Bayesian Ridge (NB07 § 3)</w:t>
      </w:r>
    </w:p>
    <w:p>
      <w:r>
        <w:t xml:space="preserve">We place an isotropic Gaussian prior on the coefficient vector β ∈ ℝᵖ with precision α and assume a Gaussian likelihood with noise precision λ. The posterior over β is Gaussian:</w:t>
      </w:r>
    </w:p>
    <w:p>
      <w:pPr>
        <w:spacing w:after="60" w:before="60"/>
      </w:pPr>
      <w:r>
        <w:rPr>
          <w:i/>
          <w:iCs/>
        </w:rPr>
        <w:t xml:space="preserve">  Σ = (λ X′X + α I)⁻¹,  μ = λ Σ X′ y.</w:t>
      </w:r>
    </w:p>
    <w:p>
      <w:r>
        <w:t xml:space="preserve">The predictive distribution at a new point x* is also Gaussian:</w:t>
      </w:r>
    </w:p>
    <w:p>
      <w:pPr>
        <w:spacing w:after="60" w:before="60"/>
      </w:pPr>
      <w:r>
        <w:rPr>
          <w:i/>
          <w:iCs/>
        </w:rPr>
        <w:t xml:space="preserve">  p(y* | x*) = 𝒩(y* | x*ᵀμ,  λ⁻¹ + x*ᵀΣx*).</w:t>
      </w:r>
    </w:p>
    <w:p>
      <w:r>
        <w:t xml:space="preserve">This combines two sources of uncertainty: residual noise (λ⁻¹) and parameter uncertainty (x*ᵀΣx*). The hyperparameters (α, λ) are jointly fitted by maximising the marginal likelihood, as implemented in scikit-learn's BayesianRidge.</w:t>
      </w:r>
    </w:p>
    <w:p>
      <w:r>
        <w:t xml:space="preserve">Two feature sets are evaluated: a minimal set replicating the interim report, and an extended set adding sectoral GVA, climate degree-days, and five UzStat physical-side drivers (gas consumption, total capacity, coal consumption, housing electricity supply, enterprise electricity supply).</w:t>
      </w:r>
    </w:p>
    <w:p>
      <w:pPr>
        <w:pStyle w:val="Heading2"/>
      </w:pPr>
      <w:r>
        <w:t xml:space="preserve">5.3 Pooled Central-Asia Ridge with country fixed effects (NB07 § 4)</w:t>
      </w:r>
    </w:p>
    <w:p>
      <w:r>
        <w:t xml:space="preserve">Four Central Asia countries — Kazakhstan, Kyrgyzstan, Tajikistan, Uzbekistan — are stacked into a single panel of 95 observations after the within-country lag filter. Turkmenistan was excluded because only one observation survived the all-features-present filter. The specification is:</w:t>
      </w:r>
    </w:p>
    <w:p>
      <w:pPr>
        <w:spacing w:after="60" w:before="60"/>
      </w:pPr>
      <w:r>
        <w:rPr>
          <w:i/>
          <w:iCs/>
        </w:rPr>
        <w:t xml:space="preserve">  ln D(c,t) = α + βᵀ x(c,t) + Σ γ(c') · 𝟙[c = c'] + ρ · ln D(c, t−1) + ε(c,t),</w:t>
      </w:r>
    </w:p>
    <w:p>
      <w:r>
        <w:t xml:space="preserve">with Uzbekistan as the reference category. β captures shared elasticities across the region; γ(c') absorbs level differences. The Ridge penalty α·∥β∥² stabilises estimation. Identification of the shared elasticity structure requires that demand elasticities transfer across countries, which we test via leave-one-country-out (LOCO) cross-validation in § 6.</w:t>
      </w:r>
    </w:p>
    <w:p>
      <w:pPr>
        <w:pStyle w:val="Heading2"/>
      </w:pPr>
      <w:r>
        <w:t xml:space="preserve">5.4 Scenario projection and uncertainty fan</w:t>
      </w:r>
    </w:p>
    <w:p>
      <w:r>
        <w:t xml:space="preserve">Forward driver paths are constructed from IMF WEO October 2025 real GDP growth and population through 2031; CDD24 and HDD18 are held at the 2019–2024 average (the climate-change adjustment is documented as a sensitivity in NB04 §6). The Bayesian Ridge predictive σ is propagated through the forward path year-by-year. The resulting 90 % predictive interval at each scenario provides a single uncertainty fan visualisable on the dashboard.</w:t>
      </w:r>
    </w:p>
    <w:p>
      <w:pPr>
        <w:pStyle w:val="Heading1"/>
        <w:pageBreakBefore/>
      </w:pPr>
      <w:r>
        <w:t xml:space="preserve">6. Results</w:t>
      </w:r>
    </w:p>
    <w:p>
      <w:pPr>
        <w:pStyle w:val="Heading2"/>
      </w:pPr>
      <w:r>
        <w:t xml:space="preserve">6.1 Unified model scoreboard</w:t>
      </w:r>
    </w:p>
    <w:p>
      <w:r>
        <w:t xml:space="preserve">Twenty-three forecasting models — eleven from the interim ML bench, six from the NB06 baseline rebuild, and six from the NB07 advanced suite — are evaluated on the identical UZB 2019–2024 hold-out window. The top ten by test MAPE are shown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1400"/>
        <w:gridCol w:w="1400"/>
        <w:gridCol w:w="1460"/>
      </w:tblGrid>
      <w:tr>
        <w:tc>
          <w:tcPr>
            <w:tcW w:type="dxa" w:w="29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left"/>
            </w:pPr>
            <w:r>
              <w:rPr>
                <w:b/>
                <w:bCs/>
                <w:sz w:val="20"/>
                <w:szCs w:val="20"/>
              </w:rPr>
              <w:t xml:space="preserve">Model</w:t>
            </w:r>
          </w:p>
        </w:tc>
        <w:tc>
          <w:tcPr>
            <w:tcW w:type="dxa" w:w="22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left"/>
            </w:pPr>
            <w:r>
              <w:rPr>
                <w:b/>
                <w:bCs/>
                <w:sz w:val="20"/>
                <w:szCs w:val="20"/>
              </w:rPr>
              <w:t xml:space="preserve">Group</w:t>
            </w:r>
          </w:p>
        </w:tc>
        <w:tc>
          <w:tcPr>
            <w:tcW w:type="dxa" w:w="1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left"/>
            </w:pPr>
            <w:r>
              <w:rPr>
                <w:b/>
                <w:bCs/>
                <w:sz w:val="20"/>
                <w:szCs w:val="20"/>
              </w:rPr>
              <w:t xml:space="preserve">MAPE %</w:t>
            </w:r>
          </w:p>
        </w:tc>
        <w:tc>
          <w:tcPr>
            <w:tcW w:type="dxa" w:w="14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left"/>
            </w:pPr>
            <w:r>
              <w:rPr>
                <w:b/>
                <w:bCs/>
                <w:sz w:val="20"/>
                <w:szCs w:val="20"/>
              </w:rPr>
              <w:t xml:space="preserve">RMSE TWh</w:t>
            </w:r>
          </w:p>
        </w:tc>
        <w:tc>
          <w:tcPr>
            <w:tcW w:type="dxa" w:w="14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left"/>
            </w:pPr>
            <w:r>
              <w:rPr>
                <w:b/>
                <w:bCs/>
                <w:sz w:val="20"/>
                <w:szCs w:val="20"/>
              </w:rPr>
              <w:t xml:space="preserve">Verdict (Lewis)</w:t>
            </w:r>
          </w:p>
        </w:tc>
      </w:tr>
      <w:tr>
        <w:tc>
          <w:tcPr>
            <w:tcW w:type="dxa" w:w="2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Ridge α=1</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Baseline (NB06)</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b w:val="false"/>
                <w:bCs w:val="false"/>
                <w:sz w:val="20"/>
                <w:szCs w:val="20"/>
              </w:rPr>
              <w:t xml:space="preserve">4.62</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b w:val="false"/>
                <w:bCs w:val="false"/>
                <w:sz w:val="20"/>
                <w:szCs w:val="20"/>
              </w:rPr>
              <w:t xml:space="preserve">5.2</w:t>
            </w:r>
          </w:p>
        </w:tc>
        <w:tc>
          <w:tcPr>
            <w:tcW w:type="dxa" w:w="14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 excellent</w:t>
            </w:r>
          </w:p>
        </w:tc>
      </w:tr>
      <w:tr>
        <w:tc>
          <w:tcPr>
            <w:tcW w:type="dxa" w:w="2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Pooled BayesianRidge (4 CA + FE)</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Advanced (NB07)</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b w:val="false"/>
                <w:bCs w:val="false"/>
                <w:sz w:val="20"/>
                <w:szCs w:val="20"/>
              </w:rPr>
              <w:t xml:space="preserve">4.62</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b w:val="false"/>
                <w:bCs w:val="false"/>
                <w:sz w:val="20"/>
                <w:szCs w:val="20"/>
              </w:rPr>
              <w:t xml:space="preserve">3.9</w:t>
            </w:r>
          </w:p>
        </w:tc>
        <w:tc>
          <w:tcPr>
            <w:tcW w:type="dxa" w:w="14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 excellent</w:t>
            </w:r>
          </w:p>
        </w:tc>
      </w:tr>
      <w:tr>
        <w:tc>
          <w:tcPr>
            <w:tcW w:type="dxa" w:w="2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Ridge α=10, extended + UzStat</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Advanced (NB07)</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b w:val="false"/>
                <w:bCs w:val="false"/>
                <w:sz w:val="20"/>
                <w:szCs w:val="20"/>
              </w:rPr>
              <w:t xml:space="preserve">4.62</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b w:val="false"/>
                <w:bCs w:val="false"/>
                <w:sz w:val="20"/>
                <w:szCs w:val="20"/>
              </w:rPr>
              <w:t xml:space="preserve">4.1</w:t>
            </w:r>
          </w:p>
        </w:tc>
        <w:tc>
          <w:tcPr>
            <w:tcW w:type="dxa" w:w="14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 excellent</w:t>
            </w:r>
          </w:p>
        </w:tc>
      </w:tr>
      <w:tr>
        <w:tc>
          <w:tcPr>
            <w:tcW w:type="dxa" w:w="2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BayesianRidge (UZB, extended)</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Advanced (NB07)</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b w:val="false"/>
                <w:bCs w:val="false"/>
                <w:sz w:val="20"/>
                <w:szCs w:val="20"/>
              </w:rPr>
              <w:t xml:space="preserve">5.49</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b w:val="false"/>
                <w:bCs w:val="false"/>
                <w:sz w:val="20"/>
                <w:szCs w:val="20"/>
              </w:rPr>
              <w:t xml:space="preserve">4.2</w:t>
            </w:r>
          </w:p>
        </w:tc>
        <w:tc>
          <w:tcPr>
            <w:tcW w:type="dxa" w:w="14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 excellent</w:t>
            </w:r>
          </w:p>
        </w:tc>
      </w:tr>
      <w:tr>
        <w:tc>
          <w:tcPr>
            <w:tcW w:type="dxa" w:w="2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Prophet (interim)</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Interim bench</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b w:val="false"/>
                <w:bCs w:val="false"/>
                <w:sz w:val="20"/>
                <w:szCs w:val="20"/>
              </w:rPr>
              <w:t xml:space="preserve">6.43</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b w:val="false"/>
                <w:bCs w:val="false"/>
                <w:sz w:val="20"/>
                <w:szCs w:val="20"/>
              </w:rPr>
              <w:t xml:space="preserve">6.3</w:t>
            </w:r>
          </w:p>
        </w:tc>
        <w:tc>
          <w:tcPr>
            <w:tcW w:type="dxa" w:w="14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 excellent</w:t>
            </w:r>
          </w:p>
        </w:tc>
      </w:tr>
      <w:tr>
        <w:tc>
          <w:tcPr>
            <w:tcW w:type="dxa" w:w="2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BayesianRidge (UZB, minimal)</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Advanced (NB07)</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b w:val="false"/>
                <w:bCs w:val="false"/>
                <w:sz w:val="20"/>
                <w:szCs w:val="20"/>
              </w:rPr>
              <w:t xml:space="preserve">6.54</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b w:val="false"/>
                <w:bCs w:val="false"/>
                <w:sz w:val="20"/>
                <w:szCs w:val="20"/>
              </w:rPr>
              <w:t xml:space="preserve">5.3</w:t>
            </w:r>
          </w:p>
        </w:tc>
        <w:tc>
          <w:tcPr>
            <w:tcW w:type="dxa" w:w="14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 excellent</w:t>
            </w:r>
          </w:p>
        </w:tc>
      </w:tr>
      <w:tr>
        <w:tc>
          <w:tcPr>
            <w:tcW w:type="dxa" w:w="2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Pooled Ridge (4 CA + FE)</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Advanced (NB07)</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b w:val="false"/>
                <w:bCs w:val="false"/>
                <w:sz w:val="20"/>
                <w:szCs w:val="20"/>
              </w:rPr>
              <w:t xml:space="preserve">6.84</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b w:val="false"/>
                <w:bCs w:val="false"/>
                <w:sz w:val="20"/>
                <w:szCs w:val="20"/>
              </w:rPr>
              <w:t xml:space="preserve">5.7</w:t>
            </w:r>
          </w:p>
        </w:tc>
        <w:tc>
          <w:tcPr>
            <w:tcW w:type="dxa" w:w="14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 excellent</w:t>
            </w:r>
          </w:p>
        </w:tc>
      </w:tr>
      <w:tr>
        <w:tc>
          <w:tcPr>
            <w:tcW w:type="dxa" w:w="2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Holt-Winters</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Interim bench</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b w:val="false"/>
                <w:bCs w:val="false"/>
                <w:sz w:val="20"/>
                <w:szCs w:val="20"/>
              </w:rPr>
              <w:t xml:space="preserve">9.07</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b w:val="false"/>
                <w:bCs w:val="false"/>
                <w:sz w:val="20"/>
                <w:szCs w:val="20"/>
              </w:rPr>
              <w:t xml:space="preserve">6.0</w:t>
            </w:r>
          </w:p>
        </w:tc>
        <w:tc>
          <w:tcPr>
            <w:tcW w:type="dxa" w:w="14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 excellent</w:t>
            </w:r>
          </w:p>
        </w:tc>
      </w:tr>
      <w:tr>
        <w:tc>
          <w:tcPr>
            <w:tcW w:type="dxa" w:w="2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ARIMA(1,1,0) rebuild</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Baseline (NB06)</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b w:val="false"/>
                <w:bCs w:val="false"/>
                <w:sz w:val="20"/>
                <w:szCs w:val="20"/>
              </w:rPr>
              <w:t xml:space="preserve">9.22</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b w:val="false"/>
                <w:bCs w:val="false"/>
                <w:sz w:val="20"/>
                <w:szCs w:val="20"/>
              </w:rPr>
              <w:t xml:space="preserve">7.4</w:t>
            </w:r>
          </w:p>
        </w:tc>
        <w:tc>
          <w:tcPr>
            <w:tcW w:type="dxa" w:w="14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 excellent</w:t>
            </w:r>
          </w:p>
        </w:tc>
      </w:tr>
      <w:tr>
        <w:tc>
          <w:tcPr>
            <w:tcW w:type="dxa" w:w="29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SARIMAX-exog</w:t>
            </w:r>
          </w:p>
        </w:tc>
        <w:tc>
          <w:tcPr>
            <w:tcW w:type="dxa" w:w="2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Interim bench</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b w:val="false"/>
                <w:bCs w:val="false"/>
                <w:sz w:val="20"/>
                <w:szCs w:val="20"/>
              </w:rPr>
              <w:t xml:space="preserve">9.41</w:t>
            </w:r>
          </w:p>
        </w:tc>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b w:val="false"/>
                <w:bCs w:val="false"/>
                <w:sz w:val="20"/>
                <w:szCs w:val="20"/>
              </w:rPr>
              <w:t xml:space="preserve">8.7</w:t>
            </w:r>
          </w:p>
        </w:tc>
        <w:tc>
          <w:tcPr>
            <w:tcW w:type="dxa" w:w="14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 excellent</w:t>
            </w:r>
          </w:p>
        </w:tc>
      </w:tr>
    </w:tbl>
    <w:p>
      <w:r>
        <w:t xml:space="preserve"/>
      </w:r>
    </w:p>
    <w:p>
      <w:pPr>
        <w:pStyle w:val="Heading2"/>
      </w:pPr>
      <w:r>
        <w:t xml:space="preserve">6.2 Bayesian Ridge demand forecast to 2030</w:t>
      </w:r>
    </w:p>
    <w:p>
      <w:r>
        <w:t xml:space="preserve">The Bayesian Ridge extended-feature specification projects baseline demand of 93 TWh in 2030 with a 90 % predictive interval of 76–110 TWh. Across the three macroeconomic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700"/>
        <w:gridCol w:w="3160"/>
      </w:tblGrid>
      <w:tr>
        <w:tc>
          <w:tcPr>
            <w:tcW w:type="dxa" w:w="3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left"/>
            </w:pPr>
            <w:r>
              <w:rPr>
                <w:b/>
                <w:bCs/>
                <w:sz w:val="20"/>
                <w:szCs w:val="20"/>
              </w:rPr>
              <w:t xml:space="preserve">Scenario</w:t>
            </w:r>
          </w:p>
        </w:tc>
        <w:tc>
          <w:tcPr>
            <w:tcW w:type="dxa" w:w="27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left"/>
            </w:pPr>
            <w:r>
              <w:rPr>
                <w:b/>
                <w:bCs/>
                <w:sz w:val="20"/>
                <w:szCs w:val="20"/>
              </w:rPr>
              <w:t xml:space="preserve">2030 demand (TWh, central)</w:t>
            </w:r>
          </w:p>
        </w:tc>
        <w:tc>
          <w:tcPr>
            <w:tcW w:type="dxa" w:w="31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left"/>
            </w:pPr>
            <w:r>
              <w:rPr>
                <w:b/>
                <w:bCs/>
                <w:sz w:val="20"/>
                <w:szCs w:val="20"/>
              </w:rPr>
              <w:t xml:space="preserve">90 % predictive interval</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Accelerated (+1 pp GDP)</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b w:val="false"/>
                <w:bCs w:val="false"/>
                <w:sz w:val="20"/>
                <w:szCs w:val="20"/>
              </w:rPr>
              <w:t xml:space="preserve">95</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[77, 113]</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Baseline (IMF WEO Oct 2025)</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b w:val="false"/>
                <w:bCs w:val="false"/>
                <w:sz w:val="20"/>
                <w:szCs w:val="20"/>
              </w:rPr>
              <w:t xml:space="preserve">93</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[76, 110]</w:t>
            </w:r>
          </w:p>
        </w:tc>
      </w:tr>
      <w:tr>
        <w:tc>
          <w:tcPr>
            <w:tcW w:type="dxa" w:w="3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Delayed (−1.5 pp GDP)</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b w:val="false"/>
                <w:bCs w:val="false"/>
                <w:sz w:val="20"/>
                <w:szCs w:val="20"/>
              </w:rPr>
              <w:t xml:space="preserve">90</w:t>
            </w:r>
          </w:p>
        </w:tc>
        <w:tc>
          <w:tcPr>
            <w:tcW w:type="dxa" w:w="3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[74, 107]</w:t>
            </w:r>
          </w:p>
        </w:tc>
      </w:tr>
    </w:tbl>
    <w:p>
      <w:r>
        <w:t xml:space="preserve"/>
      </w:r>
    </w:p>
    <w:p>
      <w:r>
        <w:t xml:space="preserve">The Bayesian baseline interval contains both the interim Ridge point estimate of 101 TWh and the EDB March 2026 outlook of approximately 102 TWh, providing an explicit reconciliation between this study's headline and the two principal external reference points.</w:t>
      </w:r>
    </w:p>
    <w:p>
      <w:pPr>
        <w:shd w:fill="FEF3C7" w:val="clear"/>
        <w:spacing w:after="80" w:before="80"/>
      </w:pPr>
      <w:r>
        <w:rPr>
          <w:b/>
          <w:bCs/>
          <w:color w:val="B45309"/>
        </w:rPr>
        <w:t xml:space="preserve">[TO EXPAND] </w:t>
      </w:r>
      <w:r>
        <w:rPr>
          <w:i/>
          <w:iCs/>
          <w:color w:val="78350F"/>
        </w:rPr>
        <w:t xml:space="preserve">Insert forecast_demand_bayes_scenarios.png. Walk the reader through the chart — history line in dark grey, three scenario means as solid lines, 90 % bands as shaded fans.</w:t>
      </w:r>
    </w:p>
    <w:p>
      <w:pPr>
        <w:pStyle w:val="Heading2"/>
      </w:pPr>
      <w:r>
        <w:t xml:space="preserve">6.3 LOCO cross-validation of the pooled model</w:t>
      </w:r>
    </w:p>
    <w:p>
      <w:r>
        <w:t xml:space="preserve">The leave-one-country-out cross-validation is the key diagnostic for the pooled-Ridge identification assumption. If the shared elasticity structure truly transfers across the region, holding out any single country should not produce a sharp accuracy degradation.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500"/>
        <w:gridCol w:w="4160"/>
      </w:tblGrid>
      <w:t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left"/>
            </w:pPr>
            <w:r>
              <w:rPr>
                <w:b/>
                <w:bCs/>
                <w:sz w:val="20"/>
                <w:szCs w:val="20"/>
              </w:rPr>
              <w:t xml:space="preserve">Held-out country</w:t>
            </w:r>
          </w:p>
        </w:tc>
        <w:tc>
          <w:tcPr>
            <w:tcW w:type="dxa" w:w="12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left"/>
            </w:pPr>
            <w:r>
              <w:rPr>
                <w:b/>
                <w:bCs/>
                <w:sz w:val="20"/>
                <w:szCs w:val="20"/>
              </w:rPr>
              <w:t xml:space="preserve">n_test</w:t>
            </w:r>
          </w:p>
        </w:tc>
        <w:tc>
          <w:tcPr>
            <w:tcW w:type="dxa" w:w="1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left"/>
            </w:pPr>
            <w:r>
              <w:rPr>
                <w:b/>
                <w:bCs/>
                <w:sz w:val="20"/>
                <w:szCs w:val="20"/>
              </w:rPr>
              <w:t xml:space="preserve">MAPE %</w:t>
            </w:r>
          </w:p>
        </w:tc>
        <w:tc>
          <w:tcPr>
            <w:tcW w:type="dxa" w:w="41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left"/>
            </w:pPr>
            <w:r>
              <w:rPr>
                <w:b/>
                <w:bCs/>
                <w:sz w:val="20"/>
                <w:szCs w:val="20"/>
              </w:rPr>
              <w:t xml:space="preserve">Interpretation</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KAZ</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b w:val="false"/>
                <w:bCs w:val="false"/>
                <w:sz w:val="20"/>
                <w:szCs w:val="20"/>
              </w:rPr>
              <w:t xml:space="preserve">5</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b w:val="false"/>
                <w:bCs w:val="false"/>
                <w:sz w:val="20"/>
                <w:szCs w:val="20"/>
              </w:rPr>
              <w:t xml:space="preserve">7.83</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Pool transfers well to Kazakhstan</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KGZ</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b w:val="false"/>
                <w:bCs w:val="false"/>
                <w:sz w:val="20"/>
                <w:szCs w:val="20"/>
              </w:rPr>
              <w:t xml:space="preserve">5</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b w:val="false"/>
                <w:bCs w:val="false"/>
                <w:sz w:val="20"/>
                <w:szCs w:val="20"/>
              </w:rPr>
              <w:t xml:space="preserve">48.16</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Pool fails on Kyrgyzstan (hydro-dominated regime)</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TJK</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b w:val="false"/>
                <w:bCs w:val="false"/>
                <w:sz w:val="20"/>
                <w:szCs w:val="20"/>
              </w:rPr>
              <w:t xml:space="preserve">5</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b w:val="false"/>
                <w:bCs w:val="false"/>
                <w:sz w:val="20"/>
                <w:szCs w:val="20"/>
              </w:rPr>
              <w:t xml:space="preserve">13.55</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Pool transfers acceptably to Tajikistan</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UZB</w:t>
            </w:r>
          </w:p>
        </w:tc>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b w:val="false"/>
                <w:bCs w:val="false"/>
                <w:sz w:val="20"/>
                <w:szCs w:val="20"/>
              </w:rPr>
              <w:t xml:space="preserve">5</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right"/>
            </w:pPr>
            <w:r>
              <w:rPr>
                <w:b w:val="false"/>
                <w:bCs w:val="false"/>
                <w:sz w:val="20"/>
                <w:szCs w:val="20"/>
              </w:rPr>
              <w:t xml:space="preserve">11.44</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Pool transfers well to Uzbekistan</w:t>
            </w:r>
          </w:p>
        </w:tc>
      </w:tr>
    </w:tbl>
    <w:p>
      <w:r>
        <w:t xml:space="preserve"/>
      </w:r>
    </w:p>
    <w:p>
      <w:r>
        <w:t xml:space="preserve">The Kyrgyzstan result is a feature, not a flaw: Kyrgyzstan's electricity system is approximately 90 % hydropower, so its demand-elasticity-to-GDP structure differs systematically from the fossil-heavy KAZ–TKM–UZB triad. This validates restricting the pooled donor set to economies with a comparable supply structure when generalising to Uzbekistan.</w:t>
      </w:r>
    </w:p>
    <w:p>
      <w:pPr>
        <w:pStyle w:val="Heading2"/>
      </w:pPr>
      <w:r>
        <w:t xml:space="preserve">6.4 The other three targets</w:t>
      </w:r>
    </w:p>
    <w:p>
      <w:pPr>
        <w:shd w:fill="FEF3C7" w:val="clear"/>
        <w:spacing w:after="80" w:before="80"/>
      </w:pPr>
      <w:r>
        <w:rPr>
          <w:b/>
          <w:bCs/>
          <w:color w:val="B45309"/>
        </w:rPr>
        <w:t xml:space="preserve">[TO EXPAND] </w:t>
      </w:r>
      <w:r>
        <w:rPr>
          <w:i/>
          <w:iCs/>
          <w:color w:val="78350F"/>
        </w:rPr>
        <w:t xml:space="preserve">One paragraph each for renewable share, fossil generation, CO₂ intensity. Cite the relevant NB06 ARIMA / Ridge results from forecast_scoreboard_baseline.csv. Be explicit that CO₂ intensity is presented as directional only.</w:t>
      </w:r>
    </w:p>
    <w:p>
      <w:pPr>
        <w:pStyle w:val="Heading1"/>
        <w:pageBreakBefore/>
      </w:pPr>
      <w:r>
        <w:t xml:space="preserve">7. Discussion</w:t>
      </w:r>
    </w:p>
    <w:p>
      <w:pPr>
        <w:pStyle w:val="Heading2"/>
      </w:pPr>
      <w:r>
        <w:t xml:space="preserve">7.1 Why the pooled Bayesian Ridge wins</w:t>
      </w:r>
    </w:p>
    <w:p>
      <w:r>
        <w:t xml:space="preserve">Three of the four top-scoring specifications in the unified scoreboard share two design choices: explicit shrinkage (Ridge or Bayesian Ridge) and either a richer feature set or a larger training sample. The pooled Bayesian Ridge combines both — its 95-observation panel is approximately four times larger than the UZB-only minimal sample, and the Bayesian shrinkage handles the country dummies without manual hyperparameter tuning. The frequentist Ridge α = 1 from NB06 reaches the same MAPE because the four-feature minimal specification on the 18-observation training window is itself in a favourable regularisation regime.</w:t>
      </w:r>
    </w:p>
    <w:p>
      <w:pPr>
        <w:pStyle w:val="Heading2"/>
      </w:pPr>
      <w:r>
        <w:t xml:space="preserve">7.2 What the 90 % predictive interval means for ILF</w:t>
      </w:r>
    </w:p>
    <w:p>
      <w:r>
        <w:t xml:space="preserve">The Bayesian predictive interval (76–110 TWh in 2030) is wider than the residual-bootstrap interval reported in the interim report (147.5–154.1 TWh in 2040, narrower because it propagated only residual noise). Reporting parameter uncertainty alongside residual noise is the methodologically honest position when n ≈ 30. For ILF, the operational implication is that any single point forecast — whether ours, the interim 101 TWh, or the EDB 102 TWh — sits comfortably inside the band of plausible outcomes; the pipeline-prioritisation decision should be made on the bound, not the point.</w:t>
      </w:r>
    </w:p>
    <w:p>
      <w:pPr>
        <w:pStyle w:val="Heading2"/>
      </w:pPr>
      <w:r>
        <w:t xml:space="preserve">7.3 The structural capacity gap is scenario-independent</w:t>
      </w:r>
    </w:p>
    <w:p>
      <w:r>
        <w:t xml:space="preserve">Demand grows by a factor of approximately 1.1 to 1.2 by 2030 in every scenario. The structural capacity gap — the difference between required generation and current installed capacity at realistic capacity factors — is therefore present under every macroeconomic assumption tested. CCGT and renewable advisory remain a live ILF engagement category regardless of the macroeconomic trajectory. This is the single strongest commercial implication of the analysis.</w:t>
      </w:r>
    </w:p>
    <w:p>
      <w:pPr>
        <w:pStyle w:val="Heading2"/>
      </w:pPr>
      <w:r>
        <w:t xml:space="preserve">7.4 Mapping forecasts to ILF advisory categories</w:t>
      </w:r>
    </w:p>
    <w:p>
      <w:pPr>
        <w:shd w:fill="FEF3C7" w:val="clear"/>
        <w:spacing w:after="80" w:before="80"/>
      </w:pPr>
      <w:r>
        <w:rPr>
          <w:b/>
          <w:bCs/>
          <w:color w:val="B45309"/>
        </w:rPr>
        <w:t xml:space="preserve">[TO EXPAND] </w:t>
      </w:r>
      <w:r>
        <w:rPr>
          <w:i/>
          <w:iCs/>
          <w:color w:val="78350F"/>
        </w:rPr>
        <w:t xml:space="preserve">Reproduce the investment-signals table from NB08. Five signals, each mapped to a named ILF workstream: capacity-gap (CCGT + RE pipeline), RE-shortfall (grid balancing), gas-decline (gas-supply hedging), T&amp;D-losses (transmission rehab), NDC-residual (carbon finance).</w:t>
      </w:r>
    </w:p>
    <w:p>
      <w:pPr>
        <w:pStyle w:val="Heading1"/>
        <w:pageBreakBefore/>
      </w:pPr>
      <w:r>
        <w:t xml:space="preserve">8. Limitations and Future Work</w:t>
      </w:r>
    </w:p>
    <w:p>
      <w:pPr>
        <w:pStyle w:val="Heading2"/>
      </w:pPr>
      <w:r>
        <w:t xml:space="preserve">8.1 Sample-size constraints</w:t>
      </w:r>
    </w:p>
    <w:p>
      <w:r>
        <w:t xml:space="preserve">At n ≈ 34 annual observations for the UZB-only models, the binding constraint on specification complexity is acknowledged throughout. Pooling addresses but does not eliminate this constraint. The next iteration of this work should fit a hierarchical Bayesian model on the oblast panel (14 × 15 = 210 observations) to exploit cross-sectional variation that the country-level model cannot.</w:t>
      </w:r>
    </w:p>
    <w:p>
      <w:pPr>
        <w:pStyle w:val="Heading2"/>
      </w:pPr>
      <w:r>
        <w:t xml:space="preserve">8.2 Tariff price elasticity is not identifiable on the available window</w:t>
      </w:r>
    </w:p>
    <w:p>
      <w:r>
        <w:t xml:space="preserve">Verifiable tariff data exist only from 2017, with two step-changes (May 2019 and May 2024). This window is too short to identify a precise price-elasticity coefficient under inflation-adjusted real terms. Recovery of pre-2017 tariff decrees from the Uzbek legal database (lex.uz) is a clean two-week extension that would unlock this elasticity.</w:t>
      </w:r>
    </w:p>
    <w:p>
      <w:pPr>
        <w:pStyle w:val="Heading2"/>
      </w:pPr>
      <w:r>
        <w:t xml:space="preserve">8.3 CO₂ intensity is reported as direction only</w:t>
      </w:r>
    </w:p>
    <w:p>
      <w:r>
        <w:t xml:space="preserve">The CO₂ intensity model in NB06 has test R² &lt; 0 because the COVID-19 demand shock (2020) generated a CO₂-intensity outlier that the small-sample model cannot accommodate. The dashboard and final report present CO₂ as a qualitative scenario label rather than a quantified target. A bottom-up emissions calculation, combining the demand forecast with a fuel-mix forecast and IEA emission factors, would close this gap.</w:t>
      </w:r>
    </w:p>
    <w:p>
      <w:pPr>
        <w:pStyle w:val="Heading2"/>
      </w:pPr>
      <w:r>
        <w:t xml:space="preserve">8.4 Greenhouse and irrigation seasonality is not captured at annual scale</w:t>
      </w:r>
    </w:p>
    <w:p>
      <w:r>
        <w:t xml:space="preserve">Uzbekistan's heated greenhouse sector and irrigation pumping load show strong winter and summer concentration that an annual model averages out. Monthly UzStat industrial production data (IDs 562 and 590, available from 2019) would support a sub-annual extension if needed for the ILF audience.</w:t>
      </w:r>
    </w:p>
    <w:p>
      <w:pPr>
        <w:pStyle w:val="Heading2"/>
      </w:pPr>
      <w:r>
        <w:t xml:space="preserve">8.5 Scope limits</w:t>
      </w:r>
    </w:p>
    <w:p>
      <w:pPr>
        <w:shd w:fill="FEF3C7" w:val="clear"/>
        <w:spacing w:after="80" w:before="80"/>
      </w:pPr>
      <w:r>
        <w:rPr>
          <w:b/>
          <w:bCs/>
          <w:color w:val="B45309"/>
        </w:rPr>
        <w:t xml:space="preserve">[TO EXPAND] </w:t>
      </w:r>
      <w:r>
        <w:rPr>
          <w:i/>
          <w:iCs/>
          <w:color w:val="78350F"/>
        </w:rPr>
        <w:t xml:space="preserve">Acknowledge the PID-confirmed exclusions: production-grade deployment, real-time data feeds, financial modelling, primary data collection.</w:t>
      </w:r>
    </w:p>
    <w:p>
      <w:pPr>
        <w:pStyle w:val="Heading1"/>
        <w:pageBreakBefore/>
      </w:pPr>
      <w:r>
        <w:t xml:space="preserve">9. Conclusion and Recommendations for ILF</w:t>
      </w:r>
    </w:p>
    <w:p>
      <w:pPr>
        <w:shd w:fill="FEF3C7" w:val="clear"/>
        <w:spacing w:after="80" w:before="80"/>
      </w:pPr>
      <w:r>
        <w:rPr>
          <w:b/>
          <w:bCs/>
          <w:color w:val="B45309"/>
        </w:rPr>
        <w:t xml:space="preserve">[TO EXPAND] </w:t>
      </w:r>
      <w:r>
        <w:rPr>
          <w:i/>
          <w:iCs/>
          <w:color w:val="78350F"/>
        </w:rPr>
        <w:t xml:space="preserve">Three to four paragraphs. (1) Restate the central finding: demand grows ~1.1–1.2× by 2030 in every scenario; capacity gap is structural. (2) Restate the methodological contribution: pooled Bayesian Ridge with country fixed effects beats UZB-only specifications on the same hold-out and gives a defensible uncertainty fan. (3) Translate into ILF action: name the five investment signals and their advisory mapping. (4) Note the next-iteration priorities (oblast model, tariff data, monthly extension).</w:t>
      </w:r>
    </w:p>
    <w:p>
      <w:pPr>
        <w:pStyle w:val="Heading1"/>
        <w:pageBreakBefore/>
      </w:pPr>
      <w:r>
        <w:t xml:space="preserve">References</w:t>
      </w:r>
    </w:p>
    <w:p>
      <w:r>
        <w:t xml:space="preserve">Bhattacharyya, S. C., &amp; Blake, A. (2009). Domestic demand for petroleum products in MENA countries. Energy Policy, 37(4), 1552–1560.</w:t>
      </w:r>
    </w:p>
    <w:p>
      <w:r>
        <w:t xml:space="preserve">Box, G. E. P., Jenkins, G. M., Reinsel, G. C., &amp; Ljung, G. M. (2015). Time series analysis: Forecasting and control (5th ed.). Wiley.</w:t>
      </w:r>
    </w:p>
    <w:p>
      <w:r>
        <w:t xml:space="preserve">Broomandi, P., et al. (2025). Energy generation and carbon footprint under future projections of Central Asian temperature extremes. Global Challenges, 9.</w:t>
      </w:r>
    </w:p>
    <w:p>
      <w:r>
        <w:t xml:space="preserve">Dickey, D. A., &amp; Fuller, W. A. (1979). Distribution of the estimators for autoregressive time series with a unit root. Journal of the American Statistical Association, 74(366), 427–431.</w:t>
      </w:r>
    </w:p>
    <w:p>
      <w:r>
        <w:t xml:space="preserve">Engle, R. F., &amp; Granger, C. W. J. (1987). Co-integration and error correction: Representation, estimation, and testing. Econometrica, 55(2), 251–276.</w:t>
      </w:r>
    </w:p>
    <w:p>
      <w:r>
        <w:t xml:space="preserve">Eskeland, G., &amp; Mideksa, T. (2010). Electricity demand in a changing climate. Mitigation and Adaptation Strategies for Global Change, 15(8), 877–897.</w:t>
      </w:r>
    </w:p>
    <w:p>
      <w:r>
        <w:t xml:space="preserve">Eurasian Development Bank. (2026). Central Asia energy outlook: March 2026. Eurasian Development Bank.</w:t>
      </w:r>
    </w:p>
    <w:p>
      <w:r>
        <w:t xml:space="preserve">Granger, C. W. J., &amp; Newbold, P. (1974). Spurious regressions in econometrics. Journal of Econometrics, 2(2), 111–120.</w:t>
      </w:r>
    </w:p>
    <w:p>
      <w:r>
        <w:t xml:space="preserve">Hoerl, A. E., &amp; Kennard, R. W. (1970). Ridge regression: Biased estimation for nonorthogonal problems. Technometrics, 12(1), 55–67.</w:t>
      </w:r>
    </w:p>
    <w:p>
      <w:r>
        <w:t xml:space="preserve">Hsiao, C. (2014). Analysis of panel data (3rd ed.). Cambridge University Press.</w:t>
      </w:r>
    </w:p>
    <w:p>
      <w:r>
        <w:t xml:space="preserve">Hurvich, C. M., &amp; Tsai, C.-L. (1989). Regression and time series model selection in small samples. Biometrika, 76(2), 297–307.</w:t>
      </w:r>
    </w:p>
    <w:p>
      <w:r>
        <w:t xml:space="preserve">Hyndman, R. J., &amp; Athanasopoulos, G. (2021). Forecasting: Principles and practice (3rd ed.). OTexts.</w:t>
      </w:r>
    </w:p>
    <w:p>
      <w:r>
        <w:t xml:space="preserve">Inglesi-Lotz, R. (2011). The evolution of price elasticity of electricity demand in South Africa: A Kalman filter application. Energy Policy, 39(6), 3690–3696.</w:t>
      </w:r>
    </w:p>
    <w:p>
      <w:r>
        <w:t xml:space="preserve">International Energy Agency. (2022). Uzbekistan energy profile. IEA Publications.</w:t>
      </w:r>
    </w:p>
    <w:p>
      <w:r>
        <w:t xml:space="preserve">International Energy Agency. (2024). Central Asia energy outlook 2024. IEA Publications.</w:t>
      </w:r>
    </w:p>
    <w:p>
      <w:r>
        <w:t xml:space="preserve">International Monetary Fund. (2025). World Economic Outlook October 2025. IMF.</w:t>
      </w:r>
    </w:p>
    <w:p>
      <w:r>
        <w:t xml:space="preserve">International Renewable Energy Agency. (2024). Renewable capacity statistics. IRENA.</w:t>
      </w:r>
    </w:p>
    <w:p>
      <w:r>
        <w:t xml:space="preserve">Kwiatkowski, D., Phillips, P. C. B., Schmidt, P., &amp; Shin, Y. (1992). Testing the null hypothesis of stationarity against the alternative of a unit root. Journal of Econometrics, 54(1–3), 159–178.</w:t>
      </w:r>
    </w:p>
    <w:p>
      <w:r>
        <w:t xml:space="preserve">Lewis, C. D. (1982). Industrial and business forecasting methods. Butterworths.</w:t>
      </w:r>
    </w:p>
    <w:p>
      <w:r>
        <w:t xml:space="preserve">Taylor, S. J., &amp; Letham, B. (2018). Forecasting at scale. The American Statistician, 72(1), 37–45.</w:t>
      </w:r>
    </w:p>
    <w:p>
      <w:r>
        <w:t xml:space="preserve">Tipping, M. E. (2001). Sparse Bayesian learning and the relevance vector machine. Journal of Machine Learning Research, 1, 211–244.</w:t>
      </w:r>
    </w:p>
    <w:p>
      <w:r>
        <w:t xml:space="preserve">World Bank. (2022). Energy transition for Central Asia. World Bank Publications.</w:t>
      </w:r>
    </w:p>
    <w:p>
      <w:pPr>
        <w:shd w:fill="FEF3C7" w:val="clear"/>
        <w:spacing w:after="80" w:before="80"/>
      </w:pPr>
      <w:r>
        <w:rPr>
          <w:b/>
          <w:bCs/>
          <w:color w:val="B45309"/>
        </w:rPr>
        <w:t xml:space="preserve">[TO EXPAND] </w:t>
      </w:r>
      <w:r>
        <w:rPr>
          <w:i/>
          <w:iCs/>
          <w:color w:val="78350F"/>
        </w:rPr>
        <w:t xml:space="preserve">Add ILF White Paper (2025) — confirm full citation with Ardak. Add EDB outlook full publication metadata. Add UzStat methodology document URLs.</w:t>
      </w:r>
    </w:p>
    <w:p>
      <w:pPr>
        <w:pStyle w:val="Heading1"/>
        <w:pageBreakBefore/>
      </w:pPr>
      <w:r>
        <w:t xml:space="preserve">Appendix</w:t>
      </w:r>
    </w:p>
    <w:p>
      <w:pPr>
        <w:pStyle w:val="Heading2"/>
      </w:pPr>
      <w:r>
        <w:t xml:space="preserve">A. Notebook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c>
          <w:tcPr>
            <w:tcW w:type="dxa" w:w="12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left"/>
            </w:pPr>
            <w:r>
              <w:rPr>
                <w:b/>
                <w:bCs/>
                <w:sz w:val="20"/>
                <w:szCs w:val="20"/>
              </w:rPr>
              <w:t xml:space="preserve">Notebook</w:t>
            </w:r>
          </w:p>
        </w:tc>
        <w:tc>
          <w:tcPr>
            <w:tcW w:type="dxa" w:w="4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left"/>
            </w:pPr>
            <w:r>
              <w:rPr>
                <w:b/>
                <w:bCs/>
                <w:sz w:val="20"/>
                <w:szCs w:val="20"/>
              </w:rPr>
              <w:t xml:space="preserve">Topic</w:t>
            </w:r>
          </w:p>
        </w:tc>
        <w:tc>
          <w:tcPr>
            <w:tcW w:type="dxa" w:w="41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pPr>
              <w:jc w:val="left"/>
            </w:pPr>
            <w:r>
              <w:rPr>
                <w:b/>
                <w:bCs/>
                <w:sz w:val="20"/>
                <w:szCs w:val="20"/>
              </w:rPr>
              <w:t xml:space="preserve">Defends in paper</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NB01</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Data pipeline</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 3.1, § 3.2</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NB02</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Energy mix EDA</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 4.1</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NB03</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Supply drivers EDA</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 4.2</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NB04</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Demand drivers EDA</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 4.3</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NB05</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Correlation and causality</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 4.4</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NB06</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Baseline forecasting</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 5.1, § 6.1</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NB07</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Advanced forecasting (Bayesian + Pooled)</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 5.2, § 5.3, § 6.2, § 6.3</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NB08</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Investment signals</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 7.4</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NB09</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Spatial analysis</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 8.1 (oblast extension)</w:t>
            </w:r>
          </w:p>
        </w:tc>
      </w:tr>
      <w:tr>
        <w:tc>
          <w:tcPr>
            <w:tcW w:type="dxa" w:w="12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NB10</w:t>
            </w:r>
          </w:p>
        </w:tc>
        <w:tc>
          <w:tcPr>
            <w:tcW w:type="dxa" w:w="40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Plotly Dash dashboard</w:t>
            </w:r>
          </w:p>
        </w:tc>
        <w:tc>
          <w:tcPr>
            <w:tcW w:type="dxa" w:w="41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b w:val="false"/>
                <w:bCs w:val="false"/>
                <w:sz w:val="20"/>
                <w:szCs w:val="20"/>
              </w:rPr>
              <w:t xml:space="preserve">§ 1.4 contribution</w:t>
            </w:r>
          </w:p>
        </w:tc>
      </w:tr>
    </w:tbl>
    <w:p>
      <w:r>
        <w:t xml:space="preserve"/>
      </w:r>
    </w:p>
    <w:p>
      <w:pPr>
        <w:pStyle w:val="Heading2"/>
      </w:pPr>
      <w:r>
        <w:t xml:space="preserve">B. Cleaned datasets</w:t>
      </w:r>
    </w:p>
    <w:p>
      <w:pPr>
        <w:pStyle w:val="ListParagraph"/>
        <w:numPr>
          <w:ilvl w:val="0"/>
          <w:numId w:val="3"/>
        </w:numPr>
      </w:pPr>
      <w:r>
        <w:t xml:space="preserve">data/processed/master_dataset_core.csv — UZB 1990–2026, 33 columns</w:t>
      </w:r>
    </w:p>
    <w:p>
      <w:pPr>
        <w:pStyle w:val="ListParagraph"/>
        <w:numPr>
          <w:ilvl w:val="0"/>
          <w:numId w:val="3"/>
        </w:numPr>
      </w:pPr>
      <w:r>
        <w:t xml:space="preserve">data/processed/demand_drivers_panel_v2.csv — World Bank sectoral GDP + IMF + climate + tariff</w:t>
      </w:r>
    </w:p>
    <w:p>
      <w:pPr>
        <w:pStyle w:val="ListParagraph"/>
        <w:numPr>
          <w:ilvl w:val="0"/>
          <w:numId w:val="3"/>
        </w:numPr>
      </w:pPr>
      <w:r>
        <w:t xml:space="preserve">data/processed/uzstat_clean/uzb_energy_national.csv — 18 national energy series 2010–2024</w:t>
      </w:r>
    </w:p>
    <w:p>
      <w:pPr>
        <w:pStyle w:val="ListParagraph"/>
        <w:numPr>
          <w:ilvl w:val="0"/>
          <w:numId w:val="3"/>
        </w:numPr>
      </w:pPr>
      <w:r>
        <w:t xml:space="preserve">data/processed/uzstat_clean/uzb_electricity_oblast.csv — 14 oblasts × 15 years = 210 observations</w:t>
      </w:r>
    </w:p>
    <w:p>
      <w:pPr>
        <w:pStyle w:val="ListParagraph"/>
        <w:numPr>
          <w:ilvl w:val="0"/>
          <w:numId w:val="3"/>
        </w:numPr>
      </w:pPr>
      <w:r>
        <w:t xml:space="preserve">data/processed/uzstat_clean/central_asia_panel.csv — 5 countries × 26 years</w:t>
      </w:r>
    </w:p>
    <w:p>
      <w:pPr>
        <w:pStyle w:val="ListParagraph"/>
        <w:numPr>
          <w:ilvl w:val="0"/>
          <w:numId w:val="3"/>
        </w:numPr>
      </w:pPr>
      <w:r>
        <w:t xml:space="preserve">data/processed/uzstat_clean/climate_central_asia.csv — pop-weighted ERA5 climate, 5 countries × 35 years</w:t>
      </w:r>
    </w:p>
    <w:p>
      <w:pPr>
        <w:pStyle w:val="ListParagraph"/>
        <w:numPr>
          <w:ilvl w:val="0"/>
          <w:numId w:val="3"/>
        </w:numPr>
      </w:pPr>
      <w:r>
        <w:t xml:space="preserve">data/processed/uzstat_clean/SHORTLIST_for_analysis.csv — 504 of 618 messy-data files curated</w:t>
      </w:r>
    </w:p>
    <w:p>
      <w:pPr>
        <w:pStyle w:val="Heading2"/>
      </w:pPr>
      <w:r>
        <w:t xml:space="preserve">C. Forecast artefacts</w:t>
      </w:r>
    </w:p>
    <w:p>
      <w:pPr>
        <w:pStyle w:val="ListParagraph"/>
        <w:numPr>
          <w:ilvl w:val="0"/>
          <w:numId w:val="3"/>
        </w:numPr>
      </w:pPr>
      <w:r>
        <w:t xml:space="preserve">data/processed/forecast_demand_bayes_ridge.csv — Bayesian Ridge point and σ</w:t>
      </w:r>
    </w:p>
    <w:p>
      <w:pPr>
        <w:pStyle w:val="ListParagraph"/>
        <w:numPr>
          <w:ilvl w:val="0"/>
          <w:numId w:val="3"/>
        </w:numPr>
      </w:pPr>
      <w:r>
        <w:t xml:space="preserve">data/processed/forecast_demand_bayes_scenarios.csv — three scenarios × seven years with 90 % intervals</w:t>
      </w:r>
    </w:p>
    <w:p>
      <w:pPr>
        <w:pStyle w:val="ListParagraph"/>
        <w:numPr>
          <w:ilvl w:val="0"/>
          <w:numId w:val="3"/>
        </w:numPr>
      </w:pPr>
      <w:r>
        <w:t xml:space="preserve">data/processed/forecast_scoreboard.csv — unified 23-model comparison rendered by the dashboard</w:t>
      </w:r>
    </w:p>
    <w:p>
      <w:pPr>
        <w:pStyle w:val="ListParagraph"/>
        <w:numPr>
          <w:ilvl w:val="0"/>
          <w:numId w:val="3"/>
        </w:numPr>
      </w:pPr>
      <w:r>
        <w:t xml:space="preserve">data/processed/forecast_scoreboard_advanced.csv — six advanced models from NB07</w:t>
      </w:r>
    </w:p>
    <w:p>
      <w:pPr>
        <w:pStyle w:val="ListParagraph"/>
        <w:numPr>
          <w:ilvl w:val="0"/>
          <w:numId w:val="3"/>
        </w:numPr>
      </w:pPr>
      <w:r>
        <w:t xml:space="preserve">data/processed/forecast_scoreboard_baseline.csv — six baseline models from NB06</w:t>
      </w:r>
    </w:p>
    <w:p>
      <w:pPr>
        <w:pStyle w:val="Heading2"/>
      </w:pPr>
      <w:r>
        <w:t xml:space="preserve">D. Reproducibility checklist</w:t>
      </w:r>
    </w:p>
    <w:p>
      <w:pPr>
        <w:pStyle w:val="ListParagraph"/>
        <w:numPr>
          <w:ilvl w:val="0"/>
          <w:numId w:val="2"/>
        </w:numPr>
      </w:pPr>
      <w:r>
        <w:t xml:space="preserve">Run the ten notebooks in order (01 → 10) with SEED = 42.</w:t>
      </w:r>
    </w:p>
    <w:p>
      <w:pPr>
        <w:pStyle w:val="ListParagraph"/>
        <w:numPr>
          <w:ilvl w:val="0"/>
          <w:numId w:val="2"/>
        </w:numPr>
      </w:pPr>
      <w:r>
        <w:t xml:space="preserve">Re-execute the scripts under /scripts to regenerate the cleaned UzStat panels, the Central Asia pooled panel, and the Open-Meteo climate panel.</w:t>
      </w:r>
    </w:p>
    <w:p>
      <w:pPr>
        <w:pStyle w:val="ListParagraph"/>
        <w:numPr>
          <w:ilvl w:val="0"/>
          <w:numId w:val="2"/>
        </w:numPr>
      </w:pPr>
      <w:r>
        <w:t xml:space="preserve">Verify that the unified scoreboard in data/processed/forecast_scoreboard.csv contains 23 rows.</w:t>
      </w:r>
    </w:p>
    <w:p>
      <w:pPr>
        <w:pStyle w:val="ListParagraph"/>
        <w:numPr>
          <w:ilvl w:val="0"/>
          <w:numId w:val="2"/>
        </w:numPr>
      </w:pPr>
      <w:r>
        <w:t xml:space="preserve">Run the dashboard locally via python dashboard/app.py and confirm HTTP 200 at http://127.0.0.1:8050/.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Page </w:t>
    </w:r>
    <w:r>
      <w:rPr>
        <w:color w:val="6b7280"/>
        <w:sz w:val="18"/>
        <w:szCs w:val="18"/>
      </w:rPr>
      <w:fldChar w:fldCharType="begin"/>
      <w:instrText xml:space="preserve">PAGE</w:instrText>
      <w:fldChar w:fldCharType="separate"/>
      <w:fldChar w:fldCharType="end"/>
    </w:r>
    <w:r>
      <w:rPr>
        <w:color w:val="6b7280"/>
        <w:sz w:val="18"/>
        <w:szCs w:val="18"/>
      </w:rPr>
      <w:t xml:space="preserve"> of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b7280"/>
        <w:sz w:val="18"/>
        <w:szCs w:val="18"/>
      </w:rPr>
      <w:t xml:space="preserve">Uzbekistan Power Sector Transition Tracker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d4d7a"/>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1e3a8a"/>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Uzbekistan Power Sector Transition Tracker</dc:title>
  <dc:creator>Farangiz Jurakhonova</dc:creator>
  <dc:description>CEU MSBA capstone research paper — Draft</dc:description>
  <cp:lastModifiedBy>Un-named</cp:lastModifiedBy>
  <cp:revision>1</cp:revision>
  <dcterms:created xsi:type="dcterms:W3CDTF">2026-05-27T10:24:01.795Z</dcterms:created>
  <dcterms:modified xsi:type="dcterms:W3CDTF">2026-05-27T10:24:01.795Z</dcterms:modified>
</cp:coreProperties>
</file>

<file path=docProps/custom.xml><?xml version="1.0" encoding="utf-8"?>
<Properties xmlns="http://schemas.openxmlformats.org/officeDocument/2006/custom-properties" xmlns:vt="http://schemas.openxmlformats.org/officeDocument/2006/docPropsVTypes"/>
</file>