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EF8D" w14:textId="77777777" w:rsidR="00C45F2F" w:rsidRDefault="00000000">
      <w:pPr>
        <w:spacing w:line="240" w:lineRule="auto"/>
        <w:jc w:val="center"/>
      </w:pPr>
      <w:r>
        <w:rPr>
          <w:noProof/>
        </w:rPr>
        <w:drawing>
          <wp:inline distT="0" distB="0" distL="0" distR="0" wp14:anchorId="3807C523" wp14:editId="0342FE11">
            <wp:extent cx="7772400" cy="1005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100000"/>
                              </a14:imgEffect>
                              <a14:imgEffect>
                                <a14:brightnessContrast bright="-31000" contrast="6000"/>
                              </a14:imgEffect>
                            </a14:imgLayer>
                          </a14:imgProps>
                        </a:ext>
                      </a:extLst>
                    </a:blip>
                    <a:srcRect/>
                    <a:stretch>
                      <a:fillRect/>
                    </a:stretch>
                  </pic:blipFill>
                  <pic:spPr bwMode="auto">
                    <a:xfrm>
                      <a:off x="0" y="0"/>
                      <a:ext cx="7772400" cy="10058400"/>
                    </a:xfrm>
                    <a:prstGeom prst="rect">
                      <a:avLst/>
                    </a:prstGeom>
                    <a:effectLst>
                      <a:glow>
                        <a:schemeClr val="accent1"/>
                      </a:glow>
                    </a:effectLst>
                  </pic:spPr>
                </pic:pic>
              </a:graphicData>
            </a:graphic>
          </wp:inline>
        </w:drawing>
      </w:r>
    </w:p>
    <w:p w14:paraId="0252D4F6" w14:textId="77777777" w:rsidR="00C45F2F" w:rsidRDefault="00C45F2F">
      <w:pPr>
        <w:sectPr w:rsidR="00C45F2F">
          <w:pgSz w:w="12240" w:h="15840"/>
          <w:pgMar w:top="0" w:right="0" w:bottom="0" w:left="0" w:header="0" w:footer="0" w:gutter="0"/>
          <w:cols w:space="720"/>
          <w:docGrid w:linePitch="360"/>
        </w:sectPr>
      </w:pPr>
    </w:p>
    <w:p w14:paraId="3EC08196" w14:textId="77777777" w:rsidR="00C45F2F" w:rsidRDefault="00000000">
      <w:pPr>
        <w:spacing w:after="50"/>
      </w:pPr>
      <w:r>
        <w:rPr>
          <w:b/>
          <w:bCs/>
          <w:caps/>
          <w:color w:val="BD6B3E"/>
          <w:spacing w:val="34"/>
          <w:sz w:val="17"/>
          <w:szCs w:val="17"/>
        </w:rPr>
        <w:lastRenderedPageBreak/>
        <w:t>01 — The system &amp; the outlook</w:t>
      </w:r>
    </w:p>
    <w:p w14:paraId="7A383560" w14:textId="77777777" w:rsidR="00C45F2F" w:rsidRDefault="00000000">
      <w:pPr>
        <w:spacing w:after="70" w:line="230" w:lineRule="auto"/>
      </w:pPr>
      <w:r>
        <w:rPr>
          <w:b/>
          <w:bCs/>
          <w:color w:val="0E2436"/>
          <w:sz w:val="42"/>
          <w:szCs w:val="42"/>
        </w:rPr>
        <w:t>A grid that must nearly double</w:t>
      </w:r>
    </w:p>
    <w:p w14:paraId="5964AB92" w14:textId="77777777" w:rsidR="00C45F2F" w:rsidRDefault="00C45F2F">
      <w:pPr>
        <w:pBdr>
          <w:bottom w:val="single" w:sz="10" w:space="0" w:color="BD6B3E"/>
        </w:pBdr>
        <w:spacing w:after="110" w:line="20" w:lineRule="auto"/>
      </w:pP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92"/>
        <w:gridCol w:w="2592"/>
        <w:gridCol w:w="2592"/>
        <w:gridCol w:w="2592"/>
      </w:tblGrid>
      <w:tr w:rsidR="00C45F2F" w14:paraId="3FC317C8" w14:textId="77777777">
        <w:tc>
          <w:tcPr>
            <w:tcW w:w="2592" w:type="dxa"/>
            <w:tcBorders>
              <w:top w:val="none" w:sz="0" w:space="0" w:color="FFFFFF"/>
              <w:left w:val="none" w:sz="0" w:space="0" w:color="FFFFFF"/>
              <w:bottom w:val="none" w:sz="0" w:space="0" w:color="FFFFFF"/>
              <w:right w:val="none" w:sz="0" w:space="0" w:color="FFFFFF"/>
            </w:tcBorders>
            <w:shd w:val="clear" w:color="auto" w:fill="ECF1F5"/>
            <w:tcMar>
              <w:top w:w="130" w:type="dxa"/>
              <w:left w:w="130" w:type="dxa"/>
              <w:bottom w:w="120" w:type="dxa"/>
              <w:right w:w="90" w:type="dxa"/>
            </w:tcMar>
          </w:tcPr>
          <w:p w14:paraId="0616D815" w14:textId="77777777" w:rsidR="00C45F2F" w:rsidRDefault="00000000">
            <w:pPr>
              <w:spacing w:after="8" w:line="230" w:lineRule="auto"/>
            </w:pPr>
            <w:r>
              <w:rPr>
                <w:b/>
                <w:bCs/>
                <w:color w:val="1C3F5F"/>
                <w:sz w:val="46"/>
                <w:szCs w:val="46"/>
              </w:rPr>
              <w:t>≈78</w:t>
            </w:r>
            <w:r>
              <w:rPr>
                <w:b/>
                <w:bCs/>
                <w:color w:val="BD6B3E"/>
                <w:sz w:val="21"/>
                <w:szCs w:val="21"/>
              </w:rPr>
              <w:t xml:space="preserve"> %</w:t>
            </w:r>
          </w:p>
          <w:p w14:paraId="356C6184" w14:textId="77777777" w:rsidR="00C45F2F" w:rsidRDefault="00000000">
            <w:pPr>
              <w:spacing w:line="210" w:lineRule="auto"/>
            </w:pPr>
            <w:r>
              <w:rPr>
                <w:caps/>
                <w:color w:val="5E6C77"/>
                <w:spacing w:val="14"/>
                <w:sz w:val="15"/>
                <w:szCs w:val="15"/>
              </w:rPr>
              <w:t>of generation is gas-fired</w:t>
            </w:r>
          </w:p>
        </w:tc>
        <w:tc>
          <w:tcPr>
            <w:tcW w:w="2592" w:type="dxa"/>
            <w:tcBorders>
              <w:top w:val="none" w:sz="0" w:space="0" w:color="FFFFFF"/>
              <w:left w:val="none" w:sz="0" w:space="0" w:color="FFFFFF"/>
              <w:bottom w:val="none" w:sz="0" w:space="0" w:color="FFFFFF"/>
              <w:right w:val="none" w:sz="0" w:space="0" w:color="FFFFFF"/>
            </w:tcBorders>
            <w:shd w:val="clear" w:color="auto" w:fill="ECF1F5"/>
            <w:tcMar>
              <w:top w:w="130" w:type="dxa"/>
              <w:left w:w="130" w:type="dxa"/>
              <w:bottom w:w="120" w:type="dxa"/>
              <w:right w:w="90" w:type="dxa"/>
            </w:tcMar>
          </w:tcPr>
          <w:p w14:paraId="19E5CE29" w14:textId="77777777" w:rsidR="00C45F2F" w:rsidRDefault="00000000">
            <w:pPr>
              <w:spacing w:after="8" w:line="230" w:lineRule="auto"/>
            </w:pPr>
            <w:r>
              <w:rPr>
                <w:b/>
                <w:bCs/>
                <w:color w:val="1C3F5F"/>
                <w:sz w:val="46"/>
                <w:szCs w:val="46"/>
              </w:rPr>
              <w:t>74→124</w:t>
            </w:r>
            <w:r>
              <w:rPr>
                <w:b/>
                <w:bCs/>
                <w:color w:val="BD6B3E"/>
                <w:sz w:val="21"/>
                <w:szCs w:val="21"/>
              </w:rPr>
              <w:t xml:space="preserve"> TWh</w:t>
            </w:r>
          </w:p>
          <w:p w14:paraId="2022C021" w14:textId="77777777" w:rsidR="00C45F2F" w:rsidRDefault="00000000">
            <w:pPr>
              <w:spacing w:line="210" w:lineRule="auto"/>
            </w:pPr>
            <w:r>
              <w:rPr>
                <w:caps/>
                <w:color w:val="5E6C77"/>
                <w:spacing w:val="14"/>
                <w:sz w:val="15"/>
                <w:szCs w:val="15"/>
              </w:rPr>
              <w:t>demand, 2024 → 2040</w:t>
            </w:r>
          </w:p>
        </w:tc>
        <w:tc>
          <w:tcPr>
            <w:tcW w:w="2592" w:type="dxa"/>
            <w:tcBorders>
              <w:top w:val="none" w:sz="0" w:space="0" w:color="FFFFFF"/>
              <w:left w:val="none" w:sz="0" w:space="0" w:color="FFFFFF"/>
              <w:bottom w:val="none" w:sz="0" w:space="0" w:color="FFFFFF"/>
              <w:right w:val="none" w:sz="0" w:space="0" w:color="FFFFFF"/>
            </w:tcBorders>
            <w:shd w:val="clear" w:color="auto" w:fill="ECF1F5"/>
            <w:tcMar>
              <w:top w:w="130" w:type="dxa"/>
              <w:left w:w="130" w:type="dxa"/>
              <w:bottom w:w="120" w:type="dxa"/>
              <w:right w:w="90" w:type="dxa"/>
            </w:tcMar>
          </w:tcPr>
          <w:p w14:paraId="70318588" w14:textId="77777777" w:rsidR="00C45F2F" w:rsidRDefault="00000000">
            <w:pPr>
              <w:spacing w:after="8" w:line="230" w:lineRule="auto"/>
            </w:pPr>
            <w:r>
              <w:rPr>
                <w:b/>
                <w:bCs/>
                <w:color w:val="1C3F5F"/>
                <w:sz w:val="46"/>
                <w:szCs w:val="46"/>
              </w:rPr>
              <w:t>16–18</w:t>
            </w:r>
            <w:r>
              <w:rPr>
                <w:b/>
                <w:bCs/>
                <w:color w:val="BD6B3E"/>
                <w:sz w:val="21"/>
                <w:szCs w:val="21"/>
              </w:rPr>
              <w:t xml:space="preserve"> %</w:t>
            </w:r>
          </w:p>
          <w:p w14:paraId="36DCA08D" w14:textId="77777777" w:rsidR="00C45F2F" w:rsidRDefault="00000000">
            <w:pPr>
              <w:spacing w:line="210" w:lineRule="auto"/>
            </w:pPr>
            <w:r>
              <w:rPr>
                <w:caps/>
                <w:color w:val="5E6C77"/>
                <w:spacing w:val="14"/>
                <w:sz w:val="15"/>
                <w:szCs w:val="15"/>
              </w:rPr>
              <w:t>transmission &amp; distribution losses</w:t>
            </w:r>
          </w:p>
        </w:tc>
        <w:tc>
          <w:tcPr>
            <w:tcW w:w="2592" w:type="dxa"/>
            <w:tcBorders>
              <w:top w:val="none" w:sz="0" w:space="0" w:color="FFFFFF"/>
              <w:left w:val="none" w:sz="0" w:space="0" w:color="FFFFFF"/>
              <w:bottom w:val="none" w:sz="0" w:space="0" w:color="FFFFFF"/>
              <w:right w:val="none" w:sz="0" w:space="0" w:color="FFFFFF"/>
            </w:tcBorders>
            <w:shd w:val="clear" w:color="auto" w:fill="ECF1F5"/>
            <w:tcMar>
              <w:top w:w="130" w:type="dxa"/>
              <w:left w:w="130" w:type="dxa"/>
              <w:bottom w:w="120" w:type="dxa"/>
              <w:right w:w="90" w:type="dxa"/>
            </w:tcMar>
          </w:tcPr>
          <w:p w14:paraId="49081B83" w14:textId="77777777" w:rsidR="00C45F2F" w:rsidRDefault="00000000">
            <w:pPr>
              <w:spacing w:after="8" w:line="230" w:lineRule="auto"/>
            </w:pPr>
            <w:r>
              <w:rPr>
                <w:b/>
                <w:bCs/>
                <w:color w:val="1C3F5F"/>
                <w:sz w:val="46"/>
                <w:szCs w:val="46"/>
              </w:rPr>
              <w:t>≈30</w:t>
            </w:r>
            <w:r>
              <w:rPr>
                <w:b/>
                <w:bCs/>
                <w:color w:val="BD6B3E"/>
                <w:sz w:val="21"/>
                <w:szCs w:val="21"/>
              </w:rPr>
              <w:t xml:space="preserve"> yrs</w:t>
            </w:r>
          </w:p>
          <w:p w14:paraId="571445B5" w14:textId="77777777" w:rsidR="00C45F2F" w:rsidRDefault="00000000">
            <w:pPr>
              <w:spacing w:line="210" w:lineRule="auto"/>
            </w:pPr>
            <w:r>
              <w:rPr>
                <w:caps/>
                <w:color w:val="5E6C77"/>
                <w:spacing w:val="14"/>
                <w:sz w:val="15"/>
                <w:szCs w:val="15"/>
              </w:rPr>
              <w:t>of system data analysed</w:t>
            </w:r>
          </w:p>
        </w:tc>
      </w:tr>
    </w:tbl>
    <w:p w14:paraId="3A742421" w14:textId="77777777" w:rsidR="00C45F2F" w:rsidRDefault="00C45F2F">
      <w:pPr>
        <w:spacing w:after="150" w:line="240" w:lineRule="auto"/>
      </w:pP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940"/>
        <w:gridCol w:w="6428"/>
      </w:tblGrid>
      <w:tr w:rsidR="00C45F2F" w14:paraId="18CD7EEA" w14:textId="77777777">
        <w:tc>
          <w:tcPr>
            <w:tcW w:w="3940" w:type="dxa"/>
            <w:tcBorders>
              <w:top w:val="none" w:sz="0" w:space="0" w:color="FFFFFF"/>
              <w:left w:val="none" w:sz="0" w:space="0" w:color="FFFFFF"/>
              <w:bottom w:val="none" w:sz="0" w:space="0" w:color="FFFFFF"/>
              <w:right w:val="none" w:sz="0" w:space="0" w:color="FFFFFF"/>
            </w:tcBorders>
            <w:shd w:val="clear" w:color="auto" w:fill="F1EEE9"/>
            <w:tcMar>
              <w:top w:w="130" w:type="dxa"/>
              <w:left w:w="150" w:type="dxa"/>
              <w:bottom w:w="140" w:type="dxa"/>
              <w:right w:w="150" w:type="dxa"/>
            </w:tcMar>
          </w:tcPr>
          <w:p w14:paraId="149AE2FA" w14:textId="77777777" w:rsidR="00C45F2F" w:rsidRDefault="00000000">
            <w:pPr>
              <w:spacing w:after="40"/>
            </w:pPr>
            <w:r>
              <w:rPr>
                <w:b/>
                <w:bCs/>
                <w:caps/>
                <w:color w:val="BD6B3E"/>
                <w:spacing w:val="22"/>
                <w:sz w:val="17"/>
                <w:szCs w:val="17"/>
              </w:rPr>
              <w:t>About this brief</w:t>
            </w:r>
          </w:p>
          <w:p w14:paraId="15025442" w14:textId="77777777" w:rsidR="00C45F2F" w:rsidRDefault="00000000">
            <w:pPr>
              <w:spacing w:after="120" w:line="250" w:lineRule="auto"/>
            </w:pPr>
            <w:r>
              <w:rPr>
                <w:sz w:val="17"/>
                <w:szCs w:val="17"/>
              </w:rPr>
              <w:t>This summary distils a capstone study of Uzbekistan's power sector and its path to 2040, prepared for ILF Consulting Engineers Austria. It pairs a probabilistic demand forecast with three policy-calibrated supply scenarios, then locates where engineering and advisory value is most likely to be created.</w:t>
            </w:r>
          </w:p>
          <w:p w14:paraId="15672DBD" w14:textId="77777777" w:rsidR="00C45F2F" w:rsidRDefault="00000000">
            <w:pPr>
              <w:spacing w:after="40"/>
            </w:pPr>
            <w:r>
              <w:rPr>
                <w:b/>
                <w:bCs/>
                <w:caps/>
                <w:color w:val="BD6B3E"/>
                <w:spacing w:val="22"/>
                <w:sz w:val="17"/>
                <w:szCs w:val="17"/>
              </w:rPr>
              <w:t>The grid today</w:t>
            </w:r>
          </w:p>
          <w:p w14:paraId="32526342" w14:textId="77777777" w:rsidR="00C45F2F" w:rsidRDefault="00000000">
            <w:pPr>
              <w:pBdr>
                <w:bottom w:val="single" w:sz="4" w:space="0" w:color="D9DEE3"/>
              </w:pBdr>
              <w:spacing w:line="252" w:lineRule="auto"/>
            </w:pPr>
            <w:r>
              <w:rPr>
                <w:color w:val="5E6C77"/>
                <w:sz w:val="16"/>
                <w:szCs w:val="16"/>
              </w:rPr>
              <w:t>Generation</w:t>
            </w:r>
            <w:r>
              <w:t xml:space="preserve">   </w:t>
            </w:r>
            <w:r>
              <w:rPr>
                <w:b/>
                <w:bCs/>
                <w:color w:val="1C3F5F"/>
                <w:sz w:val="16"/>
                <w:szCs w:val="16"/>
              </w:rPr>
              <w:t>≈ 78 % gas-fired</w:t>
            </w:r>
          </w:p>
          <w:p w14:paraId="1DB6AC47" w14:textId="77777777" w:rsidR="00C45F2F" w:rsidRDefault="00000000">
            <w:pPr>
              <w:pBdr>
                <w:bottom w:val="single" w:sz="4" w:space="0" w:color="D9DEE3"/>
              </w:pBdr>
              <w:spacing w:line="252" w:lineRule="auto"/>
            </w:pPr>
            <w:r>
              <w:rPr>
                <w:color w:val="5E6C77"/>
                <w:sz w:val="16"/>
                <w:szCs w:val="16"/>
              </w:rPr>
              <w:t>Demand (2024)</w:t>
            </w:r>
            <w:r>
              <w:t xml:space="preserve">   </w:t>
            </w:r>
            <w:r>
              <w:rPr>
                <w:b/>
                <w:bCs/>
                <w:color w:val="1C3F5F"/>
                <w:sz w:val="16"/>
                <w:szCs w:val="16"/>
              </w:rPr>
              <w:t>≈ 74 TWh</w:t>
            </w:r>
          </w:p>
          <w:p w14:paraId="03FBD658" w14:textId="77777777" w:rsidR="00C45F2F" w:rsidRDefault="00000000">
            <w:pPr>
              <w:pBdr>
                <w:bottom w:val="single" w:sz="4" w:space="0" w:color="D9DEE3"/>
              </w:pBdr>
              <w:spacing w:line="252" w:lineRule="auto"/>
            </w:pPr>
            <w:r>
              <w:rPr>
                <w:color w:val="5E6C77"/>
                <w:sz w:val="16"/>
                <w:szCs w:val="16"/>
              </w:rPr>
              <w:t>T&amp;D losses</w:t>
            </w:r>
            <w:r>
              <w:t xml:space="preserve">   </w:t>
            </w:r>
            <w:r>
              <w:rPr>
                <w:b/>
                <w:bCs/>
                <w:color w:val="1C3F5F"/>
                <w:sz w:val="16"/>
                <w:szCs w:val="16"/>
              </w:rPr>
              <w:t>≈ 16–18 %</w:t>
            </w:r>
          </w:p>
          <w:p w14:paraId="6F5AAA6F" w14:textId="77777777" w:rsidR="00C45F2F" w:rsidRDefault="00000000">
            <w:pPr>
              <w:pBdr>
                <w:bottom w:val="single" w:sz="4" w:space="0" w:color="D9DEE3"/>
              </w:pBdr>
              <w:spacing w:line="252" w:lineRule="auto"/>
            </w:pPr>
            <w:r>
              <w:rPr>
                <w:color w:val="5E6C77"/>
                <w:sz w:val="16"/>
                <w:szCs w:val="16"/>
              </w:rPr>
              <w:t>Self-sufficiency</w:t>
            </w:r>
            <w:r>
              <w:t xml:space="preserve">   </w:t>
            </w:r>
            <w:r>
              <w:rPr>
                <w:b/>
                <w:bCs/>
                <w:color w:val="1C3F5F"/>
                <w:sz w:val="16"/>
                <w:szCs w:val="16"/>
              </w:rPr>
              <w:t>≈ 88 % (2024)</w:t>
            </w:r>
          </w:p>
          <w:p w14:paraId="04495492" w14:textId="77777777" w:rsidR="00C45F2F" w:rsidRDefault="00000000">
            <w:pPr>
              <w:spacing w:line="252" w:lineRule="auto"/>
            </w:pPr>
            <w:r>
              <w:rPr>
                <w:color w:val="5E6C77"/>
                <w:sz w:val="16"/>
                <w:szCs w:val="16"/>
              </w:rPr>
              <w:t>Data window</w:t>
            </w:r>
            <w:r>
              <w:t xml:space="preserve">   </w:t>
            </w:r>
            <w:r>
              <w:rPr>
                <w:b/>
                <w:bCs/>
                <w:color w:val="1C3F5F"/>
                <w:sz w:val="16"/>
                <w:szCs w:val="16"/>
              </w:rPr>
              <w:t>1990 – 2024</w:t>
            </w:r>
          </w:p>
        </w:tc>
        <w:tc>
          <w:tcPr>
            <w:tcW w:w="6428" w:type="dxa"/>
            <w:tcBorders>
              <w:top w:val="none" w:sz="0" w:space="0" w:color="FFFFFF"/>
              <w:left w:val="none" w:sz="0" w:space="0" w:color="FFFFFF"/>
              <w:bottom w:val="none" w:sz="0" w:space="0" w:color="FFFFFF"/>
              <w:right w:val="none" w:sz="0" w:space="0" w:color="FFFFFF"/>
            </w:tcBorders>
            <w:tcMar>
              <w:top w:w="130" w:type="dxa"/>
              <w:left w:w="170" w:type="dxa"/>
              <w:bottom w:w="0" w:type="dxa"/>
              <w:right w:w="40" w:type="dxa"/>
            </w:tcMar>
          </w:tcPr>
          <w:p w14:paraId="0C3E1C44" w14:textId="77777777" w:rsidR="00C45F2F" w:rsidRDefault="00000000">
            <w:pPr>
              <w:spacing w:after="40"/>
            </w:pPr>
            <w:r>
              <w:rPr>
                <w:b/>
                <w:bCs/>
                <w:caps/>
                <w:color w:val="BD6B3E"/>
                <w:spacing w:val="22"/>
                <w:sz w:val="17"/>
                <w:szCs w:val="17"/>
              </w:rPr>
              <w:t>The outlook</w:t>
            </w:r>
          </w:p>
          <w:p w14:paraId="45CF0B29" w14:textId="77777777" w:rsidR="00C45F2F" w:rsidRDefault="00000000">
            <w:pPr>
              <w:spacing w:after="90" w:line="258" w:lineRule="auto"/>
            </w:pPr>
            <w:r>
              <w:rPr>
                <w:b/>
                <w:bCs/>
                <w:color w:val="0E2436"/>
              </w:rPr>
              <w:t xml:space="preserve">Electricity demand is set to grow relentlessly. </w:t>
            </w:r>
            <w:r>
              <w:t>The central forecast lifts consumption from 74 TWh in 2024 to about 124 TWh by 2040 — a 68 % increase — driven by GDP, population and industrial expansion. Even the lower edge of the 90–95 % forecast band keeps climbing, so demand growth is a planning certainty rather than a scenario.</w:t>
            </w:r>
          </w:p>
          <w:p w14:paraId="32EBEF0C" w14:textId="77777777" w:rsidR="00C45F2F" w:rsidRDefault="00000000">
            <w:pPr>
              <w:spacing w:after="90" w:line="258" w:lineRule="auto"/>
            </w:pPr>
            <w:r>
              <w:t>What is uncertain is how that demand is met. Today roughly 78 % of generation is gas-fired, and energy self-sufficiency has slipped from about 125 % in 2010 to 88 % in 2024. Every additional terawatt-hour served from thermal plant therefore tightens the call on domestic gas and imports.</w:t>
            </w:r>
          </w:p>
          <w:p w14:paraId="203E8052" w14:textId="77777777" w:rsidR="00C45F2F" w:rsidRDefault="00000000">
            <w:pPr>
              <w:spacing w:line="258" w:lineRule="auto"/>
            </w:pPr>
            <w:r>
              <w:t xml:space="preserve">Three futures bound the supply response. They share one demand path and differ only in the ambition of renewable build-out. The investment thesis that emerges is consistent across all three: the near-term prize lies in the grid, in renewable integration and in firm reserve — </w:t>
            </w:r>
            <w:r>
              <w:rPr>
                <w:b/>
                <w:bCs/>
                <w:color w:val="9C5430"/>
              </w:rPr>
              <w:t>not in new baseload generation.</w:t>
            </w:r>
          </w:p>
        </w:tc>
      </w:tr>
    </w:tbl>
    <w:p w14:paraId="1E8AA888" w14:textId="77777777" w:rsidR="00C45F2F" w:rsidRDefault="00C45F2F">
      <w:pPr>
        <w:spacing w:after="170" w:line="240" w:lineRule="auto"/>
      </w:pPr>
    </w:p>
    <w:p w14:paraId="487034DC" w14:textId="77777777" w:rsidR="00C45F2F" w:rsidRDefault="00000000">
      <w:pPr>
        <w:spacing w:line="240" w:lineRule="auto"/>
        <w:jc w:val="center"/>
      </w:pPr>
      <w:r>
        <w:rPr>
          <w:noProof/>
        </w:rPr>
        <w:drawing>
          <wp:inline distT="0" distB="0" distL="0" distR="0" wp14:anchorId="57538CCC" wp14:editId="3B4D5A9B">
            <wp:extent cx="6400800" cy="2733675"/>
            <wp:effectExtent l="0" t="0" r="0" b="0"/>
            <wp:docPr id="1292265074" name="Picture 129226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2733675"/>
                    </a:xfrm>
                    <a:prstGeom prst="rect">
                      <a:avLst/>
                    </a:prstGeom>
                  </pic:spPr>
                </pic:pic>
              </a:graphicData>
            </a:graphic>
          </wp:inline>
        </w:drawing>
      </w:r>
    </w:p>
    <w:p w14:paraId="13A8B264" w14:textId="77777777" w:rsidR="00C45F2F" w:rsidRDefault="00000000">
      <w:pPr>
        <w:spacing w:before="36" w:after="60" w:line="220" w:lineRule="auto"/>
      </w:pPr>
      <w:r>
        <w:rPr>
          <w:b/>
          <w:bCs/>
          <w:color w:val="BD6B3E"/>
          <w:sz w:val="15"/>
          <w:szCs w:val="15"/>
        </w:rPr>
        <w:t xml:space="preserve">Figure 1  </w:t>
      </w:r>
      <w:r>
        <w:rPr>
          <w:i/>
          <w:iCs/>
          <w:color w:val="5E6C77"/>
          <w:sz w:val="15"/>
          <w:szCs w:val="15"/>
        </w:rPr>
        <w:t>Electricity demand to 2040 — central path with the 90 % uncertainty band; the 95 % band reaches roughly 103–145 TWh by 2040. Source: notebook 07, advanced forecasting.</w:t>
      </w:r>
    </w:p>
    <w:p w14:paraId="49D07155" w14:textId="77777777" w:rsidR="00C45F2F" w:rsidRDefault="00C45F2F">
      <w:pPr>
        <w:spacing w:after="120" w:line="240" w:lineRule="auto"/>
      </w:pPr>
    </w:p>
    <w:p w14:paraId="5C989CE6" w14:textId="77777777" w:rsidR="00C45F2F" w:rsidRDefault="00000000">
      <w:pPr>
        <w:spacing w:after="90"/>
      </w:pPr>
      <w:r>
        <w:rPr>
          <w:b/>
          <w:bCs/>
          <w:caps/>
          <w:color w:val="BD6B3E"/>
          <w:spacing w:val="22"/>
          <w:sz w:val="17"/>
          <w:szCs w:val="17"/>
        </w:rPr>
        <w:t>Five structural findings</w:t>
      </w: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73"/>
        <w:gridCol w:w="2073"/>
        <w:gridCol w:w="2074"/>
        <w:gridCol w:w="2074"/>
        <w:gridCol w:w="2074"/>
      </w:tblGrid>
      <w:tr w:rsidR="00C45F2F" w14:paraId="61AEE34C" w14:textId="77777777">
        <w:tc>
          <w:tcPr>
            <w:tcW w:w="2073" w:type="dxa"/>
            <w:tcBorders>
              <w:top w:val="none" w:sz="0" w:space="0" w:color="FFFFFF"/>
              <w:left w:val="none" w:sz="0" w:space="0" w:color="FFFFFF"/>
              <w:bottom w:val="none" w:sz="0" w:space="0" w:color="FFFFFF"/>
              <w:right w:val="none" w:sz="0" w:space="0" w:color="FFFFFF"/>
            </w:tcBorders>
            <w:shd w:val="clear" w:color="auto" w:fill="ECF1F5"/>
            <w:tcMar>
              <w:top w:w="110" w:type="dxa"/>
              <w:left w:w="110" w:type="dxa"/>
              <w:bottom w:w="120" w:type="dxa"/>
              <w:right w:w="96" w:type="dxa"/>
            </w:tcMar>
          </w:tcPr>
          <w:p w14:paraId="65C80748" w14:textId="77777777" w:rsidR="00C45F2F" w:rsidRDefault="00000000">
            <w:pPr>
              <w:spacing w:after="12" w:line="200" w:lineRule="auto"/>
            </w:pPr>
            <w:r>
              <w:rPr>
                <w:b/>
                <w:bCs/>
                <w:color w:val="BD6B3E"/>
                <w:sz w:val="34"/>
                <w:szCs w:val="34"/>
              </w:rPr>
              <w:t>1</w:t>
            </w:r>
          </w:p>
          <w:p w14:paraId="45CC4C4B" w14:textId="77777777" w:rsidR="00C45F2F" w:rsidRDefault="00000000">
            <w:pPr>
              <w:spacing w:after="16" w:line="220" w:lineRule="auto"/>
            </w:pPr>
            <w:r>
              <w:rPr>
                <w:b/>
                <w:bCs/>
                <w:color w:val="0E2436"/>
                <w:sz w:val="17"/>
                <w:szCs w:val="17"/>
              </w:rPr>
              <w:t>Demand nearly doubles</w:t>
            </w:r>
          </w:p>
          <w:p w14:paraId="4997ABBE" w14:textId="77777777" w:rsidR="00C45F2F" w:rsidRDefault="00000000">
            <w:pPr>
              <w:spacing w:line="232" w:lineRule="auto"/>
            </w:pPr>
            <w:r>
              <w:rPr>
                <w:sz w:val="15"/>
                <w:szCs w:val="15"/>
              </w:rPr>
              <w:t>The central case adds 68 % to reach ~124 TWh by 2040; even the low band rises.</w:t>
            </w:r>
          </w:p>
        </w:tc>
        <w:tc>
          <w:tcPr>
            <w:tcW w:w="2073" w:type="dxa"/>
            <w:tcBorders>
              <w:top w:val="none" w:sz="0" w:space="0" w:color="FFFFFF"/>
              <w:left w:val="none" w:sz="0" w:space="0" w:color="FFFFFF"/>
              <w:bottom w:val="none" w:sz="0" w:space="0" w:color="FFFFFF"/>
              <w:right w:val="none" w:sz="0" w:space="0" w:color="FFFFFF"/>
            </w:tcBorders>
            <w:shd w:val="clear" w:color="auto" w:fill="ECF1F5"/>
            <w:tcMar>
              <w:top w:w="110" w:type="dxa"/>
              <w:left w:w="110" w:type="dxa"/>
              <w:bottom w:w="120" w:type="dxa"/>
              <w:right w:w="96" w:type="dxa"/>
            </w:tcMar>
          </w:tcPr>
          <w:p w14:paraId="5AA47156" w14:textId="77777777" w:rsidR="00C45F2F" w:rsidRDefault="00000000">
            <w:pPr>
              <w:spacing w:after="12" w:line="200" w:lineRule="auto"/>
            </w:pPr>
            <w:r>
              <w:rPr>
                <w:b/>
                <w:bCs/>
                <w:color w:val="BD6B3E"/>
                <w:sz w:val="34"/>
                <w:szCs w:val="34"/>
              </w:rPr>
              <w:t>2</w:t>
            </w:r>
          </w:p>
          <w:p w14:paraId="719CDDDC" w14:textId="77777777" w:rsidR="00C45F2F" w:rsidRDefault="00000000">
            <w:pPr>
              <w:spacing w:after="16" w:line="220" w:lineRule="auto"/>
            </w:pPr>
            <w:r>
              <w:rPr>
                <w:b/>
                <w:bCs/>
                <w:color w:val="0E2436"/>
                <w:sz w:val="17"/>
                <w:szCs w:val="17"/>
              </w:rPr>
              <w:t>The grid is gas-locked</w:t>
            </w:r>
          </w:p>
          <w:p w14:paraId="29F83729" w14:textId="77777777" w:rsidR="00C45F2F" w:rsidRDefault="00000000">
            <w:pPr>
              <w:spacing w:line="232" w:lineRule="auto"/>
            </w:pPr>
            <w:r>
              <w:rPr>
                <w:sz w:val="15"/>
                <w:szCs w:val="15"/>
              </w:rPr>
              <w:t>≈78 % thermal today; self-sufficiency has fallen to ~88 %, so more thermal means more imports.</w:t>
            </w:r>
          </w:p>
        </w:tc>
        <w:tc>
          <w:tcPr>
            <w:tcW w:w="2073" w:type="dxa"/>
            <w:tcBorders>
              <w:top w:val="none" w:sz="0" w:space="0" w:color="FFFFFF"/>
              <w:left w:val="none" w:sz="0" w:space="0" w:color="FFFFFF"/>
              <w:bottom w:val="none" w:sz="0" w:space="0" w:color="FFFFFF"/>
              <w:right w:val="none" w:sz="0" w:space="0" w:color="FFFFFF"/>
            </w:tcBorders>
            <w:shd w:val="clear" w:color="auto" w:fill="ECF1F5"/>
            <w:tcMar>
              <w:top w:w="110" w:type="dxa"/>
              <w:left w:w="110" w:type="dxa"/>
              <w:bottom w:w="120" w:type="dxa"/>
              <w:right w:w="96" w:type="dxa"/>
            </w:tcMar>
          </w:tcPr>
          <w:p w14:paraId="3268EB80" w14:textId="77777777" w:rsidR="00C45F2F" w:rsidRDefault="00000000">
            <w:pPr>
              <w:spacing w:after="12" w:line="200" w:lineRule="auto"/>
            </w:pPr>
            <w:r>
              <w:rPr>
                <w:b/>
                <w:bCs/>
                <w:color w:val="BD6B3E"/>
                <w:sz w:val="34"/>
                <w:szCs w:val="34"/>
              </w:rPr>
              <w:t>3</w:t>
            </w:r>
          </w:p>
          <w:p w14:paraId="7E1F4B8A" w14:textId="77777777" w:rsidR="00C45F2F" w:rsidRDefault="00000000">
            <w:pPr>
              <w:spacing w:after="16" w:line="220" w:lineRule="auto"/>
            </w:pPr>
            <w:r>
              <w:rPr>
                <w:b/>
                <w:bCs/>
                <w:color w:val="0E2436"/>
                <w:sz w:val="17"/>
                <w:szCs w:val="17"/>
              </w:rPr>
              <w:t>Losses are a hidden plant</w:t>
            </w:r>
          </w:p>
          <w:p w14:paraId="11A1D643" w14:textId="77777777" w:rsidR="00C45F2F" w:rsidRDefault="00000000">
            <w:pPr>
              <w:spacing w:line="232" w:lineRule="auto"/>
            </w:pPr>
            <w:r>
              <w:rPr>
                <w:sz w:val="15"/>
                <w:szCs w:val="15"/>
              </w:rPr>
              <w:t>T&amp;D losses near 16–18 %; closing to ~9 % frees ~7 points of supply — no new generation needed.</w:t>
            </w:r>
          </w:p>
        </w:tc>
        <w:tc>
          <w:tcPr>
            <w:tcW w:w="2073" w:type="dxa"/>
            <w:tcBorders>
              <w:top w:val="none" w:sz="0" w:space="0" w:color="FFFFFF"/>
              <w:left w:val="none" w:sz="0" w:space="0" w:color="FFFFFF"/>
              <w:bottom w:val="none" w:sz="0" w:space="0" w:color="FFFFFF"/>
              <w:right w:val="none" w:sz="0" w:space="0" w:color="FFFFFF"/>
            </w:tcBorders>
            <w:shd w:val="clear" w:color="auto" w:fill="ECF1F5"/>
            <w:tcMar>
              <w:top w:w="110" w:type="dxa"/>
              <w:left w:w="110" w:type="dxa"/>
              <w:bottom w:w="120" w:type="dxa"/>
              <w:right w:w="96" w:type="dxa"/>
            </w:tcMar>
          </w:tcPr>
          <w:p w14:paraId="08A575D3" w14:textId="77777777" w:rsidR="00C45F2F" w:rsidRDefault="00000000">
            <w:pPr>
              <w:spacing w:after="12" w:line="200" w:lineRule="auto"/>
            </w:pPr>
            <w:r>
              <w:rPr>
                <w:b/>
                <w:bCs/>
                <w:color w:val="BD6B3E"/>
                <w:sz w:val="34"/>
                <w:szCs w:val="34"/>
              </w:rPr>
              <w:t>4</w:t>
            </w:r>
          </w:p>
          <w:p w14:paraId="4EA5DCF1" w14:textId="77777777" w:rsidR="00C45F2F" w:rsidRDefault="00000000">
            <w:pPr>
              <w:spacing w:after="16" w:line="220" w:lineRule="auto"/>
            </w:pPr>
            <w:r>
              <w:rPr>
                <w:b/>
                <w:bCs/>
                <w:color w:val="0E2436"/>
                <w:sz w:val="17"/>
                <w:szCs w:val="17"/>
              </w:rPr>
              <w:t>Uncertainty is widening</w:t>
            </w:r>
          </w:p>
          <w:p w14:paraId="4C19F9B8" w14:textId="77777777" w:rsidR="00C45F2F" w:rsidRDefault="00000000">
            <w:pPr>
              <w:spacing w:line="232" w:lineRule="auto"/>
            </w:pPr>
            <w:r>
              <w:rPr>
                <w:sz w:val="15"/>
                <w:szCs w:val="15"/>
              </w:rPr>
              <w:t>The fan opens to roughly ±20 TWh by 2040; the central path implies a reserve gap, not a deficit.</w:t>
            </w:r>
          </w:p>
        </w:tc>
        <w:tc>
          <w:tcPr>
            <w:tcW w:w="2073" w:type="dxa"/>
            <w:tcBorders>
              <w:top w:val="none" w:sz="0" w:space="0" w:color="FFFFFF"/>
              <w:left w:val="none" w:sz="0" w:space="0" w:color="FFFFFF"/>
              <w:bottom w:val="none" w:sz="0" w:space="0" w:color="FFFFFF"/>
              <w:right w:val="none" w:sz="0" w:space="0" w:color="FFFFFF"/>
            </w:tcBorders>
            <w:shd w:val="clear" w:color="auto" w:fill="ECF1F5"/>
            <w:tcMar>
              <w:top w:w="110" w:type="dxa"/>
              <w:left w:w="110" w:type="dxa"/>
              <w:bottom w:w="120" w:type="dxa"/>
              <w:right w:w="96" w:type="dxa"/>
            </w:tcMar>
          </w:tcPr>
          <w:p w14:paraId="1B8DDE77" w14:textId="77777777" w:rsidR="00C45F2F" w:rsidRDefault="00000000">
            <w:pPr>
              <w:spacing w:after="12" w:line="200" w:lineRule="auto"/>
            </w:pPr>
            <w:r>
              <w:rPr>
                <w:b/>
                <w:bCs/>
                <w:color w:val="BD6B3E"/>
                <w:sz w:val="34"/>
                <w:szCs w:val="34"/>
              </w:rPr>
              <w:t>5</w:t>
            </w:r>
          </w:p>
          <w:p w14:paraId="2C9C2DCF" w14:textId="77777777" w:rsidR="00C45F2F" w:rsidRDefault="00000000">
            <w:pPr>
              <w:spacing w:after="16" w:line="220" w:lineRule="auto"/>
            </w:pPr>
            <w:r>
              <w:rPr>
                <w:b/>
                <w:bCs/>
                <w:color w:val="0E2436"/>
                <w:sz w:val="17"/>
                <w:szCs w:val="17"/>
              </w:rPr>
              <w:t>Decarbonisation is a choice</w:t>
            </w:r>
          </w:p>
          <w:p w14:paraId="7E9628F9" w14:textId="77777777" w:rsidR="00C45F2F" w:rsidRDefault="00000000">
            <w:pPr>
              <w:spacing w:line="232" w:lineRule="auto"/>
            </w:pPr>
            <w:r>
              <w:rPr>
                <w:sz w:val="15"/>
                <w:szCs w:val="15"/>
              </w:rPr>
              <w:t>2040 renewable share spans 36.5 % to 80 %; carbon intensity 436 vs 90 g/kWh for the same demand.</w:t>
            </w:r>
          </w:p>
        </w:tc>
      </w:tr>
    </w:tbl>
    <w:p w14:paraId="0D52CAC8" w14:textId="77777777" w:rsidR="00C45F2F" w:rsidRDefault="00000000">
      <w:pPr>
        <w:pageBreakBefore/>
        <w:spacing w:after="50"/>
      </w:pPr>
      <w:r>
        <w:rPr>
          <w:b/>
          <w:bCs/>
          <w:caps/>
          <w:color w:val="BD6B3E"/>
          <w:spacing w:val="34"/>
          <w:sz w:val="17"/>
          <w:szCs w:val="17"/>
        </w:rPr>
        <w:lastRenderedPageBreak/>
        <w:t>02 — Three futures</w:t>
      </w:r>
    </w:p>
    <w:p w14:paraId="3C3A0AE9" w14:textId="77777777" w:rsidR="00C45F2F" w:rsidRDefault="00000000">
      <w:pPr>
        <w:spacing w:after="70" w:line="230" w:lineRule="auto"/>
      </w:pPr>
      <w:r>
        <w:rPr>
          <w:b/>
          <w:bCs/>
          <w:color w:val="0E2436"/>
          <w:sz w:val="42"/>
          <w:szCs w:val="42"/>
        </w:rPr>
        <w:t>One demand path, three ambitions</w:t>
      </w:r>
    </w:p>
    <w:p w14:paraId="19C16596" w14:textId="77777777" w:rsidR="00C45F2F" w:rsidRDefault="00C45F2F">
      <w:pPr>
        <w:pBdr>
          <w:bottom w:val="single" w:sz="10" w:space="0" w:color="BD6B3E"/>
        </w:pBdr>
        <w:spacing w:after="110" w:line="20" w:lineRule="auto"/>
      </w:pPr>
    </w:p>
    <w:p w14:paraId="2B62F646" w14:textId="77777777" w:rsidR="00C45F2F" w:rsidRDefault="00000000">
      <w:pPr>
        <w:spacing w:after="40"/>
      </w:pPr>
      <w:r>
        <w:rPr>
          <w:b/>
          <w:bCs/>
          <w:caps/>
          <w:color w:val="BD6B3E"/>
          <w:spacing w:val="22"/>
          <w:sz w:val="17"/>
          <w:szCs w:val="17"/>
        </w:rPr>
        <w:t>How the scenarios are built</w:t>
      </w:r>
    </w:p>
    <w:p w14:paraId="0E8E998C" w14:textId="77777777" w:rsidR="00C45F2F" w:rsidRDefault="00000000">
      <w:pPr>
        <w:spacing w:after="150" w:line="258" w:lineRule="auto"/>
      </w:pPr>
      <w:r>
        <w:t xml:space="preserve">All three scenarios run on the </w:t>
      </w:r>
      <w:r>
        <w:rPr>
          <w:b/>
          <w:bCs/>
          <w:color w:val="0E2436"/>
        </w:rPr>
        <w:t>same forecast demand</w:t>
      </w:r>
      <w:r>
        <w:t xml:space="preserve">. Total generation is grossed up from demand by ~9 % to cover network losses; each technology's output is its installed capacity × capacity factor × 8,760 h; and </w:t>
      </w:r>
      <w:r>
        <w:rPr>
          <w:b/>
          <w:bCs/>
          <w:color w:val="0E2436"/>
        </w:rPr>
        <w:t>thermal generation is the residual</w:t>
      </w:r>
      <w:r>
        <w:t xml:space="preserve"> that balances the system. The scenarios then differ only in how fast solar, wind and hydro capacity is added — making this a clean test of build-out ambition rather than of demand. </w:t>
      </w:r>
      <w:r>
        <w:rPr>
          <w:i/>
          <w:iCs/>
          <w:color w:val="5E6C77"/>
          <w:sz w:val="16"/>
          <w:szCs w:val="16"/>
        </w:rPr>
        <w:t>(Source: notebook 07, scenario engine.)</w:t>
      </w: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56"/>
        <w:gridCol w:w="3456"/>
        <w:gridCol w:w="3456"/>
      </w:tblGrid>
      <w:tr w:rsidR="00C45F2F" w14:paraId="36B3D369" w14:textId="77777777">
        <w:tc>
          <w:tcPr>
            <w:tcW w:w="3456" w:type="dxa"/>
            <w:tcBorders>
              <w:top w:val="none" w:sz="0" w:space="0" w:color="FFFFFF"/>
              <w:left w:val="none" w:sz="0" w:space="0" w:color="FFFFFF"/>
              <w:bottom w:val="none" w:sz="0" w:space="0" w:color="FFFFFF"/>
              <w:right w:val="none" w:sz="0" w:space="0" w:color="FFFFFF"/>
            </w:tcBorders>
            <w:shd w:val="clear" w:color="auto" w:fill="C0563C"/>
            <w:tcMar>
              <w:top w:w="90" w:type="dxa"/>
              <w:left w:w="120" w:type="dxa"/>
              <w:bottom w:w="90" w:type="dxa"/>
              <w:right w:w="100" w:type="dxa"/>
            </w:tcMar>
          </w:tcPr>
          <w:p w14:paraId="0FA55998" w14:textId="77777777" w:rsidR="00C45F2F" w:rsidRDefault="00000000">
            <w:pPr>
              <w:spacing w:after="2" w:line="220" w:lineRule="auto"/>
            </w:pPr>
            <w:r>
              <w:rPr>
                <w:b/>
                <w:bCs/>
                <w:color w:val="FFFFFF"/>
                <w:sz w:val="22"/>
                <w:szCs w:val="22"/>
              </w:rPr>
              <w:t>Business-as-usual</w:t>
            </w:r>
          </w:p>
          <w:p w14:paraId="556AC581" w14:textId="77777777" w:rsidR="00C45F2F" w:rsidRDefault="00000000">
            <w:pPr>
              <w:spacing w:line="200" w:lineRule="auto"/>
            </w:pPr>
            <w:r>
              <w:rPr>
                <w:caps/>
                <w:color w:val="FFFFFF"/>
                <w:spacing w:val="16"/>
                <w:sz w:val="15"/>
                <w:szCs w:val="15"/>
              </w:rPr>
              <w:t>Drift</w:t>
            </w:r>
          </w:p>
        </w:tc>
        <w:tc>
          <w:tcPr>
            <w:tcW w:w="3456" w:type="dxa"/>
            <w:tcBorders>
              <w:top w:val="none" w:sz="0" w:space="0" w:color="FFFFFF"/>
              <w:left w:val="none" w:sz="0" w:space="0" w:color="FFFFFF"/>
              <w:bottom w:val="none" w:sz="0" w:space="0" w:color="FFFFFF"/>
              <w:right w:val="none" w:sz="0" w:space="0" w:color="FFFFFF"/>
            </w:tcBorders>
            <w:shd w:val="clear" w:color="auto" w:fill="21527E"/>
            <w:tcMar>
              <w:top w:w="90" w:type="dxa"/>
              <w:left w:w="120" w:type="dxa"/>
              <w:bottom w:w="90" w:type="dxa"/>
              <w:right w:w="100" w:type="dxa"/>
            </w:tcMar>
          </w:tcPr>
          <w:p w14:paraId="7C27C2EC" w14:textId="77777777" w:rsidR="00C45F2F" w:rsidRDefault="00000000">
            <w:pPr>
              <w:spacing w:after="2" w:line="220" w:lineRule="auto"/>
            </w:pPr>
            <w:r>
              <w:rPr>
                <w:b/>
                <w:bCs/>
                <w:color w:val="FFFFFF"/>
                <w:sz w:val="22"/>
                <w:szCs w:val="22"/>
              </w:rPr>
              <w:t>Government</w:t>
            </w:r>
          </w:p>
          <w:p w14:paraId="1C6DC881" w14:textId="77777777" w:rsidR="00C45F2F" w:rsidRDefault="00000000">
            <w:pPr>
              <w:spacing w:line="200" w:lineRule="auto"/>
            </w:pPr>
            <w:r>
              <w:rPr>
                <w:caps/>
                <w:color w:val="FFFFFF"/>
                <w:spacing w:val="16"/>
                <w:sz w:val="15"/>
                <w:szCs w:val="15"/>
              </w:rPr>
              <w:t>National target</w:t>
            </w:r>
          </w:p>
        </w:tc>
        <w:tc>
          <w:tcPr>
            <w:tcW w:w="3456" w:type="dxa"/>
            <w:tcBorders>
              <w:top w:val="none" w:sz="0" w:space="0" w:color="FFFFFF"/>
              <w:left w:val="none" w:sz="0" w:space="0" w:color="FFFFFF"/>
              <w:bottom w:val="none" w:sz="0" w:space="0" w:color="FFFFFF"/>
              <w:right w:val="none" w:sz="0" w:space="0" w:color="FFFFFF"/>
            </w:tcBorders>
            <w:shd w:val="clear" w:color="auto" w:fill="2E8B6B"/>
            <w:tcMar>
              <w:top w:w="90" w:type="dxa"/>
              <w:left w:w="120" w:type="dxa"/>
              <w:bottom w:w="90" w:type="dxa"/>
              <w:right w:w="100" w:type="dxa"/>
            </w:tcMar>
          </w:tcPr>
          <w:p w14:paraId="3AB1BE93" w14:textId="77777777" w:rsidR="00C45F2F" w:rsidRDefault="00000000">
            <w:pPr>
              <w:spacing w:after="2" w:line="220" w:lineRule="auto"/>
            </w:pPr>
            <w:r>
              <w:rPr>
                <w:b/>
                <w:bCs/>
                <w:color w:val="FFFFFF"/>
                <w:sz w:val="22"/>
                <w:szCs w:val="22"/>
              </w:rPr>
              <w:t>Accelerated</w:t>
            </w:r>
          </w:p>
          <w:p w14:paraId="4FE8F2B4" w14:textId="77777777" w:rsidR="00C45F2F" w:rsidRDefault="00000000">
            <w:pPr>
              <w:spacing w:line="200" w:lineRule="auto"/>
            </w:pPr>
            <w:r>
              <w:rPr>
                <w:caps/>
                <w:color w:val="FFFFFF"/>
                <w:spacing w:val="16"/>
                <w:sz w:val="15"/>
                <w:szCs w:val="15"/>
              </w:rPr>
              <w:t>Transition</w:t>
            </w:r>
          </w:p>
        </w:tc>
      </w:tr>
      <w:tr w:rsidR="00C45F2F" w14:paraId="1944D7D2" w14:textId="77777777">
        <w:tc>
          <w:tcPr>
            <w:tcW w:w="3456" w:type="dxa"/>
            <w:tcBorders>
              <w:top w:val="none" w:sz="0" w:space="0" w:color="FFFFFF"/>
              <w:left w:val="none" w:sz="0" w:space="0" w:color="FFFFFF"/>
              <w:bottom w:val="none" w:sz="0" w:space="0" w:color="FFFFFF"/>
              <w:right w:val="none" w:sz="0" w:space="0" w:color="FFFFFF"/>
            </w:tcBorders>
            <w:shd w:val="clear" w:color="auto" w:fill="F1EEE9"/>
            <w:tcMar>
              <w:top w:w="110" w:type="dxa"/>
              <w:left w:w="120" w:type="dxa"/>
              <w:bottom w:w="130" w:type="dxa"/>
              <w:right w:w="110" w:type="dxa"/>
            </w:tcMar>
          </w:tcPr>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84"/>
              <w:gridCol w:w="5184"/>
            </w:tblGrid>
            <w:tr w:rsidR="00C45F2F" w14:paraId="30C5A0BA" w14:textId="77777777">
              <w:tc>
                <w:tcPr>
                  <w:tcW w:w="172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C22BD4" w14:textId="77777777" w:rsidR="00C45F2F" w:rsidRDefault="00000000">
                  <w:pPr>
                    <w:spacing w:after="2"/>
                  </w:pPr>
                  <w:r>
                    <w:rPr>
                      <w:caps/>
                      <w:color w:val="5E6C77"/>
                      <w:spacing w:val="10"/>
                      <w:sz w:val="14"/>
                      <w:szCs w:val="14"/>
                    </w:rPr>
                    <w:t>RE share 2040</w:t>
                  </w:r>
                </w:p>
                <w:p w14:paraId="53181ED5" w14:textId="77777777" w:rsidR="00C45F2F" w:rsidRDefault="00000000">
                  <w:pPr>
                    <w:spacing w:line="210" w:lineRule="auto"/>
                  </w:pPr>
                  <w:r>
                    <w:rPr>
                      <w:b/>
                      <w:bCs/>
                      <w:color w:val="C0563C"/>
                      <w:sz w:val="30"/>
                      <w:szCs w:val="30"/>
                    </w:rPr>
                    <w:t>36.5 %</w:t>
                  </w:r>
                </w:p>
              </w:tc>
              <w:tc>
                <w:tcPr>
                  <w:tcW w:w="172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63C1C5" w14:textId="77777777" w:rsidR="00C45F2F" w:rsidRDefault="00000000">
                  <w:pPr>
                    <w:spacing w:after="2"/>
                  </w:pPr>
                  <w:r>
                    <w:rPr>
                      <w:caps/>
                      <w:color w:val="5E6C77"/>
                      <w:spacing w:val="10"/>
                      <w:sz w:val="14"/>
                      <w:szCs w:val="14"/>
                    </w:rPr>
                    <w:t>Carbon</w:t>
                  </w:r>
                </w:p>
                <w:p w14:paraId="110D8E17" w14:textId="77777777" w:rsidR="00C45F2F" w:rsidRDefault="00000000">
                  <w:pPr>
                    <w:spacing w:line="210" w:lineRule="auto"/>
                  </w:pPr>
                  <w:r>
                    <w:rPr>
                      <w:b/>
                      <w:bCs/>
                      <w:color w:val="C0563C"/>
                      <w:sz w:val="30"/>
                      <w:szCs w:val="30"/>
                    </w:rPr>
                    <w:t>436</w:t>
                  </w:r>
                </w:p>
                <w:p w14:paraId="5010D4EE" w14:textId="77777777" w:rsidR="00C45F2F" w:rsidRDefault="00000000">
                  <w:pPr>
                    <w:spacing w:line="180" w:lineRule="auto"/>
                  </w:pPr>
                  <w:r>
                    <w:rPr>
                      <w:color w:val="5E6C77"/>
                      <w:sz w:val="13"/>
                      <w:szCs w:val="13"/>
                    </w:rPr>
                    <w:t>g/kWh</w:t>
                  </w:r>
                </w:p>
              </w:tc>
            </w:tr>
          </w:tbl>
          <w:p w14:paraId="28B3D97C" w14:textId="77777777" w:rsidR="00C45F2F" w:rsidRDefault="00000000">
            <w:pPr>
              <w:spacing w:before="70" w:after="60" w:line="210" w:lineRule="auto"/>
            </w:pPr>
            <w:r>
              <w:rPr>
                <w:color w:val="5E6C77"/>
                <w:sz w:val="15"/>
                <w:szCs w:val="15"/>
              </w:rPr>
              <w:t xml:space="preserve">2030 renewables </w:t>
            </w:r>
            <w:r>
              <w:rPr>
                <w:b/>
                <w:bCs/>
                <w:color w:val="1C3F5F"/>
                <w:sz w:val="15"/>
                <w:szCs w:val="15"/>
              </w:rPr>
              <w:t>≈43 %</w:t>
            </w:r>
          </w:p>
          <w:p w14:paraId="16AB42B1" w14:textId="77777777" w:rsidR="00C45F2F" w:rsidRDefault="00000000">
            <w:pPr>
              <w:spacing w:line="240" w:lineRule="auto"/>
            </w:pPr>
            <w:r>
              <w:rPr>
                <w:sz w:val="16"/>
                <w:szCs w:val="16"/>
              </w:rPr>
              <w:t>Renewables peak near 43 % by 2030, then slip to 36.5 % by 2040 as thermal plant fills demand growth.</w:t>
            </w:r>
          </w:p>
        </w:tc>
        <w:tc>
          <w:tcPr>
            <w:tcW w:w="3456" w:type="dxa"/>
            <w:tcBorders>
              <w:top w:val="none" w:sz="0" w:space="0" w:color="FFFFFF"/>
              <w:left w:val="none" w:sz="0" w:space="0" w:color="FFFFFF"/>
              <w:bottom w:val="none" w:sz="0" w:space="0" w:color="FFFFFF"/>
              <w:right w:val="none" w:sz="0" w:space="0" w:color="FFFFFF"/>
            </w:tcBorders>
            <w:shd w:val="clear" w:color="auto" w:fill="F1EEE9"/>
            <w:tcMar>
              <w:top w:w="110" w:type="dxa"/>
              <w:left w:w="120" w:type="dxa"/>
              <w:bottom w:w="130" w:type="dxa"/>
              <w:right w:w="110" w:type="dxa"/>
            </w:tcMar>
          </w:tcPr>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84"/>
              <w:gridCol w:w="5184"/>
            </w:tblGrid>
            <w:tr w:rsidR="00C45F2F" w14:paraId="015AF6D1" w14:textId="77777777">
              <w:tc>
                <w:tcPr>
                  <w:tcW w:w="172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2A2F35" w14:textId="77777777" w:rsidR="00C45F2F" w:rsidRDefault="00000000">
                  <w:pPr>
                    <w:spacing w:after="2"/>
                  </w:pPr>
                  <w:r>
                    <w:rPr>
                      <w:caps/>
                      <w:color w:val="5E6C77"/>
                      <w:spacing w:val="10"/>
                      <w:sz w:val="14"/>
                      <w:szCs w:val="14"/>
                    </w:rPr>
                    <w:t>RE share 2040</w:t>
                  </w:r>
                </w:p>
                <w:p w14:paraId="4461D2DB" w14:textId="77777777" w:rsidR="00C45F2F" w:rsidRDefault="00000000">
                  <w:pPr>
                    <w:spacing w:line="210" w:lineRule="auto"/>
                  </w:pPr>
                  <w:r>
                    <w:rPr>
                      <w:b/>
                      <w:bCs/>
                      <w:color w:val="21527E"/>
                      <w:sz w:val="30"/>
                      <w:szCs w:val="30"/>
                    </w:rPr>
                    <w:t>60.0 %</w:t>
                  </w:r>
                </w:p>
              </w:tc>
              <w:tc>
                <w:tcPr>
                  <w:tcW w:w="172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E2E3C9" w14:textId="77777777" w:rsidR="00C45F2F" w:rsidRDefault="00000000">
                  <w:pPr>
                    <w:spacing w:after="2"/>
                  </w:pPr>
                  <w:r>
                    <w:rPr>
                      <w:caps/>
                      <w:color w:val="5E6C77"/>
                      <w:spacing w:val="10"/>
                      <w:sz w:val="14"/>
                      <w:szCs w:val="14"/>
                    </w:rPr>
                    <w:t>Carbon</w:t>
                  </w:r>
                </w:p>
                <w:p w14:paraId="56499A1E" w14:textId="77777777" w:rsidR="00C45F2F" w:rsidRDefault="00000000">
                  <w:pPr>
                    <w:spacing w:line="210" w:lineRule="auto"/>
                  </w:pPr>
                  <w:r>
                    <w:rPr>
                      <w:b/>
                      <w:bCs/>
                      <w:color w:val="21527E"/>
                      <w:sz w:val="30"/>
                      <w:szCs w:val="30"/>
                    </w:rPr>
                    <w:t>179</w:t>
                  </w:r>
                </w:p>
                <w:p w14:paraId="60AA53BA" w14:textId="77777777" w:rsidR="00C45F2F" w:rsidRDefault="00000000">
                  <w:pPr>
                    <w:spacing w:line="180" w:lineRule="auto"/>
                  </w:pPr>
                  <w:r>
                    <w:rPr>
                      <w:color w:val="5E6C77"/>
                      <w:sz w:val="13"/>
                      <w:szCs w:val="13"/>
                    </w:rPr>
                    <w:t>g/kWh</w:t>
                  </w:r>
                </w:p>
              </w:tc>
            </w:tr>
          </w:tbl>
          <w:p w14:paraId="19BB6727" w14:textId="77777777" w:rsidR="00C45F2F" w:rsidRDefault="00000000">
            <w:pPr>
              <w:spacing w:before="70" w:after="60" w:line="210" w:lineRule="auto"/>
            </w:pPr>
            <w:r>
              <w:rPr>
                <w:color w:val="5E6C77"/>
                <w:sz w:val="15"/>
                <w:szCs w:val="15"/>
              </w:rPr>
              <w:t xml:space="preserve">2030 renewables </w:t>
            </w:r>
            <w:r>
              <w:rPr>
                <w:b/>
                <w:bCs/>
                <w:color w:val="1C3F5F"/>
                <w:sz w:val="15"/>
                <w:szCs w:val="15"/>
              </w:rPr>
              <w:t>≈58 %</w:t>
            </w:r>
          </w:p>
          <w:p w14:paraId="4570F1A0" w14:textId="77777777" w:rsidR="00C45F2F" w:rsidRDefault="00000000">
            <w:pPr>
              <w:spacing w:line="240" w:lineRule="auto"/>
            </w:pPr>
            <w:r>
              <w:rPr>
                <w:sz w:val="16"/>
                <w:szCs w:val="16"/>
              </w:rPr>
              <w:t>Tracks national policy: ~58 % renewables by 2030, holding ~60 % to 2040. Carbon intensity more than halves.</w:t>
            </w:r>
          </w:p>
        </w:tc>
        <w:tc>
          <w:tcPr>
            <w:tcW w:w="3456" w:type="dxa"/>
            <w:tcBorders>
              <w:top w:val="none" w:sz="0" w:space="0" w:color="FFFFFF"/>
              <w:left w:val="none" w:sz="0" w:space="0" w:color="FFFFFF"/>
              <w:bottom w:val="none" w:sz="0" w:space="0" w:color="FFFFFF"/>
              <w:right w:val="none" w:sz="0" w:space="0" w:color="FFFFFF"/>
            </w:tcBorders>
            <w:shd w:val="clear" w:color="auto" w:fill="F1EEE9"/>
            <w:tcMar>
              <w:top w:w="110" w:type="dxa"/>
              <w:left w:w="120" w:type="dxa"/>
              <w:bottom w:w="130" w:type="dxa"/>
              <w:right w:w="110" w:type="dxa"/>
            </w:tcMar>
          </w:tcPr>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84"/>
              <w:gridCol w:w="5184"/>
            </w:tblGrid>
            <w:tr w:rsidR="00C45F2F" w14:paraId="122D6DD6" w14:textId="77777777">
              <w:tc>
                <w:tcPr>
                  <w:tcW w:w="172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F25DC8" w14:textId="77777777" w:rsidR="00C45F2F" w:rsidRDefault="00000000">
                  <w:pPr>
                    <w:spacing w:after="2"/>
                  </w:pPr>
                  <w:r>
                    <w:rPr>
                      <w:caps/>
                      <w:color w:val="5E6C77"/>
                      <w:spacing w:val="10"/>
                      <w:sz w:val="14"/>
                      <w:szCs w:val="14"/>
                    </w:rPr>
                    <w:t>RE share 2040</w:t>
                  </w:r>
                </w:p>
                <w:p w14:paraId="25048AF0" w14:textId="77777777" w:rsidR="00C45F2F" w:rsidRDefault="00000000">
                  <w:pPr>
                    <w:spacing w:line="210" w:lineRule="auto"/>
                  </w:pPr>
                  <w:r>
                    <w:rPr>
                      <w:b/>
                      <w:bCs/>
                      <w:color w:val="2E8B6B"/>
                      <w:sz w:val="30"/>
                      <w:szCs w:val="30"/>
                    </w:rPr>
                    <w:t>80.0 %</w:t>
                  </w:r>
                </w:p>
              </w:tc>
              <w:tc>
                <w:tcPr>
                  <w:tcW w:w="172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52E564" w14:textId="77777777" w:rsidR="00C45F2F" w:rsidRDefault="00000000">
                  <w:pPr>
                    <w:spacing w:after="2"/>
                  </w:pPr>
                  <w:r>
                    <w:rPr>
                      <w:caps/>
                      <w:color w:val="5E6C77"/>
                      <w:spacing w:val="10"/>
                      <w:sz w:val="14"/>
                      <w:szCs w:val="14"/>
                    </w:rPr>
                    <w:t>Carbon</w:t>
                  </w:r>
                </w:p>
                <w:p w14:paraId="1936FCC1" w14:textId="77777777" w:rsidR="00C45F2F" w:rsidRDefault="00000000">
                  <w:pPr>
                    <w:spacing w:line="210" w:lineRule="auto"/>
                  </w:pPr>
                  <w:r>
                    <w:rPr>
                      <w:b/>
                      <w:bCs/>
                      <w:color w:val="2E8B6B"/>
                      <w:sz w:val="30"/>
                      <w:szCs w:val="30"/>
                    </w:rPr>
                    <w:t>90</w:t>
                  </w:r>
                </w:p>
                <w:p w14:paraId="6D8B4044" w14:textId="77777777" w:rsidR="00C45F2F" w:rsidRDefault="00000000">
                  <w:pPr>
                    <w:spacing w:line="180" w:lineRule="auto"/>
                  </w:pPr>
                  <w:r>
                    <w:rPr>
                      <w:color w:val="5E6C77"/>
                      <w:sz w:val="13"/>
                      <w:szCs w:val="13"/>
                    </w:rPr>
                    <w:t>g/kWh</w:t>
                  </w:r>
                </w:p>
              </w:tc>
            </w:tr>
          </w:tbl>
          <w:p w14:paraId="73DB6B41" w14:textId="77777777" w:rsidR="00C45F2F" w:rsidRDefault="00000000">
            <w:pPr>
              <w:spacing w:before="70" w:after="60" w:line="210" w:lineRule="auto"/>
            </w:pPr>
            <w:r>
              <w:rPr>
                <w:color w:val="5E6C77"/>
                <w:sz w:val="15"/>
                <w:szCs w:val="15"/>
              </w:rPr>
              <w:t xml:space="preserve">2030 renewables </w:t>
            </w:r>
            <w:r>
              <w:rPr>
                <w:b/>
                <w:bCs/>
                <w:color w:val="1C3F5F"/>
                <w:sz w:val="15"/>
                <w:szCs w:val="15"/>
              </w:rPr>
              <w:t>≈71 %</w:t>
            </w:r>
          </w:p>
          <w:p w14:paraId="43AE8583" w14:textId="77777777" w:rsidR="00C45F2F" w:rsidRDefault="00000000">
            <w:pPr>
              <w:spacing w:line="240" w:lineRule="auto"/>
            </w:pPr>
            <w:r>
              <w:rPr>
                <w:sz w:val="16"/>
                <w:szCs w:val="16"/>
              </w:rPr>
              <w:t>Front-loads solar and wind to 80 % by 2040 — a near-decarbonised grid at 90 g/kWh.</w:t>
            </w:r>
          </w:p>
        </w:tc>
      </w:tr>
    </w:tbl>
    <w:p w14:paraId="011855FB" w14:textId="77777777" w:rsidR="00C45F2F" w:rsidRDefault="00C45F2F">
      <w:pPr>
        <w:spacing w:after="160" w:line="240" w:lineRule="auto"/>
      </w:pP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84"/>
        <w:gridCol w:w="5184"/>
      </w:tblGrid>
      <w:tr w:rsidR="00C45F2F" w14:paraId="1A54F4B9" w14:textId="77777777">
        <w:tc>
          <w:tcPr>
            <w:tcW w:w="5184" w:type="dxa"/>
            <w:tcBorders>
              <w:top w:val="none" w:sz="0" w:space="0" w:color="FFFFFF"/>
              <w:left w:val="none" w:sz="0" w:space="0" w:color="FFFFFF"/>
              <w:bottom w:val="none" w:sz="0" w:space="0" w:color="FFFFFF"/>
              <w:right w:val="none" w:sz="0" w:space="0" w:color="FFFFFF"/>
            </w:tcBorders>
            <w:tcMar>
              <w:top w:w="0" w:type="dxa"/>
              <w:left w:w="30" w:type="dxa"/>
              <w:bottom w:w="0" w:type="dxa"/>
              <w:right w:w="80" w:type="dxa"/>
            </w:tcMar>
          </w:tcPr>
          <w:p w14:paraId="1DA724A0" w14:textId="77777777" w:rsidR="00C45F2F" w:rsidRDefault="00000000">
            <w:pPr>
              <w:spacing w:line="240" w:lineRule="auto"/>
              <w:jc w:val="center"/>
            </w:pPr>
            <w:r>
              <w:rPr>
                <w:noProof/>
              </w:rPr>
              <w:drawing>
                <wp:inline distT="0" distB="0" distL="0" distR="0" wp14:anchorId="2199C6C0" wp14:editId="236A7072">
                  <wp:extent cx="3028950" cy="2095500"/>
                  <wp:effectExtent l="0" t="0" r="0" b="0"/>
                  <wp:docPr id="1327337665" name="Picture 132733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28950" cy="2095500"/>
                          </a:xfrm>
                          <a:prstGeom prst="rect">
                            <a:avLst/>
                          </a:prstGeom>
                        </pic:spPr>
                      </pic:pic>
                    </a:graphicData>
                  </a:graphic>
                </wp:inline>
              </w:drawing>
            </w:r>
          </w:p>
          <w:p w14:paraId="3034C892" w14:textId="77777777" w:rsidR="00C45F2F" w:rsidRDefault="00000000">
            <w:pPr>
              <w:spacing w:before="36" w:after="60" w:line="220" w:lineRule="auto"/>
            </w:pPr>
            <w:r>
              <w:rPr>
                <w:b/>
                <w:bCs/>
                <w:color w:val="BD6B3E"/>
                <w:sz w:val="15"/>
                <w:szCs w:val="15"/>
              </w:rPr>
              <w:t xml:space="preserve">Figure 2  </w:t>
            </w:r>
            <w:r>
              <w:rPr>
                <w:i/>
                <w:iCs/>
                <w:color w:val="5E6C77"/>
                <w:sz w:val="15"/>
                <w:szCs w:val="15"/>
              </w:rPr>
              <w:t>Renewable share by scenario. BAU peaks then reverses; Government holds 60 %; Accelerated reaches 80 %.</w:t>
            </w:r>
          </w:p>
        </w:tc>
        <w:tc>
          <w:tcPr>
            <w:tcW w:w="5184" w:type="dxa"/>
            <w:tcBorders>
              <w:top w:val="none" w:sz="0" w:space="0" w:color="FFFFFF"/>
              <w:left w:val="none" w:sz="0" w:space="0" w:color="FFFFFF"/>
              <w:bottom w:val="none" w:sz="0" w:space="0" w:color="FFFFFF"/>
              <w:right w:val="none" w:sz="0" w:space="0" w:color="FFFFFF"/>
            </w:tcBorders>
            <w:tcMar>
              <w:top w:w="0" w:type="dxa"/>
              <w:left w:w="80" w:type="dxa"/>
              <w:bottom w:w="0" w:type="dxa"/>
              <w:right w:w="30" w:type="dxa"/>
            </w:tcMar>
          </w:tcPr>
          <w:p w14:paraId="73FF6217" w14:textId="77777777" w:rsidR="00C45F2F" w:rsidRDefault="00000000">
            <w:pPr>
              <w:spacing w:line="240" w:lineRule="auto"/>
              <w:jc w:val="center"/>
            </w:pPr>
            <w:r>
              <w:rPr>
                <w:noProof/>
              </w:rPr>
              <w:drawing>
                <wp:inline distT="0" distB="0" distL="0" distR="0" wp14:anchorId="45687DD6" wp14:editId="54B04BF7">
                  <wp:extent cx="3028950" cy="2190750"/>
                  <wp:effectExtent l="0" t="0" r="0" b="0"/>
                  <wp:docPr id="715897202" name="Picture 71589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8950" cy="2190750"/>
                          </a:xfrm>
                          <a:prstGeom prst="rect">
                            <a:avLst/>
                          </a:prstGeom>
                        </pic:spPr>
                      </pic:pic>
                    </a:graphicData>
                  </a:graphic>
                </wp:inline>
              </w:drawing>
            </w:r>
          </w:p>
          <w:p w14:paraId="2762F4C5" w14:textId="77777777" w:rsidR="00C45F2F" w:rsidRDefault="00000000">
            <w:pPr>
              <w:spacing w:before="36" w:after="60" w:line="220" w:lineRule="auto"/>
            </w:pPr>
            <w:r>
              <w:rPr>
                <w:b/>
                <w:bCs/>
                <w:color w:val="BD6B3E"/>
                <w:sz w:val="15"/>
                <w:szCs w:val="15"/>
              </w:rPr>
              <w:t xml:space="preserve">Figure 3  </w:t>
            </w:r>
            <w:r>
              <w:rPr>
                <w:i/>
                <w:iCs/>
                <w:color w:val="5E6C77"/>
                <w:sz w:val="15"/>
                <w:szCs w:val="15"/>
              </w:rPr>
              <w:t>Power-sector CO₂ to 2040. The gap between paths is the cost of delay — 58.9 vs 12.1 Mt by 2040.</w:t>
            </w:r>
          </w:p>
        </w:tc>
      </w:tr>
    </w:tbl>
    <w:p w14:paraId="483D17CD" w14:textId="77777777" w:rsidR="00C45F2F" w:rsidRDefault="00C45F2F">
      <w:pPr>
        <w:spacing w:after="150" w:line="240" w:lineRule="auto"/>
      </w:pPr>
    </w:p>
    <w:p w14:paraId="6AC6EEF5" w14:textId="77777777" w:rsidR="00C45F2F" w:rsidRDefault="00000000">
      <w:pPr>
        <w:spacing w:after="80"/>
      </w:pPr>
      <w:r>
        <w:rPr>
          <w:b/>
          <w:bCs/>
          <w:caps/>
          <w:color w:val="BD6B3E"/>
          <w:spacing w:val="22"/>
          <w:sz w:val="17"/>
          <w:szCs w:val="17"/>
        </w:rPr>
        <w:t>Scenario endpoints — 2040</w:t>
      </w: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768"/>
        <w:gridCol w:w="2200"/>
        <w:gridCol w:w="2200"/>
        <w:gridCol w:w="2200"/>
      </w:tblGrid>
      <w:tr w:rsidR="00C45F2F" w14:paraId="113C91E7" w14:textId="77777777">
        <w:trPr>
          <w:tblHeader/>
        </w:trPr>
        <w:tc>
          <w:tcPr>
            <w:tcW w:w="3768" w:type="dxa"/>
            <w:tcBorders>
              <w:top w:val="none" w:sz="0" w:space="0" w:color="FFFFFF"/>
              <w:left w:val="none" w:sz="0" w:space="0" w:color="FFFFFF"/>
              <w:bottom w:val="none" w:sz="0" w:space="0" w:color="FFFFFF"/>
              <w:right w:val="none" w:sz="0" w:space="0" w:color="FFFFFF"/>
            </w:tcBorders>
            <w:shd w:val="clear" w:color="auto" w:fill="1C3F5F"/>
            <w:tcMar>
              <w:top w:w="80" w:type="dxa"/>
              <w:left w:w="110" w:type="dxa"/>
              <w:bottom w:w="80" w:type="dxa"/>
              <w:right w:w="90" w:type="dxa"/>
            </w:tcMar>
          </w:tcPr>
          <w:p w14:paraId="6CCA24E3" w14:textId="77777777" w:rsidR="00C45F2F" w:rsidRDefault="00000000">
            <w:pPr>
              <w:spacing w:line="210" w:lineRule="auto"/>
            </w:pPr>
            <w:r>
              <w:rPr>
                <w:b/>
                <w:bCs/>
                <w:caps/>
                <w:color w:val="FFFFFF"/>
                <w:spacing w:val="10"/>
                <w:sz w:val="16"/>
                <w:szCs w:val="16"/>
              </w:rPr>
              <w:t>Metric (2040)</w:t>
            </w:r>
          </w:p>
        </w:tc>
        <w:tc>
          <w:tcPr>
            <w:tcW w:w="2200" w:type="dxa"/>
            <w:tcBorders>
              <w:top w:val="none" w:sz="0" w:space="0" w:color="FFFFFF"/>
              <w:left w:val="none" w:sz="0" w:space="0" w:color="FFFFFF"/>
              <w:bottom w:val="none" w:sz="0" w:space="0" w:color="FFFFFF"/>
              <w:right w:val="none" w:sz="0" w:space="0" w:color="FFFFFF"/>
            </w:tcBorders>
            <w:shd w:val="clear" w:color="auto" w:fill="C0563C"/>
            <w:tcMar>
              <w:top w:w="80" w:type="dxa"/>
              <w:left w:w="110" w:type="dxa"/>
              <w:bottom w:w="80" w:type="dxa"/>
              <w:right w:w="90" w:type="dxa"/>
            </w:tcMar>
          </w:tcPr>
          <w:p w14:paraId="21F60A48" w14:textId="77777777" w:rsidR="00C45F2F" w:rsidRDefault="00000000">
            <w:pPr>
              <w:spacing w:line="210" w:lineRule="auto"/>
              <w:jc w:val="center"/>
            </w:pPr>
            <w:r>
              <w:rPr>
                <w:b/>
                <w:bCs/>
                <w:caps/>
                <w:color w:val="FFFFFF"/>
                <w:spacing w:val="10"/>
                <w:sz w:val="16"/>
                <w:szCs w:val="16"/>
              </w:rPr>
              <w:t>Business-as-usual</w:t>
            </w:r>
          </w:p>
        </w:tc>
        <w:tc>
          <w:tcPr>
            <w:tcW w:w="2200" w:type="dxa"/>
            <w:tcBorders>
              <w:top w:val="none" w:sz="0" w:space="0" w:color="FFFFFF"/>
              <w:left w:val="none" w:sz="0" w:space="0" w:color="FFFFFF"/>
              <w:bottom w:val="none" w:sz="0" w:space="0" w:color="FFFFFF"/>
              <w:right w:val="none" w:sz="0" w:space="0" w:color="FFFFFF"/>
            </w:tcBorders>
            <w:shd w:val="clear" w:color="auto" w:fill="21527E"/>
            <w:tcMar>
              <w:top w:w="80" w:type="dxa"/>
              <w:left w:w="110" w:type="dxa"/>
              <w:bottom w:w="80" w:type="dxa"/>
              <w:right w:w="90" w:type="dxa"/>
            </w:tcMar>
          </w:tcPr>
          <w:p w14:paraId="76F542B2" w14:textId="77777777" w:rsidR="00C45F2F" w:rsidRDefault="00000000">
            <w:pPr>
              <w:spacing w:line="210" w:lineRule="auto"/>
              <w:jc w:val="center"/>
            </w:pPr>
            <w:r>
              <w:rPr>
                <w:b/>
                <w:bCs/>
                <w:caps/>
                <w:color w:val="FFFFFF"/>
                <w:spacing w:val="10"/>
                <w:sz w:val="16"/>
                <w:szCs w:val="16"/>
              </w:rPr>
              <w:t>Government</w:t>
            </w:r>
          </w:p>
        </w:tc>
        <w:tc>
          <w:tcPr>
            <w:tcW w:w="2200" w:type="dxa"/>
            <w:tcBorders>
              <w:top w:val="none" w:sz="0" w:space="0" w:color="FFFFFF"/>
              <w:left w:val="none" w:sz="0" w:space="0" w:color="FFFFFF"/>
              <w:bottom w:val="none" w:sz="0" w:space="0" w:color="FFFFFF"/>
              <w:right w:val="none" w:sz="0" w:space="0" w:color="FFFFFF"/>
            </w:tcBorders>
            <w:shd w:val="clear" w:color="auto" w:fill="2E8B6B"/>
            <w:tcMar>
              <w:top w:w="80" w:type="dxa"/>
              <w:left w:w="110" w:type="dxa"/>
              <w:bottom w:w="80" w:type="dxa"/>
              <w:right w:w="90" w:type="dxa"/>
            </w:tcMar>
          </w:tcPr>
          <w:p w14:paraId="3A0C9F00" w14:textId="77777777" w:rsidR="00C45F2F" w:rsidRDefault="00000000">
            <w:pPr>
              <w:spacing w:line="210" w:lineRule="auto"/>
              <w:jc w:val="center"/>
            </w:pPr>
            <w:r>
              <w:rPr>
                <w:b/>
                <w:bCs/>
                <w:caps/>
                <w:color w:val="FFFFFF"/>
                <w:spacing w:val="10"/>
                <w:sz w:val="16"/>
                <w:szCs w:val="16"/>
              </w:rPr>
              <w:t>Accelerated</w:t>
            </w:r>
          </w:p>
        </w:tc>
      </w:tr>
      <w:tr w:rsidR="00C45F2F" w14:paraId="3C76E3C8" w14:textId="77777777">
        <w:tc>
          <w:tcPr>
            <w:tcW w:w="3768" w:type="dxa"/>
            <w:tcBorders>
              <w:bottom w:val="single" w:sz="4" w:space="0" w:color="D9DEE3"/>
            </w:tcBorders>
            <w:tcMar>
              <w:top w:w="64" w:type="dxa"/>
              <w:left w:w="110" w:type="dxa"/>
              <w:bottom w:w="64" w:type="dxa"/>
              <w:right w:w="90" w:type="dxa"/>
            </w:tcMar>
          </w:tcPr>
          <w:p w14:paraId="5BB608A8" w14:textId="77777777" w:rsidR="00C45F2F" w:rsidRDefault="00000000">
            <w:pPr>
              <w:spacing w:line="220" w:lineRule="auto"/>
            </w:pPr>
            <w:r>
              <w:rPr>
                <w:sz w:val="17"/>
                <w:szCs w:val="17"/>
              </w:rPr>
              <w:t>Renewable share of generation</w:t>
            </w:r>
          </w:p>
        </w:tc>
        <w:tc>
          <w:tcPr>
            <w:tcW w:w="2200" w:type="dxa"/>
            <w:tcBorders>
              <w:bottom w:val="single" w:sz="4" w:space="0" w:color="D9DEE3"/>
            </w:tcBorders>
            <w:shd w:val="clear" w:color="auto" w:fill="FFFFFF"/>
            <w:tcMar>
              <w:top w:w="64" w:type="dxa"/>
              <w:left w:w="60" w:type="dxa"/>
              <w:bottom w:w="64" w:type="dxa"/>
              <w:right w:w="60" w:type="dxa"/>
            </w:tcMar>
          </w:tcPr>
          <w:p w14:paraId="717708A5" w14:textId="77777777" w:rsidR="00C45F2F" w:rsidRDefault="00000000">
            <w:pPr>
              <w:spacing w:line="210" w:lineRule="auto"/>
              <w:jc w:val="center"/>
            </w:pPr>
            <w:r>
              <w:rPr>
                <w:b/>
                <w:bCs/>
                <w:color w:val="C0563C"/>
                <w:sz w:val="19"/>
                <w:szCs w:val="19"/>
              </w:rPr>
              <w:t>36.5 %</w:t>
            </w:r>
          </w:p>
        </w:tc>
        <w:tc>
          <w:tcPr>
            <w:tcW w:w="2200" w:type="dxa"/>
            <w:tcBorders>
              <w:bottom w:val="single" w:sz="4" w:space="0" w:color="D9DEE3"/>
            </w:tcBorders>
            <w:shd w:val="clear" w:color="auto" w:fill="FFFFFF"/>
            <w:tcMar>
              <w:top w:w="64" w:type="dxa"/>
              <w:left w:w="60" w:type="dxa"/>
              <w:bottom w:w="64" w:type="dxa"/>
              <w:right w:w="60" w:type="dxa"/>
            </w:tcMar>
          </w:tcPr>
          <w:p w14:paraId="7E938631" w14:textId="77777777" w:rsidR="00C45F2F" w:rsidRDefault="00000000">
            <w:pPr>
              <w:spacing w:line="210" w:lineRule="auto"/>
              <w:jc w:val="center"/>
            </w:pPr>
            <w:r>
              <w:rPr>
                <w:b/>
                <w:bCs/>
                <w:color w:val="21527E"/>
                <w:sz w:val="19"/>
                <w:szCs w:val="19"/>
              </w:rPr>
              <w:t>60.0 %</w:t>
            </w:r>
          </w:p>
        </w:tc>
        <w:tc>
          <w:tcPr>
            <w:tcW w:w="2200" w:type="dxa"/>
            <w:tcBorders>
              <w:bottom w:val="single" w:sz="4" w:space="0" w:color="D9DEE3"/>
            </w:tcBorders>
            <w:shd w:val="clear" w:color="auto" w:fill="FFFFFF"/>
            <w:tcMar>
              <w:top w:w="64" w:type="dxa"/>
              <w:left w:w="60" w:type="dxa"/>
              <w:bottom w:w="64" w:type="dxa"/>
              <w:right w:w="60" w:type="dxa"/>
            </w:tcMar>
          </w:tcPr>
          <w:p w14:paraId="7C900759" w14:textId="77777777" w:rsidR="00C45F2F" w:rsidRDefault="00000000">
            <w:pPr>
              <w:spacing w:line="210" w:lineRule="auto"/>
              <w:jc w:val="center"/>
            </w:pPr>
            <w:r>
              <w:rPr>
                <w:b/>
                <w:bCs/>
                <w:color w:val="2E8B6B"/>
                <w:sz w:val="19"/>
                <w:szCs w:val="19"/>
              </w:rPr>
              <w:t>80.0 %</w:t>
            </w:r>
          </w:p>
        </w:tc>
      </w:tr>
      <w:tr w:rsidR="00C45F2F" w14:paraId="3BC8EB45" w14:textId="77777777">
        <w:tc>
          <w:tcPr>
            <w:tcW w:w="3768" w:type="dxa"/>
            <w:tcBorders>
              <w:bottom w:val="single" w:sz="4" w:space="0" w:color="D9DEE3"/>
            </w:tcBorders>
            <w:tcMar>
              <w:top w:w="64" w:type="dxa"/>
              <w:left w:w="110" w:type="dxa"/>
              <w:bottom w:w="64" w:type="dxa"/>
              <w:right w:w="90" w:type="dxa"/>
            </w:tcMar>
          </w:tcPr>
          <w:p w14:paraId="380D52A3" w14:textId="77777777" w:rsidR="00C45F2F" w:rsidRDefault="00000000">
            <w:pPr>
              <w:spacing w:line="220" w:lineRule="auto"/>
            </w:pPr>
            <w:r>
              <w:rPr>
                <w:sz w:val="17"/>
                <w:szCs w:val="17"/>
              </w:rPr>
              <w:t>Thermal generation</w:t>
            </w:r>
          </w:p>
        </w:tc>
        <w:tc>
          <w:tcPr>
            <w:tcW w:w="2200" w:type="dxa"/>
            <w:tcBorders>
              <w:bottom w:val="single" w:sz="4" w:space="0" w:color="D9DEE3"/>
            </w:tcBorders>
            <w:shd w:val="clear" w:color="auto" w:fill="FAFBFC"/>
            <w:tcMar>
              <w:top w:w="64" w:type="dxa"/>
              <w:left w:w="60" w:type="dxa"/>
              <w:bottom w:w="64" w:type="dxa"/>
              <w:right w:w="60" w:type="dxa"/>
            </w:tcMar>
          </w:tcPr>
          <w:p w14:paraId="72280F07" w14:textId="77777777" w:rsidR="00C45F2F" w:rsidRDefault="00000000">
            <w:pPr>
              <w:spacing w:line="210" w:lineRule="auto"/>
              <w:jc w:val="center"/>
            </w:pPr>
            <w:r>
              <w:rPr>
                <w:b/>
                <w:bCs/>
                <w:color w:val="C0563C"/>
                <w:sz w:val="19"/>
                <w:szCs w:val="19"/>
              </w:rPr>
              <w:t>85.8 TWh</w:t>
            </w:r>
          </w:p>
        </w:tc>
        <w:tc>
          <w:tcPr>
            <w:tcW w:w="2200" w:type="dxa"/>
            <w:tcBorders>
              <w:bottom w:val="single" w:sz="4" w:space="0" w:color="D9DEE3"/>
            </w:tcBorders>
            <w:shd w:val="clear" w:color="auto" w:fill="FAFBFC"/>
            <w:tcMar>
              <w:top w:w="64" w:type="dxa"/>
              <w:left w:w="60" w:type="dxa"/>
              <w:bottom w:w="64" w:type="dxa"/>
              <w:right w:w="60" w:type="dxa"/>
            </w:tcMar>
          </w:tcPr>
          <w:p w14:paraId="05D57B41" w14:textId="77777777" w:rsidR="00C45F2F" w:rsidRDefault="00000000">
            <w:pPr>
              <w:spacing w:line="210" w:lineRule="auto"/>
              <w:jc w:val="center"/>
            </w:pPr>
            <w:r>
              <w:rPr>
                <w:b/>
                <w:bCs/>
                <w:color w:val="21527E"/>
                <w:sz w:val="19"/>
                <w:szCs w:val="19"/>
              </w:rPr>
              <w:t>54.0 TWh</w:t>
            </w:r>
          </w:p>
        </w:tc>
        <w:tc>
          <w:tcPr>
            <w:tcW w:w="2200" w:type="dxa"/>
            <w:tcBorders>
              <w:bottom w:val="single" w:sz="4" w:space="0" w:color="D9DEE3"/>
            </w:tcBorders>
            <w:shd w:val="clear" w:color="auto" w:fill="FAFBFC"/>
            <w:tcMar>
              <w:top w:w="64" w:type="dxa"/>
              <w:left w:w="60" w:type="dxa"/>
              <w:bottom w:w="64" w:type="dxa"/>
              <w:right w:w="60" w:type="dxa"/>
            </w:tcMar>
          </w:tcPr>
          <w:p w14:paraId="69E61BE4" w14:textId="77777777" w:rsidR="00C45F2F" w:rsidRDefault="00000000">
            <w:pPr>
              <w:spacing w:line="210" w:lineRule="auto"/>
              <w:jc w:val="center"/>
            </w:pPr>
            <w:r>
              <w:rPr>
                <w:b/>
                <w:bCs/>
                <w:color w:val="2E8B6B"/>
                <w:sz w:val="19"/>
                <w:szCs w:val="19"/>
              </w:rPr>
              <w:t>27.0 TWh</w:t>
            </w:r>
          </w:p>
        </w:tc>
      </w:tr>
      <w:tr w:rsidR="00C45F2F" w14:paraId="10CAB1CA" w14:textId="77777777">
        <w:tc>
          <w:tcPr>
            <w:tcW w:w="3768" w:type="dxa"/>
            <w:tcBorders>
              <w:bottom w:val="single" w:sz="4" w:space="0" w:color="D9DEE3"/>
            </w:tcBorders>
            <w:tcMar>
              <w:top w:w="64" w:type="dxa"/>
              <w:left w:w="110" w:type="dxa"/>
              <w:bottom w:w="64" w:type="dxa"/>
              <w:right w:w="90" w:type="dxa"/>
            </w:tcMar>
          </w:tcPr>
          <w:p w14:paraId="25F6900F" w14:textId="77777777" w:rsidR="00C45F2F" w:rsidRDefault="00000000">
            <w:pPr>
              <w:spacing w:line="220" w:lineRule="auto"/>
            </w:pPr>
            <w:r>
              <w:rPr>
                <w:sz w:val="17"/>
                <w:szCs w:val="17"/>
              </w:rPr>
              <w:t>Gas burned for power</w:t>
            </w:r>
          </w:p>
        </w:tc>
        <w:tc>
          <w:tcPr>
            <w:tcW w:w="2200" w:type="dxa"/>
            <w:tcBorders>
              <w:bottom w:val="single" w:sz="4" w:space="0" w:color="D9DEE3"/>
            </w:tcBorders>
            <w:shd w:val="clear" w:color="auto" w:fill="FFFFFF"/>
            <w:tcMar>
              <w:top w:w="64" w:type="dxa"/>
              <w:left w:w="60" w:type="dxa"/>
              <w:bottom w:w="64" w:type="dxa"/>
              <w:right w:w="60" w:type="dxa"/>
            </w:tcMar>
          </w:tcPr>
          <w:p w14:paraId="7F0148B1" w14:textId="77777777" w:rsidR="00C45F2F" w:rsidRDefault="00000000">
            <w:pPr>
              <w:spacing w:line="210" w:lineRule="auto"/>
              <w:jc w:val="center"/>
            </w:pPr>
            <w:r>
              <w:rPr>
                <w:b/>
                <w:bCs/>
                <w:color w:val="C0563C"/>
                <w:sz w:val="19"/>
                <w:szCs w:val="19"/>
              </w:rPr>
              <w:t>24.3 bcm</w:t>
            </w:r>
          </w:p>
        </w:tc>
        <w:tc>
          <w:tcPr>
            <w:tcW w:w="2200" w:type="dxa"/>
            <w:tcBorders>
              <w:bottom w:val="single" w:sz="4" w:space="0" w:color="D9DEE3"/>
            </w:tcBorders>
            <w:shd w:val="clear" w:color="auto" w:fill="FFFFFF"/>
            <w:tcMar>
              <w:top w:w="64" w:type="dxa"/>
              <w:left w:w="60" w:type="dxa"/>
              <w:bottom w:w="64" w:type="dxa"/>
              <w:right w:w="60" w:type="dxa"/>
            </w:tcMar>
          </w:tcPr>
          <w:p w14:paraId="6F4EA5CF" w14:textId="77777777" w:rsidR="00C45F2F" w:rsidRDefault="00000000">
            <w:pPr>
              <w:spacing w:line="210" w:lineRule="auto"/>
              <w:jc w:val="center"/>
            </w:pPr>
            <w:r>
              <w:rPr>
                <w:b/>
                <w:bCs/>
                <w:color w:val="21527E"/>
                <w:sz w:val="19"/>
                <w:szCs w:val="19"/>
              </w:rPr>
              <w:t>8.9 bcm</w:t>
            </w:r>
          </w:p>
        </w:tc>
        <w:tc>
          <w:tcPr>
            <w:tcW w:w="2200" w:type="dxa"/>
            <w:tcBorders>
              <w:bottom w:val="single" w:sz="4" w:space="0" w:color="D9DEE3"/>
            </w:tcBorders>
            <w:shd w:val="clear" w:color="auto" w:fill="FFFFFF"/>
            <w:tcMar>
              <w:top w:w="64" w:type="dxa"/>
              <w:left w:w="60" w:type="dxa"/>
              <w:bottom w:w="64" w:type="dxa"/>
              <w:right w:w="60" w:type="dxa"/>
            </w:tcMar>
          </w:tcPr>
          <w:p w14:paraId="373BEB9D" w14:textId="77777777" w:rsidR="00C45F2F" w:rsidRDefault="00000000">
            <w:pPr>
              <w:spacing w:line="210" w:lineRule="auto"/>
              <w:jc w:val="center"/>
            </w:pPr>
            <w:r>
              <w:rPr>
                <w:b/>
                <w:bCs/>
                <w:color w:val="2E8B6B"/>
                <w:sz w:val="19"/>
                <w:szCs w:val="19"/>
              </w:rPr>
              <w:t>4.5 bcm</w:t>
            </w:r>
          </w:p>
        </w:tc>
      </w:tr>
      <w:tr w:rsidR="00C45F2F" w14:paraId="6D1EF4F7" w14:textId="77777777">
        <w:tc>
          <w:tcPr>
            <w:tcW w:w="3768" w:type="dxa"/>
            <w:tcBorders>
              <w:bottom w:val="single" w:sz="4" w:space="0" w:color="D9DEE3"/>
            </w:tcBorders>
            <w:tcMar>
              <w:top w:w="64" w:type="dxa"/>
              <w:left w:w="110" w:type="dxa"/>
              <w:bottom w:w="64" w:type="dxa"/>
              <w:right w:w="90" w:type="dxa"/>
            </w:tcMar>
          </w:tcPr>
          <w:p w14:paraId="4B135E5C" w14:textId="77777777" w:rsidR="00C45F2F" w:rsidRDefault="00000000">
            <w:pPr>
              <w:spacing w:line="220" w:lineRule="auto"/>
            </w:pPr>
            <w:r>
              <w:rPr>
                <w:sz w:val="17"/>
                <w:szCs w:val="17"/>
              </w:rPr>
              <w:t>Carbon intensity</w:t>
            </w:r>
          </w:p>
        </w:tc>
        <w:tc>
          <w:tcPr>
            <w:tcW w:w="2200" w:type="dxa"/>
            <w:tcBorders>
              <w:bottom w:val="single" w:sz="4" w:space="0" w:color="D9DEE3"/>
            </w:tcBorders>
            <w:shd w:val="clear" w:color="auto" w:fill="FAFBFC"/>
            <w:tcMar>
              <w:top w:w="64" w:type="dxa"/>
              <w:left w:w="60" w:type="dxa"/>
              <w:bottom w:w="64" w:type="dxa"/>
              <w:right w:w="60" w:type="dxa"/>
            </w:tcMar>
          </w:tcPr>
          <w:p w14:paraId="4117D04E" w14:textId="77777777" w:rsidR="00C45F2F" w:rsidRDefault="00000000">
            <w:pPr>
              <w:spacing w:line="210" w:lineRule="auto"/>
              <w:jc w:val="center"/>
            </w:pPr>
            <w:r>
              <w:rPr>
                <w:b/>
                <w:bCs/>
                <w:color w:val="C0563C"/>
                <w:sz w:val="19"/>
                <w:szCs w:val="19"/>
              </w:rPr>
              <w:t>436 g/kWh</w:t>
            </w:r>
          </w:p>
        </w:tc>
        <w:tc>
          <w:tcPr>
            <w:tcW w:w="2200" w:type="dxa"/>
            <w:tcBorders>
              <w:bottom w:val="single" w:sz="4" w:space="0" w:color="D9DEE3"/>
            </w:tcBorders>
            <w:shd w:val="clear" w:color="auto" w:fill="FAFBFC"/>
            <w:tcMar>
              <w:top w:w="64" w:type="dxa"/>
              <w:left w:w="60" w:type="dxa"/>
              <w:bottom w:w="64" w:type="dxa"/>
              <w:right w:w="60" w:type="dxa"/>
            </w:tcMar>
          </w:tcPr>
          <w:p w14:paraId="499F14DB" w14:textId="77777777" w:rsidR="00C45F2F" w:rsidRDefault="00000000">
            <w:pPr>
              <w:spacing w:line="210" w:lineRule="auto"/>
              <w:jc w:val="center"/>
            </w:pPr>
            <w:r>
              <w:rPr>
                <w:b/>
                <w:bCs/>
                <w:color w:val="21527E"/>
                <w:sz w:val="19"/>
                <w:szCs w:val="19"/>
              </w:rPr>
              <w:t>179 g/kWh</w:t>
            </w:r>
          </w:p>
        </w:tc>
        <w:tc>
          <w:tcPr>
            <w:tcW w:w="2200" w:type="dxa"/>
            <w:tcBorders>
              <w:bottom w:val="single" w:sz="4" w:space="0" w:color="D9DEE3"/>
            </w:tcBorders>
            <w:shd w:val="clear" w:color="auto" w:fill="FAFBFC"/>
            <w:tcMar>
              <w:top w:w="64" w:type="dxa"/>
              <w:left w:w="60" w:type="dxa"/>
              <w:bottom w:w="64" w:type="dxa"/>
              <w:right w:w="60" w:type="dxa"/>
            </w:tcMar>
          </w:tcPr>
          <w:p w14:paraId="76EFEB33" w14:textId="77777777" w:rsidR="00C45F2F" w:rsidRDefault="00000000">
            <w:pPr>
              <w:spacing w:line="210" w:lineRule="auto"/>
              <w:jc w:val="center"/>
            </w:pPr>
            <w:r>
              <w:rPr>
                <w:b/>
                <w:bCs/>
                <w:color w:val="2E8B6B"/>
                <w:sz w:val="19"/>
                <w:szCs w:val="19"/>
              </w:rPr>
              <w:t>90 g/kWh</w:t>
            </w:r>
          </w:p>
        </w:tc>
      </w:tr>
      <w:tr w:rsidR="00C45F2F" w14:paraId="7A8490C2" w14:textId="77777777">
        <w:tc>
          <w:tcPr>
            <w:tcW w:w="3768" w:type="dxa"/>
            <w:tcBorders>
              <w:bottom w:val="single" w:sz="4" w:space="0" w:color="D9DEE3"/>
            </w:tcBorders>
            <w:tcMar>
              <w:top w:w="64" w:type="dxa"/>
              <w:left w:w="110" w:type="dxa"/>
              <w:bottom w:w="64" w:type="dxa"/>
              <w:right w:w="90" w:type="dxa"/>
            </w:tcMar>
          </w:tcPr>
          <w:p w14:paraId="57A8A815" w14:textId="77777777" w:rsidR="00C45F2F" w:rsidRDefault="00000000">
            <w:pPr>
              <w:spacing w:line="220" w:lineRule="auto"/>
            </w:pPr>
            <w:r>
              <w:rPr>
                <w:sz w:val="17"/>
                <w:szCs w:val="17"/>
              </w:rPr>
              <w:t>Annual CO₂ emissions</w:t>
            </w:r>
          </w:p>
        </w:tc>
        <w:tc>
          <w:tcPr>
            <w:tcW w:w="2200" w:type="dxa"/>
            <w:tcBorders>
              <w:bottom w:val="single" w:sz="4" w:space="0" w:color="D9DEE3"/>
            </w:tcBorders>
            <w:shd w:val="clear" w:color="auto" w:fill="FFFFFF"/>
            <w:tcMar>
              <w:top w:w="64" w:type="dxa"/>
              <w:left w:w="60" w:type="dxa"/>
              <w:bottom w:w="64" w:type="dxa"/>
              <w:right w:w="60" w:type="dxa"/>
            </w:tcMar>
          </w:tcPr>
          <w:p w14:paraId="7C450D4F" w14:textId="77777777" w:rsidR="00C45F2F" w:rsidRDefault="00000000">
            <w:pPr>
              <w:spacing w:line="210" w:lineRule="auto"/>
              <w:jc w:val="center"/>
            </w:pPr>
            <w:r>
              <w:rPr>
                <w:b/>
                <w:bCs/>
                <w:color w:val="C0563C"/>
                <w:sz w:val="19"/>
                <w:szCs w:val="19"/>
              </w:rPr>
              <w:t>58.9 Mt</w:t>
            </w:r>
          </w:p>
        </w:tc>
        <w:tc>
          <w:tcPr>
            <w:tcW w:w="2200" w:type="dxa"/>
            <w:tcBorders>
              <w:bottom w:val="single" w:sz="4" w:space="0" w:color="D9DEE3"/>
            </w:tcBorders>
            <w:shd w:val="clear" w:color="auto" w:fill="FFFFFF"/>
            <w:tcMar>
              <w:top w:w="64" w:type="dxa"/>
              <w:left w:w="60" w:type="dxa"/>
              <w:bottom w:w="64" w:type="dxa"/>
              <w:right w:w="60" w:type="dxa"/>
            </w:tcMar>
          </w:tcPr>
          <w:p w14:paraId="001C8E2F" w14:textId="77777777" w:rsidR="00C45F2F" w:rsidRDefault="00000000">
            <w:pPr>
              <w:spacing w:line="210" w:lineRule="auto"/>
              <w:jc w:val="center"/>
            </w:pPr>
            <w:r>
              <w:rPr>
                <w:b/>
                <w:bCs/>
                <w:color w:val="21527E"/>
                <w:sz w:val="19"/>
                <w:szCs w:val="19"/>
              </w:rPr>
              <w:t>24.2 Mt</w:t>
            </w:r>
          </w:p>
        </w:tc>
        <w:tc>
          <w:tcPr>
            <w:tcW w:w="2200" w:type="dxa"/>
            <w:tcBorders>
              <w:bottom w:val="single" w:sz="4" w:space="0" w:color="D9DEE3"/>
            </w:tcBorders>
            <w:shd w:val="clear" w:color="auto" w:fill="FFFFFF"/>
            <w:tcMar>
              <w:top w:w="64" w:type="dxa"/>
              <w:left w:w="60" w:type="dxa"/>
              <w:bottom w:w="64" w:type="dxa"/>
              <w:right w:w="60" w:type="dxa"/>
            </w:tcMar>
          </w:tcPr>
          <w:p w14:paraId="62874590" w14:textId="77777777" w:rsidR="00C45F2F" w:rsidRDefault="00000000">
            <w:pPr>
              <w:spacing w:line="210" w:lineRule="auto"/>
              <w:jc w:val="center"/>
            </w:pPr>
            <w:r>
              <w:rPr>
                <w:b/>
                <w:bCs/>
                <w:color w:val="2E8B6B"/>
                <w:sz w:val="19"/>
                <w:szCs w:val="19"/>
              </w:rPr>
              <w:t>12.1 Mt</w:t>
            </w:r>
          </w:p>
        </w:tc>
      </w:tr>
      <w:tr w:rsidR="00C45F2F" w14:paraId="5CB5922C" w14:textId="77777777">
        <w:tc>
          <w:tcPr>
            <w:tcW w:w="3768" w:type="dxa"/>
            <w:tcBorders>
              <w:bottom w:val="single" w:sz="4" w:space="0" w:color="D9DEE3"/>
            </w:tcBorders>
            <w:tcMar>
              <w:top w:w="64" w:type="dxa"/>
              <w:left w:w="110" w:type="dxa"/>
              <w:bottom w:w="64" w:type="dxa"/>
              <w:right w:w="90" w:type="dxa"/>
            </w:tcMar>
          </w:tcPr>
          <w:p w14:paraId="4AB25CD6" w14:textId="77777777" w:rsidR="00C45F2F" w:rsidRDefault="00000000">
            <w:pPr>
              <w:spacing w:line="220" w:lineRule="auto"/>
            </w:pPr>
            <w:r>
              <w:rPr>
                <w:sz w:val="17"/>
                <w:szCs w:val="17"/>
              </w:rPr>
              <w:t>Cumulative capex to 2040</w:t>
            </w:r>
          </w:p>
        </w:tc>
        <w:tc>
          <w:tcPr>
            <w:tcW w:w="2200" w:type="dxa"/>
            <w:tcBorders>
              <w:bottom w:val="single" w:sz="4" w:space="0" w:color="D9DEE3"/>
            </w:tcBorders>
            <w:shd w:val="clear" w:color="auto" w:fill="FAFBFC"/>
            <w:tcMar>
              <w:top w:w="64" w:type="dxa"/>
              <w:left w:w="60" w:type="dxa"/>
              <w:bottom w:w="64" w:type="dxa"/>
              <w:right w:w="60" w:type="dxa"/>
            </w:tcMar>
          </w:tcPr>
          <w:p w14:paraId="37A0490C" w14:textId="77777777" w:rsidR="00C45F2F" w:rsidRDefault="00000000">
            <w:pPr>
              <w:spacing w:line="210" w:lineRule="auto"/>
              <w:jc w:val="center"/>
            </w:pPr>
            <w:r>
              <w:rPr>
                <w:b/>
                <w:bCs/>
                <w:color w:val="C0563C"/>
                <w:sz w:val="19"/>
                <w:szCs w:val="19"/>
              </w:rPr>
              <w:t>$27.3 bn</w:t>
            </w:r>
          </w:p>
        </w:tc>
        <w:tc>
          <w:tcPr>
            <w:tcW w:w="2200" w:type="dxa"/>
            <w:tcBorders>
              <w:bottom w:val="single" w:sz="4" w:space="0" w:color="D9DEE3"/>
            </w:tcBorders>
            <w:shd w:val="clear" w:color="auto" w:fill="FAFBFC"/>
            <w:tcMar>
              <w:top w:w="64" w:type="dxa"/>
              <w:left w:w="60" w:type="dxa"/>
              <w:bottom w:w="64" w:type="dxa"/>
              <w:right w:w="60" w:type="dxa"/>
            </w:tcMar>
          </w:tcPr>
          <w:p w14:paraId="1B1F19E4" w14:textId="77777777" w:rsidR="00C45F2F" w:rsidRDefault="00000000">
            <w:pPr>
              <w:spacing w:line="210" w:lineRule="auto"/>
              <w:jc w:val="center"/>
            </w:pPr>
            <w:r>
              <w:rPr>
                <w:b/>
                <w:bCs/>
                <w:color w:val="21527E"/>
                <w:sz w:val="19"/>
                <w:szCs w:val="19"/>
              </w:rPr>
              <w:t>$56.9 bn</w:t>
            </w:r>
          </w:p>
        </w:tc>
        <w:tc>
          <w:tcPr>
            <w:tcW w:w="2200" w:type="dxa"/>
            <w:tcBorders>
              <w:bottom w:val="single" w:sz="4" w:space="0" w:color="D9DEE3"/>
            </w:tcBorders>
            <w:shd w:val="clear" w:color="auto" w:fill="FAFBFC"/>
            <w:tcMar>
              <w:top w:w="64" w:type="dxa"/>
              <w:left w:w="60" w:type="dxa"/>
              <w:bottom w:w="64" w:type="dxa"/>
              <w:right w:w="60" w:type="dxa"/>
            </w:tcMar>
          </w:tcPr>
          <w:p w14:paraId="13311314" w14:textId="77777777" w:rsidR="00C45F2F" w:rsidRDefault="00000000">
            <w:pPr>
              <w:spacing w:line="210" w:lineRule="auto"/>
              <w:jc w:val="center"/>
            </w:pPr>
            <w:r>
              <w:rPr>
                <w:b/>
                <w:bCs/>
                <w:color w:val="2E8B6B"/>
                <w:sz w:val="19"/>
                <w:szCs w:val="19"/>
              </w:rPr>
              <w:t>$79.3 bn</w:t>
            </w:r>
          </w:p>
        </w:tc>
      </w:tr>
    </w:tbl>
    <w:p w14:paraId="3CB58CC2" w14:textId="77777777" w:rsidR="00C45F2F" w:rsidRDefault="00000000">
      <w:pPr>
        <w:spacing w:before="70" w:line="210" w:lineRule="auto"/>
      </w:pPr>
      <w:r>
        <w:rPr>
          <w:i/>
          <w:iCs/>
          <w:color w:val="5E6C77"/>
          <w:sz w:val="15"/>
          <w:szCs w:val="15"/>
        </w:rPr>
        <w:t>All figures generated by the scenario engine in notebook 07 and the investment-signal workbook (notebook 08).</w:t>
      </w:r>
    </w:p>
    <w:p w14:paraId="1BE5C219" w14:textId="77777777" w:rsidR="00C45F2F" w:rsidRDefault="00000000">
      <w:pPr>
        <w:pageBreakBefore/>
        <w:spacing w:after="50"/>
      </w:pPr>
      <w:r>
        <w:rPr>
          <w:b/>
          <w:bCs/>
          <w:caps/>
          <w:color w:val="BD6B3E"/>
          <w:spacing w:val="34"/>
          <w:sz w:val="17"/>
          <w:szCs w:val="17"/>
        </w:rPr>
        <w:lastRenderedPageBreak/>
        <w:t>03 — Investment signals</w:t>
      </w:r>
    </w:p>
    <w:p w14:paraId="585407D5" w14:textId="77777777" w:rsidR="00C45F2F" w:rsidRDefault="00000000">
      <w:pPr>
        <w:spacing w:after="70" w:line="230" w:lineRule="auto"/>
      </w:pPr>
      <w:r>
        <w:rPr>
          <w:b/>
          <w:bCs/>
          <w:color w:val="0E2436"/>
          <w:sz w:val="42"/>
          <w:szCs w:val="42"/>
        </w:rPr>
        <w:t>Where the value is, and where it comes from</w:t>
      </w:r>
    </w:p>
    <w:p w14:paraId="2ABD4C8C" w14:textId="77777777" w:rsidR="00C45F2F" w:rsidRDefault="00C45F2F">
      <w:pPr>
        <w:pBdr>
          <w:bottom w:val="single" w:sz="10" w:space="0" w:color="BD6B3E"/>
        </w:pBdr>
        <w:spacing w:after="110" w:line="20" w:lineRule="auto"/>
      </w:pP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368"/>
      </w:tblGrid>
      <w:tr w:rsidR="00C45F2F" w14:paraId="4E601B69" w14:textId="77777777">
        <w:tc>
          <w:tcPr>
            <w:tcW w:w="10368" w:type="dxa"/>
            <w:tcBorders>
              <w:left w:val="single" w:sz="28" w:space="0" w:color="BD6B3E"/>
            </w:tcBorders>
            <w:shd w:val="clear" w:color="auto" w:fill="F1EEE9"/>
            <w:tcMar>
              <w:top w:w="88" w:type="dxa"/>
              <w:left w:w="180" w:type="dxa"/>
              <w:bottom w:w="88" w:type="dxa"/>
              <w:right w:w="180" w:type="dxa"/>
            </w:tcMar>
          </w:tcPr>
          <w:p w14:paraId="3B2E6C5A" w14:textId="77777777" w:rsidR="00C45F2F" w:rsidRDefault="00000000">
            <w:pPr>
              <w:spacing w:after="28"/>
            </w:pPr>
            <w:r>
              <w:rPr>
                <w:b/>
                <w:bCs/>
                <w:caps/>
                <w:color w:val="BD6B3E"/>
                <w:spacing w:val="22"/>
                <w:sz w:val="16"/>
                <w:szCs w:val="16"/>
              </w:rPr>
              <w:t>THE MODERNISATION PRIZE</w:t>
            </w:r>
          </w:p>
          <w:p w14:paraId="7EFF9C32" w14:textId="77777777" w:rsidR="00C45F2F" w:rsidRDefault="00000000">
            <w:pPr>
              <w:spacing w:line="248" w:lineRule="auto"/>
            </w:pPr>
            <w:r>
              <w:rPr>
                <w:b/>
                <w:bCs/>
                <w:color w:val="0E2436"/>
                <w:sz w:val="30"/>
                <w:szCs w:val="30"/>
              </w:rPr>
              <w:t>≈ 7 points</w:t>
            </w:r>
            <w:r>
              <w:t xml:space="preserve">  of delivered energy are lost in the network today. T&amp;D losses have sat between 13 % and 18 % for two decades, reaching 17.8 % in 2023. Closing them toward ~9 % would return energy equal to the output of a large new power station — recovered without building any new generation.</w:t>
            </w:r>
          </w:p>
          <w:p w14:paraId="2F1832C2" w14:textId="77777777" w:rsidR="00C45F2F" w:rsidRDefault="00000000">
            <w:pPr>
              <w:spacing w:before="26"/>
            </w:pPr>
            <w:r>
              <w:rPr>
                <w:i/>
                <w:iCs/>
                <w:color w:val="5E6C77"/>
                <w:sz w:val="15"/>
                <w:szCs w:val="15"/>
              </w:rPr>
              <w:t>Source: notebook 08, T&amp;D-loss signal (investment_signal_td.csv).</w:t>
            </w:r>
          </w:p>
        </w:tc>
      </w:tr>
    </w:tbl>
    <w:p w14:paraId="58086A4D" w14:textId="77777777" w:rsidR="00C45F2F" w:rsidRDefault="00C45F2F">
      <w:pPr>
        <w:spacing w:after="80" w:line="240" w:lineRule="auto"/>
      </w:pP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560"/>
        <w:gridCol w:w="4808"/>
      </w:tblGrid>
      <w:tr w:rsidR="00C45F2F" w14:paraId="2C642554" w14:textId="77777777">
        <w:tc>
          <w:tcPr>
            <w:tcW w:w="5560" w:type="dxa"/>
            <w:tcBorders>
              <w:top w:val="none" w:sz="0" w:space="0" w:color="FFFFFF"/>
              <w:left w:val="none" w:sz="0" w:space="0" w:color="FFFFFF"/>
              <w:bottom w:val="none" w:sz="0" w:space="0" w:color="FFFFFF"/>
              <w:right w:val="none" w:sz="0" w:space="0" w:color="FFFFFF"/>
            </w:tcBorders>
            <w:tcMar>
              <w:top w:w="6" w:type="dxa"/>
              <w:left w:w="0" w:type="dxa"/>
              <w:bottom w:w="0" w:type="dxa"/>
              <w:right w:w="150" w:type="dxa"/>
            </w:tcMar>
          </w:tcPr>
          <w:p w14:paraId="55E30009" w14:textId="77777777" w:rsidR="00C45F2F" w:rsidRDefault="00000000">
            <w:pPr>
              <w:spacing w:after="40"/>
            </w:pPr>
            <w:r>
              <w:rPr>
                <w:b/>
                <w:bCs/>
                <w:caps/>
                <w:color w:val="BD6B3E"/>
                <w:spacing w:val="22"/>
                <w:sz w:val="17"/>
                <w:szCs w:val="17"/>
              </w:rPr>
              <w:t>Two further signals</w:t>
            </w:r>
          </w:p>
          <w:p w14:paraId="008540F9" w14:textId="77777777" w:rsidR="00C45F2F" w:rsidRDefault="00000000">
            <w:pPr>
              <w:spacing w:after="16" w:line="230" w:lineRule="auto"/>
            </w:pPr>
            <w:r>
              <w:rPr>
                <w:b/>
                <w:bCs/>
                <w:color w:val="BD6B3E"/>
                <w:sz w:val="20"/>
                <w:szCs w:val="20"/>
              </w:rPr>
              <w:t xml:space="preserve">1.  </w:t>
            </w:r>
            <w:r>
              <w:rPr>
                <w:b/>
                <w:bCs/>
                <w:color w:val="0E2436"/>
                <w:sz w:val="19"/>
                <w:szCs w:val="19"/>
              </w:rPr>
              <w:t>Reserve headroom, not a deficit</w:t>
            </w:r>
          </w:p>
          <w:p w14:paraId="131A52EC" w14:textId="77777777" w:rsidR="00C45F2F" w:rsidRDefault="00000000">
            <w:pPr>
              <w:spacing w:after="8" w:line="248" w:lineRule="auto"/>
            </w:pPr>
            <w:r>
              <w:rPr>
                <w:sz w:val="17"/>
                <w:szCs w:val="17"/>
              </w:rPr>
              <w:t>On the central plan the point deficit is zero — but the upper-80 % demand band runs 6.5 TWh above plan in 2024, widening to 14.8 TWh by 2040. The signal is to size firm reserve and flexibility to the band, not the central line.</w:t>
            </w:r>
          </w:p>
          <w:p w14:paraId="73EBDFA1" w14:textId="77777777" w:rsidR="00C45F2F" w:rsidRDefault="00000000">
            <w:pPr>
              <w:spacing w:line="210" w:lineRule="auto"/>
            </w:pPr>
            <w:r>
              <w:rPr>
                <w:i/>
                <w:iCs/>
                <w:color w:val="5E6C77"/>
                <w:sz w:val="15"/>
                <w:szCs w:val="15"/>
              </w:rPr>
              <w:t>Source: notebook 08, deficit signal (investment_signal_deficit.csv).</w:t>
            </w:r>
          </w:p>
          <w:p w14:paraId="3AEF1C29" w14:textId="77777777" w:rsidR="00C45F2F" w:rsidRDefault="00000000">
            <w:pPr>
              <w:spacing w:before="90" w:after="16" w:line="230" w:lineRule="auto"/>
            </w:pPr>
            <w:r>
              <w:rPr>
                <w:b/>
                <w:bCs/>
                <w:color w:val="BD6B3E"/>
                <w:sz w:val="20"/>
                <w:szCs w:val="20"/>
              </w:rPr>
              <w:t xml:space="preserve">2.  </w:t>
            </w:r>
            <w:r>
              <w:rPr>
                <w:b/>
                <w:bCs/>
                <w:color w:val="0E2436"/>
                <w:sz w:val="19"/>
                <w:szCs w:val="19"/>
              </w:rPr>
              <w:t>Gas-import exposure rises with thermal reliance</w:t>
            </w:r>
          </w:p>
          <w:p w14:paraId="02182BF0" w14:textId="77777777" w:rsidR="00C45F2F" w:rsidRDefault="00000000">
            <w:pPr>
              <w:spacing w:after="8" w:line="248" w:lineRule="auto"/>
            </w:pPr>
            <w:r>
              <w:rPr>
                <w:sz w:val="17"/>
                <w:szCs w:val="17"/>
              </w:rPr>
              <w:t>Gas burned for power reaches 24.3 / 8.9 / 4.5 bcm by 2040 across the three scenarios (see the endpoints table). With self-sufficiency already ~88 %, business-as-usual deepens import dependence, while the Accelerated path cuts the power sector's gas call by roughly three-quarters.</w:t>
            </w:r>
          </w:p>
          <w:p w14:paraId="484E015A" w14:textId="77777777" w:rsidR="004566EC" w:rsidRDefault="00000000" w:rsidP="004566EC">
            <w:pPr>
              <w:spacing w:line="210" w:lineRule="auto"/>
              <w:rPr>
                <w:i/>
                <w:iCs/>
                <w:color w:val="5E6C77"/>
                <w:sz w:val="15"/>
                <w:szCs w:val="15"/>
              </w:rPr>
            </w:pPr>
            <w:r>
              <w:rPr>
                <w:i/>
                <w:iCs/>
                <w:color w:val="5E6C77"/>
                <w:sz w:val="15"/>
                <w:szCs w:val="15"/>
              </w:rPr>
              <w:t>Source: notebook 08 gas series; supply-driver EDA (notebook 03).</w:t>
            </w:r>
          </w:p>
          <w:p w14:paraId="7A551F34" w14:textId="77777777" w:rsidR="004566EC" w:rsidRDefault="004566EC" w:rsidP="004566EC">
            <w:pPr>
              <w:spacing w:line="210" w:lineRule="auto"/>
              <w:rPr>
                <w:i/>
                <w:iCs/>
                <w:color w:val="5E6C77"/>
                <w:sz w:val="15"/>
                <w:szCs w:val="15"/>
              </w:rPr>
            </w:pPr>
          </w:p>
          <w:p w14:paraId="5D2F2F8A" w14:textId="07905D0A" w:rsidR="004566EC" w:rsidRPr="004566EC" w:rsidRDefault="004566EC" w:rsidP="004566EC">
            <w:pPr>
              <w:spacing w:line="210" w:lineRule="auto"/>
              <w:rPr>
                <w:i/>
                <w:iCs/>
                <w:color w:val="5E6C77"/>
                <w:sz w:val="15"/>
                <w:szCs w:val="15"/>
              </w:rPr>
            </w:pPr>
            <w:r>
              <w:rPr>
                <w:color w:val="BD6B3E"/>
                <w:sz w:val="20"/>
                <w:szCs w:val="20"/>
              </w:rPr>
              <w:t>3.</w:t>
            </w:r>
            <w:r>
              <w:rPr>
                <w:rStyle w:val="Strong"/>
              </w:rPr>
              <w:t xml:space="preserve"> </w:t>
            </w:r>
            <w:r>
              <w:rPr>
                <w:b/>
                <w:bCs/>
                <w:color w:val="0E2436"/>
                <w:sz w:val="19"/>
                <w:szCs w:val="19"/>
              </w:rPr>
              <w:t>Geography splits supply from demand</w:t>
            </w:r>
          </w:p>
          <w:p w14:paraId="763FBAAA" w14:textId="77777777" w:rsidR="004566EC" w:rsidRPr="004566EC" w:rsidRDefault="004566EC" w:rsidP="004566EC">
            <w:pPr>
              <w:spacing w:after="8" w:line="248" w:lineRule="auto"/>
              <w:rPr>
                <w:sz w:val="17"/>
                <w:szCs w:val="17"/>
              </w:rPr>
            </w:pPr>
            <w:r>
              <w:rPr>
                <w:sz w:val="17"/>
                <w:szCs w:val="17"/>
              </w:rPr>
              <w:t>The best renewable resource sits in the west — Karakalpakstan and the desert oblasts — while load is concentrated in the east around Tashkent. Hitting the targets therefore means building the grid out to the resource: roughly 6,000 km of new high-voltage lines plus a ~1,450 km wind corridor, not just adding capacity. This is what turns grid modernisation from a maintenance line item into a core mandate.</w:t>
            </w:r>
          </w:p>
          <w:p w14:paraId="745A3DE6" w14:textId="5E8D0655" w:rsidR="004566EC" w:rsidRPr="004566EC" w:rsidRDefault="004566EC">
            <w:pPr>
              <w:spacing w:line="210" w:lineRule="auto"/>
              <w:rPr>
                <w:i/>
                <w:iCs/>
                <w:color w:val="5E6C77"/>
                <w:sz w:val="15"/>
                <w:szCs w:val="15"/>
              </w:rPr>
            </w:pPr>
            <w:r>
              <w:rPr>
                <w:i/>
                <w:iCs/>
                <w:color w:val="5E6C77"/>
                <w:sz w:val="15"/>
                <w:szCs w:val="15"/>
              </w:rPr>
              <w:t>Source: notebook 02 (oblast solar-resource map; plant locations); advisory map, notebook 08.</w:t>
            </w:r>
          </w:p>
        </w:tc>
        <w:tc>
          <w:tcPr>
            <w:tcW w:w="4808" w:type="dxa"/>
            <w:tcBorders>
              <w:top w:val="none" w:sz="0" w:space="0" w:color="FFFFFF"/>
              <w:left w:val="none" w:sz="0" w:space="0" w:color="FFFFFF"/>
              <w:bottom w:val="none" w:sz="0" w:space="0" w:color="FFFFFF"/>
              <w:right w:val="none" w:sz="0" w:space="0" w:color="FFFFFF"/>
            </w:tcBorders>
            <w:shd w:val="clear" w:color="auto" w:fill="ECF1F5"/>
            <w:tcMar>
              <w:top w:w="110" w:type="dxa"/>
              <w:left w:w="150" w:type="dxa"/>
              <w:bottom w:w="120" w:type="dxa"/>
              <w:right w:w="140" w:type="dxa"/>
            </w:tcMar>
          </w:tcPr>
          <w:p w14:paraId="450584BC" w14:textId="77777777" w:rsidR="00C45F2F" w:rsidRDefault="00000000">
            <w:pPr>
              <w:spacing w:after="40"/>
            </w:pPr>
            <w:r>
              <w:rPr>
                <w:b/>
                <w:bCs/>
                <w:caps/>
                <w:color w:val="BD6B3E"/>
                <w:spacing w:val="22"/>
                <w:sz w:val="17"/>
                <w:szCs w:val="17"/>
              </w:rPr>
              <w:t>What it costs to build</w:t>
            </w:r>
          </w:p>
          <w:p w14:paraId="7FC20B84" w14:textId="77777777" w:rsidR="00C45F2F" w:rsidRDefault="00000000">
            <w:pPr>
              <w:spacing w:line="240" w:lineRule="auto"/>
              <w:jc w:val="center"/>
            </w:pPr>
            <w:r>
              <w:rPr>
                <w:noProof/>
              </w:rPr>
              <w:drawing>
                <wp:inline distT="0" distB="0" distL="0" distR="0" wp14:anchorId="0A5F18AD" wp14:editId="7D42656F">
                  <wp:extent cx="2571750" cy="1914525"/>
                  <wp:effectExtent l="0" t="0" r="0" b="0"/>
                  <wp:docPr id="717161570" name="Picture 71716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914525"/>
                          </a:xfrm>
                          <a:prstGeom prst="rect">
                            <a:avLst/>
                          </a:prstGeom>
                        </pic:spPr>
                      </pic:pic>
                    </a:graphicData>
                  </a:graphic>
                </wp:inline>
              </w:drawing>
            </w:r>
          </w:p>
          <w:p w14:paraId="5240C462" w14:textId="77777777" w:rsidR="00C45F2F" w:rsidRDefault="00000000">
            <w:pPr>
              <w:spacing w:before="36" w:after="60" w:line="220" w:lineRule="auto"/>
            </w:pPr>
            <w:r>
              <w:rPr>
                <w:b/>
                <w:bCs/>
                <w:color w:val="BD6B3E"/>
                <w:sz w:val="15"/>
                <w:szCs w:val="15"/>
              </w:rPr>
              <w:t xml:space="preserve">Figure 4  </w:t>
            </w:r>
            <w:r>
              <w:rPr>
                <w:i/>
                <w:iCs/>
                <w:color w:val="5E6C77"/>
                <w:sz w:val="15"/>
                <w:szCs w:val="15"/>
              </w:rPr>
              <w:t>Cumulative capex 2024–2040 by technology and scenario. Source: notebook 08, investment signals.</w:t>
            </w:r>
          </w:p>
          <w:p w14:paraId="19BABFFE" w14:textId="77777777" w:rsidR="00C45F2F" w:rsidRDefault="00000000">
            <w:pPr>
              <w:spacing w:before="56" w:line="248" w:lineRule="auto"/>
            </w:pPr>
            <w:r>
              <w:rPr>
                <w:sz w:val="17"/>
                <w:szCs w:val="17"/>
              </w:rPr>
              <w:t xml:space="preserve">The Government target implies about </w:t>
            </w:r>
            <w:r>
              <w:rPr>
                <w:b/>
                <w:bCs/>
                <w:color w:val="21527E"/>
                <w:sz w:val="17"/>
                <w:szCs w:val="17"/>
              </w:rPr>
              <w:t>$57 bn</w:t>
            </w:r>
            <w:r>
              <w:rPr>
                <w:sz w:val="17"/>
                <w:szCs w:val="17"/>
              </w:rPr>
              <w:t xml:space="preserve"> to 2040; the Accelerated path roughly </w:t>
            </w:r>
            <w:r>
              <w:rPr>
                <w:b/>
                <w:bCs/>
                <w:color w:val="2E8B6B"/>
                <w:sz w:val="17"/>
                <w:szCs w:val="17"/>
              </w:rPr>
              <w:t>$79 bn</w:t>
            </w:r>
            <w:r>
              <w:rPr>
                <w:sz w:val="17"/>
                <w:szCs w:val="17"/>
              </w:rPr>
              <w:t>. The largest swings are solar and wind — this is the pipeline against which advisory mandates are scoped.</w:t>
            </w:r>
          </w:p>
        </w:tc>
      </w:tr>
    </w:tbl>
    <w:p w14:paraId="18F8C7E2" w14:textId="77777777" w:rsidR="00C45F2F" w:rsidRDefault="00C45F2F">
      <w:pPr>
        <w:spacing w:after="46" w:line="240" w:lineRule="auto"/>
      </w:pPr>
    </w:p>
    <w:p w14:paraId="1B18DDB4" w14:textId="77777777" w:rsidR="00C45F2F" w:rsidRDefault="00000000">
      <w:pPr>
        <w:spacing w:after="80"/>
      </w:pPr>
      <w:r>
        <w:rPr>
          <w:b/>
          <w:bCs/>
          <w:caps/>
          <w:color w:val="BD6B3E"/>
          <w:spacing w:val="22"/>
          <w:sz w:val="17"/>
          <w:szCs w:val="17"/>
        </w:rPr>
        <w:t>Advisory priorities for ILF</w:t>
      </w: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20"/>
        <w:gridCol w:w="3120"/>
        <w:gridCol w:w="1430"/>
        <w:gridCol w:w="1330"/>
        <w:gridCol w:w="2668"/>
      </w:tblGrid>
      <w:tr w:rsidR="00C45F2F" w14:paraId="43941504" w14:textId="77777777">
        <w:trPr>
          <w:tblHeader/>
        </w:trPr>
        <w:tc>
          <w:tcPr>
            <w:tcW w:w="1820" w:type="dxa"/>
            <w:tcBorders>
              <w:top w:val="none" w:sz="0" w:space="0" w:color="FFFFFF"/>
              <w:left w:val="none" w:sz="0" w:space="0" w:color="FFFFFF"/>
              <w:bottom w:val="none" w:sz="0" w:space="0" w:color="FFFFFF"/>
              <w:right w:val="none" w:sz="0" w:space="0" w:color="FFFFFF"/>
            </w:tcBorders>
            <w:shd w:val="clear" w:color="auto" w:fill="1C3F5F"/>
            <w:tcMar>
              <w:top w:w="52" w:type="dxa"/>
              <w:left w:w="90" w:type="dxa"/>
              <w:bottom w:w="52" w:type="dxa"/>
              <w:right w:w="70" w:type="dxa"/>
            </w:tcMar>
          </w:tcPr>
          <w:p w14:paraId="23FE0980" w14:textId="77777777" w:rsidR="00C45F2F" w:rsidRDefault="00000000">
            <w:pPr>
              <w:spacing w:line="200" w:lineRule="auto"/>
            </w:pPr>
            <w:r>
              <w:rPr>
                <w:b/>
                <w:bCs/>
                <w:caps/>
                <w:color w:val="FFFFFF"/>
                <w:spacing w:val="8"/>
                <w:sz w:val="15"/>
                <w:szCs w:val="15"/>
              </w:rPr>
              <w:t>Priority</w:t>
            </w:r>
          </w:p>
        </w:tc>
        <w:tc>
          <w:tcPr>
            <w:tcW w:w="3120" w:type="dxa"/>
            <w:tcBorders>
              <w:top w:val="none" w:sz="0" w:space="0" w:color="FFFFFF"/>
              <w:left w:val="none" w:sz="0" w:space="0" w:color="FFFFFF"/>
              <w:bottom w:val="none" w:sz="0" w:space="0" w:color="FFFFFF"/>
              <w:right w:val="none" w:sz="0" w:space="0" w:color="FFFFFF"/>
            </w:tcBorders>
            <w:shd w:val="clear" w:color="auto" w:fill="1C3F5F"/>
            <w:tcMar>
              <w:top w:w="52" w:type="dxa"/>
              <w:left w:w="90" w:type="dxa"/>
              <w:bottom w:w="52" w:type="dxa"/>
              <w:right w:w="70" w:type="dxa"/>
            </w:tcMar>
          </w:tcPr>
          <w:p w14:paraId="63BF356F" w14:textId="77777777" w:rsidR="00C45F2F" w:rsidRDefault="00000000">
            <w:pPr>
              <w:spacing w:line="200" w:lineRule="auto"/>
            </w:pPr>
            <w:r>
              <w:rPr>
                <w:b/>
                <w:bCs/>
                <w:caps/>
                <w:color w:val="FFFFFF"/>
                <w:spacing w:val="8"/>
                <w:sz w:val="15"/>
                <w:szCs w:val="15"/>
              </w:rPr>
              <w:t>Intervention</w:t>
            </w:r>
          </w:p>
        </w:tc>
        <w:tc>
          <w:tcPr>
            <w:tcW w:w="1430" w:type="dxa"/>
            <w:tcBorders>
              <w:top w:val="none" w:sz="0" w:space="0" w:color="FFFFFF"/>
              <w:left w:val="none" w:sz="0" w:space="0" w:color="FFFFFF"/>
              <w:bottom w:val="none" w:sz="0" w:space="0" w:color="FFFFFF"/>
              <w:right w:val="none" w:sz="0" w:space="0" w:color="FFFFFF"/>
            </w:tcBorders>
            <w:shd w:val="clear" w:color="auto" w:fill="1C3F5F"/>
            <w:tcMar>
              <w:top w:w="52" w:type="dxa"/>
              <w:left w:w="90" w:type="dxa"/>
              <w:bottom w:w="52" w:type="dxa"/>
              <w:right w:w="70" w:type="dxa"/>
            </w:tcMar>
          </w:tcPr>
          <w:p w14:paraId="3971DD88" w14:textId="77777777" w:rsidR="00C45F2F" w:rsidRDefault="00000000">
            <w:pPr>
              <w:spacing w:line="200" w:lineRule="auto"/>
              <w:jc w:val="center"/>
            </w:pPr>
            <w:r>
              <w:rPr>
                <w:b/>
                <w:bCs/>
                <w:caps/>
                <w:color w:val="FFFFFF"/>
                <w:spacing w:val="8"/>
                <w:sz w:val="15"/>
                <w:szCs w:val="15"/>
              </w:rPr>
              <w:t>Indic. capex</w:t>
            </w:r>
          </w:p>
        </w:tc>
        <w:tc>
          <w:tcPr>
            <w:tcW w:w="1330" w:type="dxa"/>
            <w:tcBorders>
              <w:top w:val="none" w:sz="0" w:space="0" w:color="FFFFFF"/>
              <w:left w:val="none" w:sz="0" w:space="0" w:color="FFFFFF"/>
              <w:bottom w:val="none" w:sz="0" w:space="0" w:color="FFFFFF"/>
              <w:right w:val="none" w:sz="0" w:space="0" w:color="FFFFFF"/>
            </w:tcBorders>
            <w:shd w:val="clear" w:color="auto" w:fill="1C3F5F"/>
            <w:tcMar>
              <w:top w:w="52" w:type="dxa"/>
              <w:left w:w="90" w:type="dxa"/>
              <w:bottom w:w="52" w:type="dxa"/>
              <w:right w:w="70" w:type="dxa"/>
            </w:tcMar>
          </w:tcPr>
          <w:p w14:paraId="604C8E0F" w14:textId="77777777" w:rsidR="00C45F2F" w:rsidRDefault="00000000">
            <w:pPr>
              <w:spacing w:line="200" w:lineRule="auto"/>
              <w:jc w:val="center"/>
            </w:pPr>
            <w:r>
              <w:rPr>
                <w:b/>
                <w:bCs/>
                <w:caps/>
                <w:color w:val="FFFFFF"/>
                <w:spacing w:val="8"/>
                <w:sz w:val="15"/>
                <w:szCs w:val="15"/>
              </w:rPr>
              <w:t>Horizon</w:t>
            </w:r>
          </w:p>
        </w:tc>
        <w:tc>
          <w:tcPr>
            <w:tcW w:w="2668" w:type="dxa"/>
            <w:tcBorders>
              <w:top w:val="none" w:sz="0" w:space="0" w:color="FFFFFF"/>
              <w:left w:val="none" w:sz="0" w:space="0" w:color="FFFFFF"/>
              <w:bottom w:val="none" w:sz="0" w:space="0" w:color="FFFFFF"/>
              <w:right w:val="none" w:sz="0" w:space="0" w:color="FFFFFF"/>
            </w:tcBorders>
            <w:shd w:val="clear" w:color="auto" w:fill="1C3F5F"/>
            <w:tcMar>
              <w:top w:w="52" w:type="dxa"/>
              <w:left w:w="90" w:type="dxa"/>
              <w:bottom w:w="52" w:type="dxa"/>
              <w:right w:w="70" w:type="dxa"/>
            </w:tcMar>
          </w:tcPr>
          <w:p w14:paraId="73F2C59D" w14:textId="77777777" w:rsidR="00C45F2F" w:rsidRDefault="00000000">
            <w:pPr>
              <w:spacing w:line="200" w:lineRule="auto"/>
            </w:pPr>
            <w:r>
              <w:rPr>
                <w:b/>
                <w:bCs/>
                <w:caps/>
                <w:color w:val="FFFFFF"/>
                <w:spacing w:val="8"/>
                <w:sz w:val="15"/>
                <w:szCs w:val="15"/>
              </w:rPr>
              <w:t>ILF role</w:t>
            </w:r>
          </w:p>
        </w:tc>
      </w:tr>
      <w:tr w:rsidR="00C45F2F" w14:paraId="0E761974" w14:textId="77777777">
        <w:tc>
          <w:tcPr>
            <w:tcW w:w="1820" w:type="dxa"/>
            <w:tcBorders>
              <w:bottom w:val="single" w:sz="4" w:space="0" w:color="D9DEE3"/>
            </w:tcBorders>
            <w:shd w:val="clear" w:color="auto" w:fill="FFFFFF"/>
            <w:tcMar>
              <w:top w:w="44" w:type="dxa"/>
              <w:left w:w="90" w:type="dxa"/>
              <w:bottom w:w="44" w:type="dxa"/>
              <w:right w:w="70" w:type="dxa"/>
            </w:tcMar>
          </w:tcPr>
          <w:p w14:paraId="22F71365" w14:textId="77777777" w:rsidR="00C45F2F" w:rsidRDefault="00000000">
            <w:pPr>
              <w:spacing w:line="222" w:lineRule="auto"/>
            </w:pPr>
            <w:r>
              <w:rPr>
                <w:b/>
                <w:bCs/>
                <w:color w:val="1C3F5F"/>
                <w:sz w:val="15"/>
                <w:szCs w:val="15"/>
              </w:rPr>
              <w:t>Generation build-out</w:t>
            </w:r>
          </w:p>
        </w:tc>
        <w:tc>
          <w:tcPr>
            <w:tcW w:w="3120" w:type="dxa"/>
            <w:tcBorders>
              <w:bottom w:val="single" w:sz="4" w:space="0" w:color="D9DEE3"/>
            </w:tcBorders>
            <w:shd w:val="clear" w:color="auto" w:fill="FFFFFF"/>
            <w:tcMar>
              <w:top w:w="44" w:type="dxa"/>
              <w:left w:w="90" w:type="dxa"/>
              <w:bottom w:w="44" w:type="dxa"/>
              <w:right w:w="70" w:type="dxa"/>
            </w:tcMar>
          </w:tcPr>
          <w:p w14:paraId="7BAFD477" w14:textId="77777777" w:rsidR="00C45F2F" w:rsidRDefault="00000000">
            <w:pPr>
              <w:spacing w:line="222" w:lineRule="auto"/>
            </w:pPr>
            <w:r>
              <w:rPr>
                <w:sz w:val="15"/>
                <w:szCs w:val="15"/>
              </w:rPr>
              <w:t>≈25 GW new renewables to hit the Government target</w:t>
            </w:r>
          </w:p>
        </w:tc>
        <w:tc>
          <w:tcPr>
            <w:tcW w:w="1430" w:type="dxa"/>
            <w:tcBorders>
              <w:bottom w:val="single" w:sz="4" w:space="0" w:color="D9DEE3"/>
            </w:tcBorders>
            <w:shd w:val="clear" w:color="auto" w:fill="FFFFFF"/>
            <w:tcMar>
              <w:top w:w="44" w:type="dxa"/>
              <w:left w:w="90" w:type="dxa"/>
              <w:bottom w:w="44" w:type="dxa"/>
              <w:right w:w="70" w:type="dxa"/>
            </w:tcMar>
          </w:tcPr>
          <w:p w14:paraId="2376E413" w14:textId="77777777" w:rsidR="00C45F2F" w:rsidRDefault="00000000">
            <w:pPr>
              <w:spacing w:line="222" w:lineRule="auto"/>
              <w:jc w:val="center"/>
            </w:pPr>
            <w:r>
              <w:rPr>
                <w:b/>
                <w:bCs/>
                <w:color w:val="9C5430"/>
                <w:sz w:val="15"/>
                <w:szCs w:val="15"/>
              </w:rPr>
              <w:t>$28.4 bn</w:t>
            </w:r>
          </w:p>
        </w:tc>
        <w:tc>
          <w:tcPr>
            <w:tcW w:w="1330" w:type="dxa"/>
            <w:tcBorders>
              <w:bottom w:val="single" w:sz="4" w:space="0" w:color="D9DEE3"/>
            </w:tcBorders>
            <w:shd w:val="clear" w:color="auto" w:fill="FFFFFF"/>
            <w:tcMar>
              <w:top w:w="44" w:type="dxa"/>
              <w:left w:w="90" w:type="dxa"/>
              <w:bottom w:w="44" w:type="dxa"/>
              <w:right w:w="70" w:type="dxa"/>
            </w:tcMar>
          </w:tcPr>
          <w:p w14:paraId="231876B5" w14:textId="77777777" w:rsidR="00C45F2F" w:rsidRDefault="00000000">
            <w:pPr>
              <w:spacing w:line="222" w:lineRule="auto"/>
              <w:jc w:val="center"/>
            </w:pPr>
            <w:r>
              <w:rPr>
                <w:color w:val="5E6C77"/>
                <w:sz w:val="15"/>
                <w:szCs w:val="15"/>
              </w:rPr>
              <w:t>2024–30</w:t>
            </w:r>
          </w:p>
        </w:tc>
        <w:tc>
          <w:tcPr>
            <w:tcW w:w="2668" w:type="dxa"/>
            <w:tcBorders>
              <w:bottom w:val="single" w:sz="4" w:space="0" w:color="D9DEE3"/>
            </w:tcBorders>
            <w:shd w:val="clear" w:color="auto" w:fill="FFFFFF"/>
            <w:tcMar>
              <w:top w:w="44" w:type="dxa"/>
              <w:left w:w="90" w:type="dxa"/>
              <w:bottom w:w="44" w:type="dxa"/>
              <w:right w:w="70" w:type="dxa"/>
            </w:tcMar>
          </w:tcPr>
          <w:p w14:paraId="7C8ED45E" w14:textId="77777777" w:rsidR="00C45F2F" w:rsidRDefault="00000000">
            <w:pPr>
              <w:spacing w:line="222" w:lineRule="auto"/>
            </w:pPr>
            <w:r>
              <w:rPr>
                <w:sz w:val="15"/>
                <w:szCs w:val="15"/>
              </w:rPr>
              <w:t>Owner's engineer, due diligence, design</w:t>
            </w:r>
          </w:p>
        </w:tc>
      </w:tr>
      <w:tr w:rsidR="00C45F2F" w14:paraId="76F3FC16" w14:textId="77777777">
        <w:tc>
          <w:tcPr>
            <w:tcW w:w="1820" w:type="dxa"/>
            <w:tcBorders>
              <w:bottom w:val="single" w:sz="4" w:space="0" w:color="D9DEE3"/>
            </w:tcBorders>
            <w:shd w:val="clear" w:color="auto" w:fill="FAFBFC"/>
            <w:tcMar>
              <w:top w:w="44" w:type="dxa"/>
              <w:left w:w="90" w:type="dxa"/>
              <w:bottom w:w="44" w:type="dxa"/>
              <w:right w:w="70" w:type="dxa"/>
            </w:tcMar>
          </w:tcPr>
          <w:p w14:paraId="63BB41FE" w14:textId="77777777" w:rsidR="00C45F2F" w:rsidRDefault="00000000">
            <w:pPr>
              <w:spacing w:line="222" w:lineRule="auto"/>
            </w:pPr>
            <w:r>
              <w:rPr>
                <w:b/>
                <w:bCs/>
                <w:color w:val="1C3F5F"/>
                <w:sz w:val="15"/>
                <w:szCs w:val="15"/>
              </w:rPr>
              <w:t>Grid modernisation</w:t>
            </w:r>
          </w:p>
        </w:tc>
        <w:tc>
          <w:tcPr>
            <w:tcW w:w="3120" w:type="dxa"/>
            <w:tcBorders>
              <w:bottom w:val="single" w:sz="4" w:space="0" w:color="D9DEE3"/>
            </w:tcBorders>
            <w:shd w:val="clear" w:color="auto" w:fill="FAFBFC"/>
            <w:tcMar>
              <w:top w:w="44" w:type="dxa"/>
              <w:left w:w="90" w:type="dxa"/>
              <w:bottom w:w="44" w:type="dxa"/>
              <w:right w:w="70" w:type="dxa"/>
            </w:tcMar>
          </w:tcPr>
          <w:p w14:paraId="21DF98B9" w14:textId="77777777" w:rsidR="00C45F2F" w:rsidRDefault="00000000">
            <w:pPr>
              <w:spacing w:line="222" w:lineRule="auto"/>
            </w:pPr>
            <w:r>
              <w:rPr>
                <w:sz w:val="15"/>
                <w:szCs w:val="15"/>
              </w:rPr>
              <w:t>≈6,000 km HV + 1,450 km wind corridor; cut losses</w:t>
            </w:r>
          </w:p>
        </w:tc>
        <w:tc>
          <w:tcPr>
            <w:tcW w:w="1430" w:type="dxa"/>
            <w:tcBorders>
              <w:bottom w:val="single" w:sz="4" w:space="0" w:color="D9DEE3"/>
            </w:tcBorders>
            <w:shd w:val="clear" w:color="auto" w:fill="FAFBFC"/>
            <w:tcMar>
              <w:top w:w="44" w:type="dxa"/>
              <w:left w:w="90" w:type="dxa"/>
              <w:bottom w:w="44" w:type="dxa"/>
              <w:right w:w="70" w:type="dxa"/>
            </w:tcMar>
          </w:tcPr>
          <w:p w14:paraId="19F2B6D1" w14:textId="77777777" w:rsidR="00C45F2F" w:rsidRDefault="00000000">
            <w:pPr>
              <w:spacing w:line="222" w:lineRule="auto"/>
              <w:jc w:val="center"/>
            </w:pPr>
            <w:r>
              <w:rPr>
                <w:b/>
                <w:bCs/>
                <w:color w:val="9C5430"/>
                <w:sz w:val="15"/>
                <w:szCs w:val="15"/>
              </w:rPr>
              <w:t>$3.0 bn</w:t>
            </w:r>
          </w:p>
        </w:tc>
        <w:tc>
          <w:tcPr>
            <w:tcW w:w="1330" w:type="dxa"/>
            <w:tcBorders>
              <w:bottom w:val="single" w:sz="4" w:space="0" w:color="D9DEE3"/>
            </w:tcBorders>
            <w:shd w:val="clear" w:color="auto" w:fill="FAFBFC"/>
            <w:tcMar>
              <w:top w:w="44" w:type="dxa"/>
              <w:left w:w="90" w:type="dxa"/>
              <w:bottom w:w="44" w:type="dxa"/>
              <w:right w:w="70" w:type="dxa"/>
            </w:tcMar>
          </w:tcPr>
          <w:p w14:paraId="0F5C3FF4" w14:textId="77777777" w:rsidR="00C45F2F" w:rsidRDefault="00000000">
            <w:pPr>
              <w:spacing w:line="222" w:lineRule="auto"/>
              <w:jc w:val="center"/>
            </w:pPr>
            <w:r>
              <w:rPr>
                <w:color w:val="5E6C77"/>
                <w:sz w:val="15"/>
                <w:szCs w:val="15"/>
              </w:rPr>
              <w:t>Continuous</w:t>
            </w:r>
          </w:p>
        </w:tc>
        <w:tc>
          <w:tcPr>
            <w:tcW w:w="2668" w:type="dxa"/>
            <w:tcBorders>
              <w:bottom w:val="single" w:sz="4" w:space="0" w:color="D9DEE3"/>
            </w:tcBorders>
            <w:shd w:val="clear" w:color="auto" w:fill="FAFBFC"/>
            <w:tcMar>
              <w:top w:w="44" w:type="dxa"/>
              <w:left w:w="90" w:type="dxa"/>
              <w:bottom w:w="44" w:type="dxa"/>
              <w:right w:w="70" w:type="dxa"/>
            </w:tcMar>
          </w:tcPr>
          <w:p w14:paraId="610E26D1" w14:textId="77777777" w:rsidR="00C45F2F" w:rsidRDefault="00000000">
            <w:pPr>
              <w:spacing w:line="222" w:lineRule="auto"/>
            </w:pPr>
            <w:r>
              <w:rPr>
                <w:sz w:val="15"/>
                <w:szCs w:val="15"/>
              </w:rPr>
              <w:t>Network planning, substation design</w:t>
            </w:r>
          </w:p>
        </w:tc>
      </w:tr>
      <w:tr w:rsidR="00C45F2F" w14:paraId="658DC88B" w14:textId="77777777">
        <w:tc>
          <w:tcPr>
            <w:tcW w:w="1820" w:type="dxa"/>
            <w:tcBorders>
              <w:bottom w:val="single" w:sz="4" w:space="0" w:color="D9DEE3"/>
            </w:tcBorders>
            <w:shd w:val="clear" w:color="auto" w:fill="FFFFFF"/>
            <w:tcMar>
              <w:top w:w="44" w:type="dxa"/>
              <w:left w:w="90" w:type="dxa"/>
              <w:bottom w:w="44" w:type="dxa"/>
              <w:right w:w="70" w:type="dxa"/>
            </w:tcMar>
          </w:tcPr>
          <w:p w14:paraId="091AC1DF" w14:textId="77777777" w:rsidR="00C45F2F" w:rsidRDefault="00000000">
            <w:pPr>
              <w:spacing w:line="222" w:lineRule="auto"/>
            </w:pPr>
            <w:r>
              <w:rPr>
                <w:b/>
                <w:bCs/>
                <w:color w:val="1C3F5F"/>
                <w:sz w:val="15"/>
                <w:szCs w:val="15"/>
              </w:rPr>
              <w:t>Renewable integration</w:t>
            </w:r>
          </w:p>
        </w:tc>
        <w:tc>
          <w:tcPr>
            <w:tcW w:w="3120" w:type="dxa"/>
            <w:tcBorders>
              <w:bottom w:val="single" w:sz="4" w:space="0" w:color="D9DEE3"/>
            </w:tcBorders>
            <w:shd w:val="clear" w:color="auto" w:fill="FFFFFF"/>
            <w:tcMar>
              <w:top w:w="44" w:type="dxa"/>
              <w:left w:w="90" w:type="dxa"/>
              <w:bottom w:w="44" w:type="dxa"/>
              <w:right w:w="70" w:type="dxa"/>
            </w:tcMar>
          </w:tcPr>
          <w:p w14:paraId="628C2E73" w14:textId="77777777" w:rsidR="00C45F2F" w:rsidRDefault="00000000">
            <w:pPr>
              <w:spacing w:line="222" w:lineRule="auto"/>
            </w:pPr>
            <w:r>
              <w:rPr>
                <w:sz w:val="15"/>
                <w:szCs w:val="15"/>
              </w:rPr>
              <w:t>≈5 GWh battery storage for ≥40 % renewables</w:t>
            </w:r>
          </w:p>
        </w:tc>
        <w:tc>
          <w:tcPr>
            <w:tcW w:w="1430" w:type="dxa"/>
            <w:tcBorders>
              <w:bottom w:val="single" w:sz="4" w:space="0" w:color="D9DEE3"/>
            </w:tcBorders>
            <w:shd w:val="clear" w:color="auto" w:fill="FFFFFF"/>
            <w:tcMar>
              <w:top w:w="44" w:type="dxa"/>
              <w:left w:w="90" w:type="dxa"/>
              <w:bottom w:w="44" w:type="dxa"/>
              <w:right w:w="70" w:type="dxa"/>
            </w:tcMar>
          </w:tcPr>
          <w:p w14:paraId="36DED296" w14:textId="77777777" w:rsidR="00C45F2F" w:rsidRDefault="00000000">
            <w:pPr>
              <w:spacing w:line="222" w:lineRule="auto"/>
              <w:jc w:val="center"/>
            </w:pPr>
            <w:r>
              <w:rPr>
                <w:b/>
                <w:bCs/>
                <w:color w:val="9C5430"/>
                <w:sz w:val="15"/>
                <w:szCs w:val="15"/>
              </w:rPr>
              <w:t>$2.0 bn</w:t>
            </w:r>
          </w:p>
        </w:tc>
        <w:tc>
          <w:tcPr>
            <w:tcW w:w="1330" w:type="dxa"/>
            <w:tcBorders>
              <w:bottom w:val="single" w:sz="4" w:space="0" w:color="D9DEE3"/>
            </w:tcBorders>
            <w:shd w:val="clear" w:color="auto" w:fill="FFFFFF"/>
            <w:tcMar>
              <w:top w:w="44" w:type="dxa"/>
              <w:left w:w="90" w:type="dxa"/>
              <w:bottom w:w="44" w:type="dxa"/>
              <w:right w:w="70" w:type="dxa"/>
            </w:tcMar>
          </w:tcPr>
          <w:p w14:paraId="1D41920C" w14:textId="77777777" w:rsidR="00C45F2F" w:rsidRDefault="00000000">
            <w:pPr>
              <w:spacing w:line="222" w:lineRule="auto"/>
              <w:jc w:val="center"/>
            </w:pPr>
            <w:r>
              <w:rPr>
                <w:color w:val="5E6C77"/>
                <w:sz w:val="15"/>
                <w:szCs w:val="15"/>
              </w:rPr>
              <w:t>2025–30</w:t>
            </w:r>
          </w:p>
        </w:tc>
        <w:tc>
          <w:tcPr>
            <w:tcW w:w="2668" w:type="dxa"/>
            <w:tcBorders>
              <w:bottom w:val="single" w:sz="4" w:space="0" w:color="D9DEE3"/>
            </w:tcBorders>
            <w:shd w:val="clear" w:color="auto" w:fill="FFFFFF"/>
            <w:tcMar>
              <w:top w:w="44" w:type="dxa"/>
              <w:left w:w="90" w:type="dxa"/>
              <w:bottom w:w="44" w:type="dxa"/>
              <w:right w:w="70" w:type="dxa"/>
            </w:tcMar>
          </w:tcPr>
          <w:p w14:paraId="778C89C2" w14:textId="77777777" w:rsidR="00C45F2F" w:rsidRDefault="00000000">
            <w:pPr>
              <w:spacing w:line="222" w:lineRule="auto"/>
            </w:pPr>
            <w:r>
              <w:rPr>
                <w:sz w:val="15"/>
                <w:szCs w:val="15"/>
              </w:rPr>
              <w:t>BESS sizing, grid-code compliance</w:t>
            </w:r>
          </w:p>
        </w:tc>
      </w:tr>
      <w:tr w:rsidR="00C45F2F" w14:paraId="35571BF2" w14:textId="77777777">
        <w:tc>
          <w:tcPr>
            <w:tcW w:w="1820" w:type="dxa"/>
            <w:tcBorders>
              <w:bottom w:val="single" w:sz="4" w:space="0" w:color="D9DEE3"/>
            </w:tcBorders>
            <w:shd w:val="clear" w:color="auto" w:fill="FAFBFC"/>
            <w:tcMar>
              <w:top w:w="44" w:type="dxa"/>
              <w:left w:w="90" w:type="dxa"/>
              <w:bottom w:w="44" w:type="dxa"/>
              <w:right w:w="70" w:type="dxa"/>
            </w:tcMar>
          </w:tcPr>
          <w:p w14:paraId="0B535A16" w14:textId="77777777" w:rsidR="00C45F2F" w:rsidRDefault="00000000">
            <w:pPr>
              <w:spacing w:line="222" w:lineRule="auto"/>
            </w:pPr>
            <w:r>
              <w:rPr>
                <w:b/>
                <w:bCs/>
                <w:color w:val="1C3F5F"/>
                <w:sz w:val="15"/>
                <w:szCs w:val="15"/>
              </w:rPr>
              <w:t>Energy efficiency</w:t>
            </w:r>
          </w:p>
        </w:tc>
        <w:tc>
          <w:tcPr>
            <w:tcW w:w="3120" w:type="dxa"/>
            <w:tcBorders>
              <w:bottom w:val="single" w:sz="4" w:space="0" w:color="D9DEE3"/>
            </w:tcBorders>
            <w:shd w:val="clear" w:color="auto" w:fill="FAFBFC"/>
            <w:tcMar>
              <w:top w:w="44" w:type="dxa"/>
              <w:left w:w="90" w:type="dxa"/>
              <w:bottom w:w="44" w:type="dxa"/>
              <w:right w:w="70" w:type="dxa"/>
            </w:tcMar>
          </w:tcPr>
          <w:p w14:paraId="17B3AC73" w14:textId="77777777" w:rsidR="00C45F2F" w:rsidRDefault="00000000">
            <w:pPr>
              <w:spacing w:line="222" w:lineRule="auto"/>
            </w:pPr>
            <w:r>
              <w:rPr>
                <w:sz w:val="15"/>
                <w:szCs w:val="15"/>
              </w:rPr>
              <w:t>Tariff reform + demand-side efficiency (NEEA)</w:t>
            </w:r>
          </w:p>
        </w:tc>
        <w:tc>
          <w:tcPr>
            <w:tcW w:w="1430" w:type="dxa"/>
            <w:tcBorders>
              <w:bottom w:val="single" w:sz="4" w:space="0" w:color="D9DEE3"/>
            </w:tcBorders>
            <w:shd w:val="clear" w:color="auto" w:fill="FAFBFC"/>
            <w:tcMar>
              <w:top w:w="44" w:type="dxa"/>
              <w:left w:w="90" w:type="dxa"/>
              <w:bottom w:w="44" w:type="dxa"/>
              <w:right w:w="70" w:type="dxa"/>
            </w:tcMar>
          </w:tcPr>
          <w:p w14:paraId="62EB82EE" w14:textId="77777777" w:rsidR="00C45F2F" w:rsidRDefault="00000000">
            <w:pPr>
              <w:spacing w:line="222" w:lineRule="auto"/>
              <w:jc w:val="center"/>
            </w:pPr>
            <w:r>
              <w:rPr>
                <w:b/>
                <w:bCs/>
                <w:color w:val="9C5430"/>
                <w:sz w:val="15"/>
                <w:szCs w:val="15"/>
              </w:rPr>
              <w:t>$1.5 bn</w:t>
            </w:r>
          </w:p>
        </w:tc>
        <w:tc>
          <w:tcPr>
            <w:tcW w:w="1330" w:type="dxa"/>
            <w:tcBorders>
              <w:bottom w:val="single" w:sz="4" w:space="0" w:color="D9DEE3"/>
            </w:tcBorders>
            <w:shd w:val="clear" w:color="auto" w:fill="FAFBFC"/>
            <w:tcMar>
              <w:top w:w="44" w:type="dxa"/>
              <w:left w:w="90" w:type="dxa"/>
              <w:bottom w:w="44" w:type="dxa"/>
              <w:right w:w="70" w:type="dxa"/>
            </w:tcMar>
          </w:tcPr>
          <w:p w14:paraId="000AC56C" w14:textId="77777777" w:rsidR="00C45F2F" w:rsidRDefault="00000000">
            <w:pPr>
              <w:spacing w:line="222" w:lineRule="auto"/>
              <w:jc w:val="center"/>
            </w:pPr>
            <w:r>
              <w:rPr>
                <w:color w:val="5E6C77"/>
                <w:sz w:val="15"/>
                <w:szCs w:val="15"/>
              </w:rPr>
              <w:t>2024–30</w:t>
            </w:r>
          </w:p>
        </w:tc>
        <w:tc>
          <w:tcPr>
            <w:tcW w:w="2668" w:type="dxa"/>
            <w:tcBorders>
              <w:bottom w:val="single" w:sz="4" w:space="0" w:color="D9DEE3"/>
            </w:tcBorders>
            <w:shd w:val="clear" w:color="auto" w:fill="FAFBFC"/>
            <w:tcMar>
              <w:top w:w="44" w:type="dxa"/>
              <w:left w:w="90" w:type="dxa"/>
              <w:bottom w:w="44" w:type="dxa"/>
              <w:right w:w="70" w:type="dxa"/>
            </w:tcMar>
          </w:tcPr>
          <w:p w14:paraId="3844755C" w14:textId="77777777" w:rsidR="00C45F2F" w:rsidRDefault="00000000">
            <w:pPr>
              <w:spacing w:line="222" w:lineRule="auto"/>
            </w:pPr>
            <w:r>
              <w:rPr>
                <w:sz w:val="15"/>
                <w:szCs w:val="15"/>
              </w:rPr>
              <w:t>Auditing, M&amp;V, EPC support</w:t>
            </w:r>
          </w:p>
        </w:tc>
      </w:tr>
      <w:tr w:rsidR="00C45F2F" w14:paraId="044F429F" w14:textId="77777777">
        <w:tc>
          <w:tcPr>
            <w:tcW w:w="1820" w:type="dxa"/>
            <w:tcBorders>
              <w:bottom w:val="single" w:sz="4" w:space="0" w:color="D9DEE3"/>
            </w:tcBorders>
            <w:shd w:val="clear" w:color="auto" w:fill="FFFFFF"/>
            <w:tcMar>
              <w:top w:w="44" w:type="dxa"/>
              <w:left w:w="90" w:type="dxa"/>
              <w:bottom w:w="44" w:type="dxa"/>
              <w:right w:w="70" w:type="dxa"/>
            </w:tcMar>
          </w:tcPr>
          <w:p w14:paraId="69D7EC00" w14:textId="77777777" w:rsidR="00C45F2F" w:rsidRDefault="00000000">
            <w:pPr>
              <w:spacing w:line="222" w:lineRule="auto"/>
            </w:pPr>
            <w:r>
              <w:rPr>
                <w:b/>
                <w:bCs/>
                <w:color w:val="1C3F5F"/>
                <w:sz w:val="15"/>
                <w:szCs w:val="15"/>
              </w:rPr>
              <w:t>PPP / IFI advisory</w:t>
            </w:r>
          </w:p>
        </w:tc>
        <w:tc>
          <w:tcPr>
            <w:tcW w:w="3120" w:type="dxa"/>
            <w:tcBorders>
              <w:bottom w:val="single" w:sz="4" w:space="0" w:color="D9DEE3"/>
            </w:tcBorders>
            <w:shd w:val="clear" w:color="auto" w:fill="FFFFFF"/>
            <w:tcMar>
              <w:top w:w="44" w:type="dxa"/>
              <w:left w:w="90" w:type="dxa"/>
              <w:bottom w:w="44" w:type="dxa"/>
              <w:right w:w="70" w:type="dxa"/>
            </w:tcMar>
          </w:tcPr>
          <w:p w14:paraId="1B85BB15" w14:textId="77777777" w:rsidR="00C45F2F" w:rsidRDefault="00000000">
            <w:pPr>
              <w:spacing w:line="222" w:lineRule="auto"/>
            </w:pPr>
            <w:r>
              <w:rPr>
                <w:sz w:val="15"/>
                <w:szCs w:val="15"/>
              </w:rPr>
              <w:t>EBRD / ADB / IFC pipeline (ACWA, Masdar, EDF)</w:t>
            </w:r>
          </w:p>
        </w:tc>
        <w:tc>
          <w:tcPr>
            <w:tcW w:w="1430" w:type="dxa"/>
            <w:tcBorders>
              <w:bottom w:val="single" w:sz="4" w:space="0" w:color="D9DEE3"/>
            </w:tcBorders>
            <w:shd w:val="clear" w:color="auto" w:fill="FFFFFF"/>
            <w:tcMar>
              <w:top w:w="44" w:type="dxa"/>
              <w:left w:w="90" w:type="dxa"/>
              <w:bottom w:w="44" w:type="dxa"/>
              <w:right w:w="70" w:type="dxa"/>
            </w:tcMar>
          </w:tcPr>
          <w:p w14:paraId="7466CA80" w14:textId="77777777" w:rsidR="00C45F2F" w:rsidRDefault="00000000">
            <w:pPr>
              <w:spacing w:line="222" w:lineRule="auto"/>
              <w:jc w:val="center"/>
            </w:pPr>
            <w:r>
              <w:rPr>
                <w:b/>
                <w:bCs/>
                <w:color w:val="9C5430"/>
                <w:sz w:val="15"/>
                <w:szCs w:val="15"/>
              </w:rPr>
              <w:t>Fee-based</w:t>
            </w:r>
          </w:p>
        </w:tc>
        <w:tc>
          <w:tcPr>
            <w:tcW w:w="1330" w:type="dxa"/>
            <w:tcBorders>
              <w:bottom w:val="single" w:sz="4" w:space="0" w:color="D9DEE3"/>
            </w:tcBorders>
            <w:shd w:val="clear" w:color="auto" w:fill="FFFFFF"/>
            <w:tcMar>
              <w:top w:w="44" w:type="dxa"/>
              <w:left w:w="90" w:type="dxa"/>
              <w:bottom w:w="44" w:type="dxa"/>
              <w:right w:w="70" w:type="dxa"/>
            </w:tcMar>
          </w:tcPr>
          <w:p w14:paraId="26738158" w14:textId="77777777" w:rsidR="00C45F2F" w:rsidRDefault="00000000">
            <w:pPr>
              <w:spacing w:line="222" w:lineRule="auto"/>
              <w:jc w:val="center"/>
            </w:pPr>
            <w:r>
              <w:rPr>
                <w:color w:val="5E6C77"/>
                <w:sz w:val="15"/>
                <w:szCs w:val="15"/>
              </w:rPr>
              <w:t>Continuous</w:t>
            </w:r>
          </w:p>
        </w:tc>
        <w:tc>
          <w:tcPr>
            <w:tcW w:w="2668" w:type="dxa"/>
            <w:tcBorders>
              <w:bottom w:val="single" w:sz="4" w:space="0" w:color="D9DEE3"/>
            </w:tcBorders>
            <w:shd w:val="clear" w:color="auto" w:fill="FFFFFF"/>
            <w:tcMar>
              <w:top w:w="44" w:type="dxa"/>
              <w:left w:w="90" w:type="dxa"/>
              <w:bottom w:w="44" w:type="dxa"/>
              <w:right w:w="70" w:type="dxa"/>
            </w:tcMar>
          </w:tcPr>
          <w:p w14:paraId="3835D593" w14:textId="77777777" w:rsidR="00C45F2F" w:rsidRDefault="00000000">
            <w:pPr>
              <w:spacing w:line="222" w:lineRule="auto"/>
            </w:pPr>
            <w:r>
              <w:rPr>
                <w:sz w:val="15"/>
                <w:szCs w:val="15"/>
              </w:rPr>
              <w:t>Lender's engineer, transaction advisory</w:t>
            </w:r>
          </w:p>
        </w:tc>
      </w:tr>
    </w:tbl>
    <w:p w14:paraId="6FBB758C" w14:textId="77777777" w:rsidR="00C45F2F" w:rsidRDefault="00000000">
      <w:pPr>
        <w:spacing w:before="60" w:line="210" w:lineRule="auto"/>
      </w:pPr>
      <w:r>
        <w:rPr>
          <w:i/>
          <w:iCs/>
          <w:color w:val="5E6C77"/>
          <w:sz w:val="15"/>
          <w:szCs w:val="15"/>
        </w:rPr>
        <w:t>Priorities and indicative capex from the advisory map in notebook 08.</w:t>
      </w:r>
    </w:p>
    <w:p w14:paraId="05996703" w14:textId="77777777" w:rsidR="00C45F2F" w:rsidRDefault="00C45F2F">
      <w:pPr>
        <w:spacing w:after="40" w:line="240" w:lineRule="auto"/>
      </w:pPr>
    </w:p>
    <w:tbl>
      <w:tblPr>
        <w:tblW w:w="1036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960"/>
        <w:gridCol w:w="5408"/>
      </w:tblGrid>
      <w:tr w:rsidR="00C45F2F" w14:paraId="6B7DAAAC" w14:textId="77777777">
        <w:tc>
          <w:tcPr>
            <w:tcW w:w="4960" w:type="dxa"/>
            <w:tcBorders>
              <w:left w:val="single" w:sz="22" w:space="0" w:color="2E5E86"/>
            </w:tcBorders>
            <w:shd w:val="clear" w:color="auto" w:fill="ECF1F5"/>
            <w:tcMar>
              <w:top w:w="90" w:type="dxa"/>
              <w:left w:w="150" w:type="dxa"/>
              <w:bottom w:w="80" w:type="dxa"/>
              <w:right w:w="140" w:type="dxa"/>
            </w:tcMar>
          </w:tcPr>
          <w:p w14:paraId="691187D3" w14:textId="77777777" w:rsidR="00C45F2F" w:rsidRDefault="00000000">
            <w:pPr>
              <w:spacing w:after="40"/>
            </w:pPr>
            <w:r>
              <w:rPr>
                <w:b/>
                <w:bCs/>
                <w:caps/>
                <w:color w:val="BD6B3E"/>
                <w:spacing w:val="22"/>
                <w:sz w:val="17"/>
                <w:szCs w:val="17"/>
              </w:rPr>
              <w:t>Plan B — the nuclear hedge</w:t>
            </w:r>
          </w:p>
          <w:p w14:paraId="60948A29" w14:textId="77777777" w:rsidR="00C45F2F" w:rsidRDefault="00000000">
            <w:pPr>
              <w:spacing w:after="6" w:line="220" w:lineRule="auto"/>
            </w:pPr>
            <w:r>
              <w:rPr>
                <w:b/>
                <w:bCs/>
                <w:color w:val="0E2436"/>
                <w:sz w:val="34"/>
                <w:szCs w:val="34"/>
              </w:rPr>
              <w:t xml:space="preserve">≈ 73 % </w:t>
            </w:r>
            <w:r>
              <w:rPr>
                <w:b/>
                <w:bCs/>
                <w:color w:val="1C3F5F"/>
              </w:rPr>
              <w:t>zero-carbon by 2040</w:t>
            </w:r>
          </w:p>
          <w:p w14:paraId="3D851EF0" w14:textId="77777777" w:rsidR="00C45F2F" w:rsidRDefault="00000000">
            <w:pPr>
              <w:spacing w:after="60" w:line="220" w:lineRule="auto"/>
            </w:pPr>
            <w:r>
              <w:rPr>
                <w:color w:val="5E6C77"/>
                <w:sz w:val="17"/>
                <w:szCs w:val="17"/>
              </w:rPr>
              <w:t>in the Government scenario, once ~2.4 GW of nuclear is added.</w:t>
            </w:r>
          </w:p>
          <w:p w14:paraId="3700A113" w14:textId="77777777" w:rsidR="00C45F2F" w:rsidRDefault="00000000">
            <w:pPr>
              <w:spacing w:line="246" w:lineRule="auto"/>
            </w:pPr>
            <w:r>
              <w:rPr>
                <w:sz w:val="17"/>
                <w:szCs w:val="17"/>
              </w:rPr>
              <w:t>Outside the three core scenarios, the Jizzakh project — a large light-water reactor plus RITM-200N small modular units, the first nuclear plant in Central Asia — would add firm, low-carbon baseload. Modelled at 1.2–3.6 GW, it lifts the Government scenario's 2040 clean share from 60 % toward 80 % — a hedge whose value rises precisely if renewable build-out underperforms.</w:t>
            </w:r>
          </w:p>
          <w:p w14:paraId="2E301F1C" w14:textId="77777777" w:rsidR="00C45F2F" w:rsidRDefault="00000000">
            <w:pPr>
              <w:spacing w:before="30"/>
            </w:pPr>
            <w:r>
              <w:rPr>
                <w:i/>
                <w:iCs/>
                <w:color w:val="5E6C77"/>
                <w:sz w:val="15"/>
                <w:szCs w:val="15"/>
              </w:rPr>
              <w:t>Source: notebook 08, Plan B nuclear sensitivity.</w:t>
            </w:r>
          </w:p>
        </w:tc>
        <w:tc>
          <w:tcPr>
            <w:tcW w:w="5408" w:type="dxa"/>
            <w:tcBorders>
              <w:top w:val="none" w:sz="0" w:space="0" w:color="FFFFFF"/>
              <w:left w:val="none" w:sz="0" w:space="0" w:color="FFFFFF"/>
              <w:bottom w:val="none" w:sz="0" w:space="0" w:color="FFFFFF"/>
              <w:right w:val="none" w:sz="0" w:space="0" w:color="FFFFFF"/>
            </w:tcBorders>
            <w:shd w:val="clear" w:color="auto" w:fill="F1EEE9"/>
            <w:tcMar>
              <w:top w:w="90" w:type="dxa"/>
              <w:left w:w="150" w:type="dxa"/>
              <w:bottom w:w="80" w:type="dxa"/>
              <w:right w:w="150" w:type="dxa"/>
            </w:tcMar>
          </w:tcPr>
          <w:p w14:paraId="07263A69" w14:textId="77777777" w:rsidR="00C45F2F" w:rsidRDefault="00000000">
            <w:pPr>
              <w:spacing w:after="32"/>
            </w:pPr>
            <w:r>
              <w:rPr>
                <w:b/>
                <w:bCs/>
                <w:caps/>
                <w:color w:val="BD6B3E"/>
                <w:spacing w:val="22"/>
                <w:sz w:val="17"/>
                <w:szCs w:val="17"/>
              </w:rPr>
              <w:t>Methodology</w:t>
            </w:r>
          </w:p>
          <w:p w14:paraId="609B7B53" w14:textId="77777777" w:rsidR="00C45F2F" w:rsidRDefault="00000000">
            <w:pPr>
              <w:spacing w:after="72" w:line="238" w:lineRule="auto"/>
            </w:pPr>
            <w:r>
              <w:rPr>
                <w:sz w:val="16"/>
                <w:szCs w:val="16"/>
              </w:rPr>
              <w:t>Demand is modelled with statistical baselines (OLS, ARIMA) and machine-learning regressors (Ridge, Lasso, gradient boosting); the Ridge model reached ~3 % MAPE. The forecast fan comes from bootstrapped residuals; scenarios use the central demand path. Drivers — GDP, population, industrial output, gas and hydro availability — were established by exploratory analysis in notebooks 02–06; forecasts and signals in notebooks 07–08.</w:t>
            </w:r>
          </w:p>
          <w:p w14:paraId="47D70D4C" w14:textId="77777777" w:rsidR="00C45F2F" w:rsidRDefault="00000000">
            <w:pPr>
              <w:spacing w:after="20"/>
            </w:pPr>
            <w:r>
              <w:rPr>
                <w:b/>
                <w:bCs/>
                <w:color w:val="0E2436"/>
                <w:sz w:val="16"/>
                <w:szCs w:val="16"/>
              </w:rPr>
              <w:t>AI declaration</w:t>
            </w:r>
          </w:p>
          <w:p w14:paraId="2025F6E6" w14:textId="77777777" w:rsidR="00C45F2F" w:rsidRDefault="00000000">
            <w:pPr>
              <w:spacing w:line="238" w:lineRule="auto"/>
            </w:pPr>
            <w:r>
              <w:rPr>
                <w:i/>
                <w:iCs/>
                <w:sz w:val="16"/>
                <w:szCs w:val="16"/>
              </w:rPr>
              <w:t>This executive summary was prepared with generative-AI assistance (Anthropic Claude, via Claude Code) for prose drafting, chart styling and document typesetting. All data, modelling, analysis and conclusions are the author's own and were verified against the source notebooks.</w:t>
            </w:r>
          </w:p>
        </w:tc>
      </w:tr>
    </w:tbl>
    <w:p w14:paraId="4F096F83" w14:textId="77777777" w:rsidR="00C45F2F" w:rsidRDefault="00000000">
      <w:pPr>
        <w:pBdr>
          <w:top w:val="single" w:sz="6" w:space="0" w:color="D9DEE3"/>
        </w:pBdr>
        <w:spacing w:before="24" w:line="210" w:lineRule="auto"/>
        <w:jc w:val="center"/>
      </w:pPr>
      <w:r>
        <w:rPr>
          <w:b/>
          <w:bCs/>
          <w:color w:val="1C3F5F"/>
          <w:sz w:val="15"/>
          <w:szCs w:val="15"/>
        </w:rPr>
        <w:t>Uzbekistan's Power Sector to 2040</w:t>
      </w:r>
      <w:r>
        <w:rPr>
          <w:color w:val="5E6C77"/>
          <w:sz w:val="15"/>
          <w:szCs w:val="15"/>
        </w:rPr>
        <w:t xml:space="preserve">   ·   Executive summary   ·   Farangiz Jurakhonova   ·   MSc Business Analytics, Central European University   ·   for ILF Consulting Engineers Austria   ·   June 2026</w:t>
      </w:r>
    </w:p>
    <w:sectPr w:rsidR="00C45F2F">
      <w:pgSz w:w="12240" w:h="15840"/>
      <w:pgMar w:top="864" w:right="936" w:bottom="712" w:left="93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4C0D"/>
    <w:multiLevelType w:val="hybridMultilevel"/>
    <w:tmpl w:val="B8DC73AE"/>
    <w:lvl w:ilvl="0" w:tplc="6B82D2C4">
      <w:start w:val="1"/>
      <w:numFmt w:val="bullet"/>
      <w:lvlText w:val="●"/>
      <w:lvlJc w:val="left"/>
      <w:pPr>
        <w:ind w:left="720" w:hanging="360"/>
      </w:pPr>
    </w:lvl>
    <w:lvl w:ilvl="1" w:tplc="31C4B072">
      <w:start w:val="1"/>
      <w:numFmt w:val="bullet"/>
      <w:lvlText w:val="○"/>
      <w:lvlJc w:val="left"/>
      <w:pPr>
        <w:ind w:left="1440" w:hanging="360"/>
      </w:pPr>
    </w:lvl>
    <w:lvl w:ilvl="2" w:tplc="99722AE8">
      <w:start w:val="1"/>
      <w:numFmt w:val="bullet"/>
      <w:lvlText w:val="■"/>
      <w:lvlJc w:val="left"/>
      <w:pPr>
        <w:ind w:left="2160" w:hanging="360"/>
      </w:pPr>
    </w:lvl>
    <w:lvl w:ilvl="3" w:tplc="5338FE8E">
      <w:start w:val="1"/>
      <w:numFmt w:val="bullet"/>
      <w:lvlText w:val="●"/>
      <w:lvlJc w:val="left"/>
      <w:pPr>
        <w:ind w:left="2880" w:hanging="360"/>
      </w:pPr>
    </w:lvl>
    <w:lvl w:ilvl="4" w:tplc="55BC8D96">
      <w:start w:val="1"/>
      <w:numFmt w:val="bullet"/>
      <w:lvlText w:val="○"/>
      <w:lvlJc w:val="left"/>
      <w:pPr>
        <w:ind w:left="3600" w:hanging="360"/>
      </w:pPr>
    </w:lvl>
    <w:lvl w:ilvl="5" w:tplc="1E5C023E">
      <w:start w:val="1"/>
      <w:numFmt w:val="bullet"/>
      <w:lvlText w:val="■"/>
      <w:lvlJc w:val="left"/>
      <w:pPr>
        <w:ind w:left="4320" w:hanging="360"/>
      </w:pPr>
    </w:lvl>
    <w:lvl w:ilvl="6" w:tplc="4B743540">
      <w:start w:val="1"/>
      <w:numFmt w:val="bullet"/>
      <w:lvlText w:val="●"/>
      <w:lvlJc w:val="left"/>
      <w:pPr>
        <w:ind w:left="5040" w:hanging="360"/>
      </w:pPr>
    </w:lvl>
    <w:lvl w:ilvl="7" w:tplc="6124F662">
      <w:start w:val="1"/>
      <w:numFmt w:val="bullet"/>
      <w:lvlText w:val="●"/>
      <w:lvlJc w:val="left"/>
      <w:pPr>
        <w:ind w:left="5760" w:hanging="360"/>
      </w:pPr>
    </w:lvl>
    <w:lvl w:ilvl="8" w:tplc="904C5D1E">
      <w:start w:val="1"/>
      <w:numFmt w:val="bullet"/>
      <w:lvlText w:val="●"/>
      <w:lvlJc w:val="left"/>
      <w:pPr>
        <w:ind w:left="6480" w:hanging="360"/>
      </w:pPr>
    </w:lvl>
  </w:abstractNum>
  <w:num w:numId="1" w16cid:durableId="512257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F2F"/>
    <w:rsid w:val="00232C12"/>
    <w:rsid w:val="00400A9D"/>
    <w:rsid w:val="004566EC"/>
    <w:rsid w:val="00755D92"/>
    <w:rsid w:val="00C45F2F"/>
    <w:rsid w:val="00CB735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72452CD"/>
  <w15:docId w15:val="{E7611C09-6A2F-A546-89F6-918A754A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23B"/>
        <w:sz w:val="18"/>
        <w:szCs w:val="18"/>
        <w:lang w:val="en-SG"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4566E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566EC"/>
    <w:rPr>
      <w:b/>
      <w:bCs/>
    </w:rPr>
  </w:style>
  <w:style w:type="character" w:styleId="Emphasis">
    <w:name w:val="Emphasis"/>
    <w:basedOn w:val="DefaultParagraphFont"/>
    <w:uiPriority w:val="20"/>
    <w:qFormat/>
    <w:rsid w:val="004566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Uzbekistan's Power Sector to 2040 — Executive Summary</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Uzbekistan's Power Sector to 2040 — Executive Summary</dc:title>
  <dc:creator>Farangiz Jurakhonova</dc:creator>
  <cp:lastModifiedBy>Farangiz Jurakhonova</cp:lastModifiedBy>
  <cp:revision>3</cp:revision>
  <dcterms:created xsi:type="dcterms:W3CDTF">2026-06-07T06:15:00Z</dcterms:created>
  <dcterms:modified xsi:type="dcterms:W3CDTF">2026-06-07T08:41:00Z</dcterms:modified>
</cp:coreProperties>
</file>