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222222"/>
          <w:sz w:val="26"/>
          <w:szCs w:val="26"/>
        </w:rPr>
      </w:pPr>
      <w:bookmarkStart w:colFirst="0" w:colLast="0" w:name="_3hopgn3pda4k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This deal includes a rich assortment of high-quality acrylic paints, brushes, canvases, and accessories, providing everything you need to create vibrant and textured artworks.</w:t>
        <w:br w:type="textWrapping"/>
        <w:t xml:space="preserve">Includes high-quality acrylic paints, Variety of brushes and canvases, Ideal for artists of all levels, Provides vibrant colors and textured finishes.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b w:val="1"/>
          <w:color w:val="222222"/>
          <w:sz w:val="26"/>
          <w:szCs w:val="26"/>
        </w:rPr>
      </w:pPr>
      <w:bookmarkStart w:colFirst="0" w:colLast="0" w:name="_g26hrh7iqymj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hd w:fill="ffffff" w:val="clear"/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Paint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hd w:fill="ffffff" w:val="clear"/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