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3388" w:rsidRPr="00DD668D" w:rsidRDefault="00B16DAE" w:rsidP="00B16DAE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DD668D">
        <w:rPr>
          <w:rFonts w:asciiTheme="minorHAnsi" w:hAnsiTheme="minorHAnsi" w:cstheme="minorHAnsi"/>
          <w:b/>
          <w:bCs/>
          <w:sz w:val="32"/>
          <w:szCs w:val="32"/>
        </w:rPr>
        <w:t>Dashboard Team Notizen</w:t>
      </w:r>
    </w:p>
    <w:p w:rsidR="00B16DAE" w:rsidRPr="00DD668D" w:rsidRDefault="00B16DAE">
      <w:pPr>
        <w:rPr>
          <w:rFonts w:asciiTheme="minorHAnsi" w:hAnsiTheme="minorHAnsi" w:cstheme="minorHAnsi"/>
        </w:rPr>
      </w:pPr>
    </w:p>
    <w:p w:rsidR="00B16DAE" w:rsidRPr="00DD668D" w:rsidRDefault="00B16DAE" w:rsidP="00B16DAE">
      <w:pPr>
        <w:rPr>
          <w:rFonts w:asciiTheme="minorHAnsi" w:hAnsiTheme="minorHAnsi" w:cstheme="minorHAnsi"/>
          <w:b/>
          <w:bCs/>
        </w:rPr>
      </w:pPr>
      <w:r w:rsidRPr="00DD668D">
        <w:rPr>
          <w:rFonts w:asciiTheme="minorHAnsi" w:hAnsiTheme="minorHAnsi" w:cstheme="minorHAnsi"/>
          <w:b/>
          <w:bCs/>
        </w:rPr>
        <w:t>Was brauchen wir:</w:t>
      </w:r>
    </w:p>
    <w:p w:rsidR="00B16DAE" w:rsidRPr="00DD668D" w:rsidRDefault="00B16DAE" w:rsidP="00B16DAE">
      <w:pPr>
        <w:rPr>
          <w:rFonts w:asciiTheme="minorHAnsi" w:hAnsiTheme="minorHAnsi" w:cstheme="minorHAnsi"/>
        </w:rPr>
      </w:pPr>
    </w:p>
    <w:p w:rsidR="00B16DAE" w:rsidRPr="00DD668D" w:rsidRDefault="00B16DAE" w:rsidP="00B16DAE">
      <w:pPr>
        <w:pStyle w:val="Listenabsatz"/>
        <w:numPr>
          <w:ilvl w:val="0"/>
          <w:numId w:val="2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Sinnvolle und begründete KPIs</w:t>
      </w:r>
    </w:p>
    <w:p w:rsidR="00B16DAE" w:rsidRPr="00DD668D" w:rsidRDefault="00B16DAE" w:rsidP="00B16DAE">
      <w:pPr>
        <w:pStyle w:val="Listenabsatz"/>
        <w:numPr>
          <w:ilvl w:val="0"/>
          <w:numId w:val="2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Visualisierungen die anschaulich sind für diese KPIs</w:t>
      </w:r>
    </w:p>
    <w:p w:rsidR="00B16DAE" w:rsidRPr="00DD668D" w:rsidRDefault="00B16DAE" w:rsidP="00B16DAE">
      <w:pPr>
        <w:rPr>
          <w:rFonts w:asciiTheme="minorHAnsi" w:hAnsiTheme="minorHAnsi" w:cstheme="minorHAnsi"/>
        </w:rPr>
      </w:pPr>
    </w:p>
    <w:p w:rsidR="00B16DAE" w:rsidRPr="00DD668D" w:rsidRDefault="00B16DAE" w:rsidP="00B16DAE">
      <w:pPr>
        <w:rPr>
          <w:rFonts w:asciiTheme="minorHAnsi" w:hAnsiTheme="minorHAnsi" w:cstheme="minorHAnsi"/>
          <w:b/>
          <w:bCs/>
        </w:rPr>
      </w:pPr>
      <w:r w:rsidRPr="00DD668D">
        <w:rPr>
          <w:rFonts w:asciiTheme="minorHAnsi" w:hAnsiTheme="minorHAnsi" w:cstheme="minorHAnsi"/>
          <w:b/>
          <w:bCs/>
        </w:rPr>
        <w:t>Erster Punkt: KPIs</w:t>
      </w:r>
    </w:p>
    <w:p w:rsidR="00B16DAE" w:rsidRPr="00DD668D" w:rsidRDefault="00B16DAE" w:rsidP="00B16DAE">
      <w:pPr>
        <w:rPr>
          <w:rFonts w:asciiTheme="minorHAnsi" w:hAnsiTheme="minorHAnsi" w:cstheme="minorHAnsi"/>
          <w:b/>
          <w:bCs/>
        </w:rPr>
      </w:pPr>
    </w:p>
    <w:p w:rsidR="00B16DAE" w:rsidRPr="00DD668D" w:rsidRDefault="00B16DAE" w:rsidP="00B16DAE">
      <w:pPr>
        <w:rPr>
          <w:rFonts w:asciiTheme="minorHAnsi" w:hAnsiTheme="minorHAnsi" w:cstheme="minorHAnsi"/>
          <w:b/>
          <w:bCs/>
        </w:rPr>
      </w:pPr>
      <w:r w:rsidRPr="00DD668D">
        <w:rPr>
          <w:rFonts w:asciiTheme="minorHAnsi" w:hAnsiTheme="minorHAnsi" w:cstheme="minorHAnsi"/>
          <w:b/>
          <w:bCs/>
        </w:rPr>
        <w:t>Eine Auflistung der genutzten Attribute bzw. Daten:</w:t>
      </w:r>
    </w:p>
    <w:p w:rsidR="00B16DAE" w:rsidRPr="00B16DAE" w:rsidRDefault="00B16DAE" w:rsidP="00B16DAE">
      <w:pPr>
        <w:spacing w:after="160"/>
        <w:textAlignment w:val="baseline"/>
        <w:rPr>
          <w:rFonts w:asciiTheme="minorHAnsi" w:hAnsiTheme="minorHAnsi" w:cstheme="minorHAnsi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999"/>
        <w:gridCol w:w="3035"/>
      </w:tblGrid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b/>
                <w:bCs/>
                <w:lang w:val="en-US"/>
              </w:rPr>
              <w:t>Table</w:t>
            </w:r>
            <w:r w:rsidRPr="00B16DAE">
              <w:rPr>
                <w:rFonts w:asciiTheme="minorHAnsi" w:hAnsiTheme="minorHAnsi" w:cstheme="minorHAnsi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b/>
                <w:bCs/>
                <w:lang w:val="en-US"/>
              </w:rPr>
              <w:t>Key Columns (Examples)</w:t>
            </w:r>
            <w:r w:rsidRPr="00B16DAE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b/>
                <w:bCs/>
                <w:lang w:val="en-US"/>
              </w:rPr>
              <w:t>Description</w:t>
            </w:r>
            <w:r w:rsidRPr="00B16DAE">
              <w:rPr>
                <w:rFonts w:asciiTheme="minorHAnsi" w:hAnsiTheme="minorHAnsi" w:cstheme="minorHAnsi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DimProduct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ProductId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ProductName, Category,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Price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Products and categories (master data)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DimCustomer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CustomerId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Segment, Location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Customers (master/demographics)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DimLocation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LocationId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Region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Location info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DimShipping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ShippingId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ShippingMode</w:t>
            </w:r>
            <w:proofErr w:type="spellEnd"/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ShippingDays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Modes and timing of shipping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DimOrderStatus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OrderStatusId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OrderStatus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Possible order states (completed, etc.)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DimDate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Year, Quarter, Month, Day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 for flexible time-based analysis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DimDepartment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proofErr w:type="spellEnd"/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DepartmentID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Name,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Market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Department/market context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DimTransactionType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TypeId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B16D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Type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Transaction info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B16DAE" w:rsidRPr="00B16DAE" w:rsidTr="00B16DAE">
        <w:trPr>
          <w:trHeight w:val="300"/>
        </w:trPr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proofErr w:type="spellStart"/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FactOrderItem</w:t>
            </w:r>
            <w:proofErr w:type="spellEnd"/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(all FK Ids above), Quantity, Sales, Discount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 xml:space="preserve"> 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16DAE" w:rsidRPr="00B16DAE" w:rsidRDefault="00B16DAE" w:rsidP="00B16DAE">
            <w:pPr>
              <w:textAlignment w:val="baseline"/>
              <w:rPr>
                <w:rFonts w:asciiTheme="minorHAnsi" w:hAnsiTheme="minorHAnsi" w:cstheme="minorHAnsi"/>
              </w:rPr>
            </w:pPr>
            <w:r w:rsidRPr="00B16DA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Granular order-item-level transactions</w:t>
            </w:r>
            <w:r w:rsidRPr="00B16DA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16DAE" w:rsidRPr="00B16DAE" w:rsidRDefault="00B16DAE" w:rsidP="00B16DAE">
      <w:pPr>
        <w:spacing w:after="160"/>
        <w:textAlignment w:val="baseline"/>
        <w:rPr>
          <w:rFonts w:asciiTheme="minorHAnsi" w:hAnsiTheme="minorHAnsi" w:cstheme="minorHAnsi"/>
        </w:rPr>
      </w:pPr>
      <w:r w:rsidRPr="00B16DAE">
        <w:rPr>
          <w:rFonts w:asciiTheme="minorHAnsi" w:hAnsiTheme="minorHAnsi" w:cstheme="minorHAnsi"/>
          <w:sz w:val="22"/>
          <w:szCs w:val="22"/>
        </w:rPr>
        <w:t> </w:t>
      </w:r>
    </w:p>
    <w:p w:rsidR="00B16DAE" w:rsidRPr="00DD668D" w:rsidRDefault="00B16DAE" w:rsidP="00B16DAE">
      <w:p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  <w:b/>
          <w:bCs/>
        </w:rPr>
        <w:t>Wichtig ist Key Columns</w:t>
      </w:r>
      <w:r w:rsidRPr="00DD668D">
        <w:rPr>
          <w:rFonts w:asciiTheme="minorHAnsi" w:hAnsiTheme="minorHAnsi" w:cstheme="minorHAnsi"/>
        </w:rPr>
        <w:t xml:space="preserve"> hier stehen die Daten drin die wir nutzen können um Analysen zu machen. Erste interessante Daten sind </w:t>
      </w:r>
      <w:r w:rsidRPr="00DD668D">
        <w:rPr>
          <w:rFonts w:asciiTheme="minorHAnsi" w:hAnsiTheme="minorHAnsi" w:cstheme="minorHAnsi"/>
          <w:b/>
          <w:bCs/>
        </w:rPr>
        <w:t>fett</w:t>
      </w:r>
      <w:r w:rsidRPr="00DD668D">
        <w:rPr>
          <w:rFonts w:asciiTheme="minorHAnsi" w:hAnsiTheme="minorHAnsi" w:cstheme="minorHAnsi"/>
        </w:rPr>
        <w:t xml:space="preserve"> markiert.</w:t>
      </w:r>
    </w:p>
    <w:p w:rsidR="00B16DAE" w:rsidRPr="00DD668D" w:rsidRDefault="00B16DAE" w:rsidP="00B16DAE">
      <w:pPr>
        <w:rPr>
          <w:rFonts w:asciiTheme="minorHAnsi" w:hAnsiTheme="minorHAnsi" w:cstheme="minorHAnsi"/>
        </w:rPr>
      </w:pPr>
    </w:p>
    <w:p w:rsidR="00B16DAE" w:rsidRPr="00DD668D" w:rsidRDefault="00B16DAE" w:rsidP="000C1065">
      <w:pPr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DD668D">
        <w:rPr>
          <w:rFonts w:asciiTheme="minorHAnsi" w:hAnsiTheme="minorHAnsi" w:cstheme="minorHAnsi"/>
        </w:rPr>
        <w:t xml:space="preserve">Das Hauptthema ist </w:t>
      </w:r>
      <w:r w:rsidRPr="00DD668D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</w:rPr>
        <w:t>Supply Chain Transparenz / Resilienz</w:t>
      </w:r>
    </w:p>
    <w:p w:rsidR="00B16DAE" w:rsidRPr="00DD668D" w:rsidRDefault="00B16DAE" w:rsidP="000C1065">
      <w:pPr>
        <w:rPr>
          <w:rFonts w:asciiTheme="minorHAnsi" w:hAnsiTheme="minorHAnsi" w:cstheme="minorHAnsi"/>
        </w:rPr>
      </w:pPr>
      <w:r w:rsidRPr="00DD668D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:rsidR="00B16DAE" w:rsidRPr="00DD668D" w:rsidRDefault="00B16DAE" w:rsidP="00B16DAE">
      <w:pPr>
        <w:rPr>
          <w:rFonts w:asciiTheme="minorHAnsi" w:hAnsiTheme="minorHAnsi" w:cstheme="minorHAnsi"/>
          <w:sz w:val="22"/>
          <w:szCs w:val="22"/>
        </w:rPr>
      </w:pPr>
      <w:r w:rsidRPr="00DD668D">
        <w:rPr>
          <w:rStyle w:val="normaltextrun"/>
          <w:rFonts w:asciiTheme="minorHAnsi" w:eastAsiaTheme="majorEastAsia" w:hAnsiTheme="minorHAnsi" w:cstheme="minorHAnsi"/>
          <w:sz w:val="22"/>
          <w:szCs w:val="22"/>
        </w:rPr>
        <w:t>Da</w:t>
      </w:r>
      <w:r w:rsidRPr="00DD668D">
        <w:rPr>
          <w:rStyle w:val="normaltextrun"/>
          <w:rFonts w:asciiTheme="minorHAnsi" w:eastAsiaTheme="majorEastAsia" w:hAnsiTheme="minorHAnsi" w:cstheme="minorHAnsi"/>
          <w:sz w:val="22"/>
          <w:szCs w:val="22"/>
        </w:rPr>
        <w:t xml:space="preserve"> Globale Lieferketten fragil </w:t>
      </w:r>
      <w:r w:rsidRPr="00DD668D">
        <w:rPr>
          <w:rStyle w:val="normaltextrun"/>
          <w:rFonts w:asciiTheme="minorHAnsi" w:eastAsiaTheme="majorEastAsia" w:hAnsiTheme="minorHAnsi" w:cstheme="minorHAnsi"/>
          <w:sz w:val="22"/>
          <w:szCs w:val="22"/>
        </w:rPr>
        <w:t xml:space="preserve">sind benötigen Unternehmen </w:t>
      </w:r>
      <w:r w:rsidRPr="00DD668D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</w:rPr>
        <w:t>Transparenz</w:t>
      </w:r>
      <w:r w:rsidRPr="00DD668D">
        <w:rPr>
          <w:rStyle w:val="normaltextrun"/>
          <w:rFonts w:asciiTheme="minorHAnsi" w:eastAsiaTheme="majorEastAsia" w:hAnsiTheme="minorHAnsi" w:cstheme="minorHAnsi"/>
          <w:sz w:val="22"/>
          <w:szCs w:val="22"/>
        </w:rPr>
        <w:t>.</w:t>
      </w:r>
      <w:r w:rsidRPr="00DD668D">
        <w:rPr>
          <w:rFonts w:asciiTheme="minorHAnsi" w:hAnsiTheme="minorHAnsi" w:cstheme="minorHAnsi"/>
        </w:rPr>
        <w:t xml:space="preserve"> Daher ein </w:t>
      </w:r>
      <w:r w:rsidRPr="00DD668D">
        <w:rPr>
          <w:rFonts w:asciiTheme="minorHAnsi" w:hAnsiTheme="minorHAnsi" w:cstheme="minorHAnsi"/>
        </w:rPr>
        <w:br/>
      </w:r>
      <w:r w:rsidRPr="00DD668D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shd w:val="clear" w:color="auto" w:fill="00FF00"/>
        </w:rPr>
        <w:t>„Frühwarnsystem für Störungen in der Lieferkette auf Basis von Handels- und Logistikdaten“</w:t>
      </w:r>
      <w:r w:rsidRPr="00DD668D">
        <w:rPr>
          <w:rStyle w:val="scxw219604938"/>
          <w:rFonts w:asciiTheme="minorHAnsi" w:eastAsiaTheme="majorEastAsia" w:hAnsiTheme="minorHAnsi" w:cstheme="minorHAnsi"/>
          <w:sz w:val="22"/>
          <w:szCs w:val="22"/>
        </w:rPr>
        <w:t> </w:t>
      </w:r>
    </w:p>
    <w:p w:rsidR="00B16DAE" w:rsidRPr="00DD668D" w:rsidRDefault="00B16DAE" w:rsidP="00B16DAE">
      <w:pPr>
        <w:rPr>
          <w:rFonts w:asciiTheme="minorHAnsi" w:hAnsiTheme="minorHAnsi" w:cstheme="minorHAnsi"/>
        </w:rPr>
      </w:pPr>
    </w:p>
    <w:p w:rsidR="00DD668D" w:rsidRPr="00DD668D" w:rsidRDefault="00B16DAE" w:rsidP="00DD668D">
      <w:p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Unabhängig von den Notizen von </w:t>
      </w:r>
      <w:proofErr w:type="spellStart"/>
      <w:r w:rsidRPr="00DD668D">
        <w:rPr>
          <w:rFonts w:asciiTheme="minorHAnsi" w:hAnsiTheme="minorHAnsi" w:cstheme="minorHAnsi"/>
        </w:rPr>
        <w:t>Rezaul</w:t>
      </w:r>
      <w:proofErr w:type="spellEnd"/>
      <w:r w:rsidRPr="00DD668D">
        <w:rPr>
          <w:rFonts w:asciiTheme="minorHAnsi" w:hAnsiTheme="minorHAnsi" w:cstheme="minorHAnsi"/>
        </w:rPr>
        <w:t xml:space="preserve"> nun einige KPIs:</w:t>
      </w:r>
    </w:p>
    <w:p w:rsidR="00DD668D" w:rsidRPr="00DD668D" w:rsidRDefault="00DD668D" w:rsidP="00DD668D">
      <w:pPr>
        <w:pStyle w:val="berschrift2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Drei zentrale KPIs für ein Frühwarn-Dashboard zur Lieferketten-Resilienz</w:t>
      </w:r>
    </w:p>
    <w:p w:rsidR="00DD668D" w:rsidRPr="00DD668D" w:rsidRDefault="00723DD6" w:rsidP="00DD668D">
      <w:pPr>
        <w:rPr>
          <w:rFonts w:asciiTheme="minorHAnsi" w:hAnsiTheme="minorHAnsi" w:cstheme="minorHAnsi"/>
        </w:rPr>
      </w:pPr>
      <w:r w:rsidRPr="00723DD6">
        <w:rPr>
          <w:rFonts w:asciiTheme="minorHAnsi" w:hAnsiTheme="minorHAnsi" w:cstheme="minorHAnsi"/>
          <w:noProof/>
          <w14:ligatures w14:val="standardContextual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DD668D" w:rsidRPr="00DD668D" w:rsidRDefault="00DD668D" w:rsidP="00DD668D">
      <w:pPr>
        <w:pStyle w:val="berschrift3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1. </w:t>
      </w:r>
      <w:r w:rsidRPr="00DD668D">
        <w:rPr>
          <w:rStyle w:val="Fett"/>
          <w:rFonts w:asciiTheme="minorHAnsi" w:hAnsiTheme="minorHAnsi" w:cstheme="minorHAnsi"/>
          <w:b w:val="0"/>
          <w:bCs w:val="0"/>
        </w:rPr>
        <w:t>On-Time-In-</w:t>
      </w:r>
      <w:proofErr w:type="spellStart"/>
      <w:r w:rsidRPr="00DD668D">
        <w:rPr>
          <w:rStyle w:val="Fett"/>
          <w:rFonts w:asciiTheme="minorHAnsi" w:hAnsiTheme="minorHAnsi" w:cstheme="minorHAnsi"/>
          <w:b w:val="0"/>
          <w:bCs w:val="0"/>
        </w:rPr>
        <w:t>Full</w:t>
      </w:r>
      <w:proofErr w:type="spellEnd"/>
      <w:r w:rsidRPr="00DD668D">
        <w:rPr>
          <w:rStyle w:val="Fett"/>
          <w:rFonts w:asciiTheme="minorHAnsi" w:hAnsiTheme="minorHAnsi" w:cstheme="minorHAnsi"/>
          <w:b w:val="0"/>
          <w:bCs w:val="0"/>
        </w:rPr>
        <w:t>-Lieferquote (OTIF)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Zweck:</w:t>
      </w:r>
      <w:r w:rsidRPr="00DD668D">
        <w:rPr>
          <w:rFonts w:asciiTheme="minorHAnsi" w:hAnsiTheme="minorHAnsi" w:cstheme="minorHAnsi"/>
        </w:rPr>
        <w:br/>
        <w:t xml:space="preserve">Misst, ob Sendungen </w:t>
      </w:r>
      <w:r w:rsidRPr="00DD668D">
        <w:rPr>
          <w:rStyle w:val="Hervorhebung"/>
          <w:rFonts w:asciiTheme="minorHAnsi" w:eastAsiaTheme="majorEastAsia" w:hAnsiTheme="minorHAnsi" w:cstheme="minorHAnsi"/>
        </w:rPr>
        <w:t>pünktlich</w:t>
      </w:r>
      <w:r w:rsidRPr="00DD668D">
        <w:rPr>
          <w:rFonts w:asciiTheme="minorHAnsi" w:hAnsiTheme="minorHAnsi" w:cstheme="minorHAnsi"/>
        </w:rPr>
        <w:t xml:space="preserve"> (innerhalb des vereinbarten Lieferfensters) </w:t>
      </w:r>
      <w:r w:rsidRPr="00DD668D">
        <w:rPr>
          <w:rStyle w:val="Hervorhebung"/>
          <w:rFonts w:asciiTheme="minorHAnsi" w:eastAsiaTheme="majorEastAsia" w:hAnsiTheme="minorHAnsi" w:cstheme="minorHAnsi"/>
        </w:rPr>
        <w:t>und vollständig</w:t>
      </w:r>
      <w:r w:rsidRPr="00DD668D">
        <w:rPr>
          <w:rFonts w:asciiTheme="minorHAnsi" w:hAnsiTheme="minorHAnsi" w:cstheme="minorHAnsi"/>
        </w:rPr>
        <w:t xml:space="preserve"> </w:t>
      </w:r>
      <w:r w:rsidRPr="00DD668D">
        <w:rPr>
          <w:rFonts w:asciiTheme="minorHAnsi" w:hAnsiTheme="minorHAnsi" w:cstheme="minorHAnsi"/>
        </w:rPr>
        <w:lastRenderedPageBreak/>
        <w:t>(bestellte ≈ gelieferte Menge) beim Kunden ankommen. Ein abrutschender OTIF-Wert ist einer der ersten quantifizierbaren Hinweise auf Störungen in Beschaffung, Produktion oder Transport.</w:t>
      </w:r>
    </w:p>
    <w:p w:rsidR="008F29F2" w:rsidRDefault="00DD668D" w:rsidP="00DD668D">
      <w:pPr>
        <w:pStyle w:val="StandardWeb"/>
        <w:rPr>
          <w:rStyle w:val="Fett"/>
          <w:rFonts w:asciiTheme="minorHAnsi" w:eastAsiaTheme="majorEastAsia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Berechnung:</w:t>
      </w:r>
    </w:p>
    <w:p w:rsidR="008F29F2" w:rsidRDefault="008F29F2" w:rsidP="00DD668D">
      <w:pPr>
        <w:pStyle w:val="StandardWeb"/>
        <w:rPr>
          <w:rStyle w:val="Fett"/>
          <w:rFonts w:asciiTheme="minorHAnsi" w:eastAsiaTheme="majorEastAsia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Anzahl pünktlicher &amp; vollständiger Lieferungen </w:t>
      </w:r>
      <w:r>
        <w:rPr>
          <w:rFonts w:asciiTheme="minorHAnsi" w:hAnsiTheme="minorHAnsi" w:cstheme="minorHAnsi"/>
        </w:rPr>
        <w:t>= (</w:t>
      </w:r>
      <w:proofErr w:type="spellStart"/>
      <w:r>
        <w:t>DaysForShippingReal</w:t>
      </w:r>
      <w:proofErr w:type="spellEnd"/>
      <w:r>
        <w:t xml:space="preserve"> = </w:t>
      </w:r>
      <w:proofErr w:type="spellStart"/>
      <w:r>
        <w:t>DaysForShipmentScheduled</w:t>
      </w:r>
      <w:proofErr w:type="spellEnd"/>
      <w:r>
        <w:t>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br/>
        <w:t>OTIF = (Anzahl pünktlicher &amp; vollständiger Lieferungen / Gesamtzahl versandter Bestellungen) × 100 %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Datenzuordnung:</w:t>
      </w:r>
    </w:p>
    <w:p w:rsidR="00DD668D" w:rsidRPr="00DD668D" w:rsidRDefault="00DD668D" w:rsidP="00DD668D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DimDate</w:t>
      </w:r>
      <w:proofErr w:type="spellEnd"/>
      <w:r w:rsidRPr="00DD668D">
        <w:rPr>
          <w:rFonts w:asciiTheme="minorHAnsi" w:hAnsiTheme="minorHAnsi" w:cstheme="minorHAnsi"/>
        </w:rPr>
        <w:t>: Bestell-, Versand-, Ankunftsdatum</w:t>
      </w:r>
    </w:p>
    <w:p w:rsidR="00DD668D" w:rsidRPr="00DD668D" w:rsidRDefault="00DD668D" w:rsidP="00DD668D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DimShipping.ShippingDays</w:t>
      </w:r>
      <w:proofErr w:type="spellEnd"/>
      <w:r w:rsidRPr="00DD668D">
        <w:rPr>
          <w:rFonts w:asciiTheme="minorHAnsi" w:hAnsiTheme="minorHAnsi" w:cstheme="minorHAnsi"/>
        </w:rPr>
        <w:t>: geplantes Lieferfenster</w:t>
      </w:r>
    </w:p>
    <w:p w:rsidR="00DD668D" w:rsidRPr="00DD668D" w:rsidRDefault="00DD668D" w:rsidP="00DD668D">
      <w:pPr>
        <w:pStyle w:val="Standard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FactOrderItem.Quantity</w:t>
      </w:r>
      <w:proofErr w:type="spellEnd"/>
      <w:r w:rsidRPr="00DD668D">
        <w:rPr>
          <w:rFonts w:asciiTheme="minorHAnsi" w:hAnsiTheme="minorHAnsi" w:cstheme="minorHAnsi"/>
        </w:rPr>
        <w:t xml:space="preserve">: gegenüber tatsächlichem Wareneingang (z. B. externes </w:t>
      </w:r>
      <w:proofErr w:type="spellStart"/>
      <w:r w:rsidRPr="00DD668D">
        <w:rPr>
          <w:rFonts w:asciiTheme="minorHAnsi" w:hAnsiTheme="minorHAnsi" w:cstheme="minorHAnsi"/>
        </w:rPr>
        <w:t>Goods</w:t>
      </w:r>
      <w:proofErr w:type="spellEnd"/>
      <w:r w:rsidRPr="00DD668D">
        <w:rPr>
          <w:rFonts w:asciiTheme="minorHAnsi" w:hAnsiTheme="minorHAnsi" w:cstheme="minorHAnsi"/>
        </w:rPr>
        <w:t>-</w:t>
      </w:r>
      <w:proofErr w:type="spellStart"/>
      <w:r w:rsidRPr="00DD668D">
        <w:rPr>
          <w:rFonts w:asciiTheme="minorHAnsi" w:hAnsiTheme="minorHAnsi" w:cstheme="minorHAnsi"/>
        </w:rPr>
        <w:t>Received</w:t>
      </w:r>
      <w:proofErr w:type="spellEnd"/>
      <w:r w:rsidRPr="00DD668D">
        <w:rPr>
          <w:rFonts w:asciiTheme="minorHAnsi" w:hAnsiTheme="minorHAnsi" w:cstheme="minorHAnsi"/>
        </w:rPr>
        <w:t>-Event oder Status „</w:t>
      </w:r>
      <w:proofErr w:type="spellStart"/>
      <w:r w:rsidRPr="00DD668D">
        <w:rPr>
          <w:rFonts w:asciiTheme="minorHAnsi" w:hAnsiTheme="minorHAnsi" w:cstheme="minorHAnsi"/>
        </w:rPr>
        <w:t>Completed</w:t>
      </w:r>
      <w:proofErr w:type="spellEnd"/>
      <w:r w:rsidRPr="00DD668D">
        <w:rPr>
          <w:rFonts w:asciiTheme="minorHAnsi" w:hAnsiTheme="minorHAnsi" w:cstheme="minorHAnsi"/>
        </w:rPr>
        <w:t>“)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Literatur-Beleg:</w:t>
      </w:r>
      <w:r w:rsidRPr="00DD668D">
        <w:rPr>
          <w:rFonts w:asciiTheme="minorHAnsi" w:hAnsiTheme="minorHAnsi" w:cstheme="minorHAnsi"/>
        </w:rPr>
        <w:br/>
        <w:t>OTIF wird in Studien als Schlüssel-KPI für Distributions- und Prozesseffizienz genannt und in Resilienz-Modelle integriert.</w:t>
      </w:r>
      <w:r w:rsidRPr="00DD668D">
        <w:rPr>
          <w:rFonts w:asciiTheme="minorHAnsi" w:hAnsiTheme="minorHAnsi" w:cstheme="minorHAnsi"/>
        </w:rPr>
        <w:br/>
        <w:t xml:space="preserve">Quelle: </w:t>
      </w:r>
      <w:hyperlink r:id="rId5" w:history="1">
        <w:r w:rsidRPr="00DD668D">
          <w:rPr>
            <w:rStyle w:val="Hyperlink"/>
            <w:rFonts w:asciiTheme="minorHAnsi" w:eastAsiaTheme="majorEastAsia" w:hAnsiTheme="minorHAnsi" w:cstheme="minorHAnsi"/>
          </w:rPr>
          <w:t>mdpi.c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o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m</w:t>
        </w:r>
      </w:hyperlink>
    </w:p>
    <w:p w:rsidR="00DD668D" w:rsidRPr="00DD668D" w:rsidRDefault="00723DD6" w:rsidP="00DD668D">
      <w:pPr>
        <w:rPr>
          <w:rFonts w:asciiTheme="minorHAnsi" w:hAnsiTheme="minorHAnsi" w:cstheme="minorHAnsi"/>
        </w:rPr>
      </w:pPr>
      <w:r w:rsidRPr="00723DD6">
        <w:rPr>
          <w:rFonts w:asciiTheme="minorHAnsi" w:hAnsiTheme="minorHAnsi" w:cstheme="minorHAnsi"/>
          <w:noProof/>
          <w14:ligatures w14:val="standardContextual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DD668D" w:rsidRPr="00DD668D" w:rsidRDefault="00DD668D" w:rsidP="00DD668D">
      <w:pPr>
        <w:pStyle w:val="berschrift3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2. </w:t>
      </w:r>
      <w:r w:rsidRPr="00DD668D">
        <w:rPr>
          <w:rStyle w:val="Fett"/>
          <w:rFonts w:asciiTheme="minorHAnsi" w:hAnsiTheme="minorHAnsi" w:cstheme="minorHAnsi"/>
          <w:b w:val="0"/>
          <w:bCs w:val="0"/>
        </w:rPr>
        <w:t>Lead-Time-Variabilitätsindex (LTVI)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Zweck:</w:t>
      </w:r>
      <w:r w:rsidRPr="00DD668D">
        <w:rPr>
          <w:rFonts w:asciiTheme="minorHAnsi" w:hAnsiTheme="minorHAnsi" w:cstheme="minorHAnsi"/>
        </w:rPr>
        <w:br/>
        <w:t xml:space="preserve">Erfasst die </w:t>
      </w:r>
      <w:r w:rsidRPr="00DD668D">
        <w:rPr>
          <w:rStyle w:val="Hervorhebung"/>
          <w:rFonts w:asciiTheme="minorHAnsi" w:eastAsiaTheme="majorEastAsia" w:hAnsiTheme="minorHAnsi" w:cstheme="minorHAnsi"/>
        </w:rPr>
        <w:t>Schwankungsbreite</w:t>
      </w:r>
      <w:r w:rsidRPr="00DD668D">
        <w:rPr>
          <w:rFonts w:asciiTheme="minorHAnsi" w:hAnsiTheme="minorHAnsi" w:cstheme="minorHAnsi"/>
        </w:rPr>
        <w:t xml:space="preserve"> der tatsächlichen Durchlauf- bzw. Transportzeiten je Produkt × Lieferant × Route. Hohe Varianz erschwert Planbarkeit, erfordert höhere Sicherheitsbestände und erhöht das Risiko von Fehlteilen.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Berechnung:</w:t>
      </w:r>
      <w:r w:rsidRPr="00DD668D">
        <w:rPr>
          <w:rFonts w:asciiTheme="minorHAnsi" w:hAnsiTheme="minorHAnsi" w:cstheme="minorHAnsi"/>
        </w:rPr>
        <w:br/>
        <w:t>LTVI = Standardabweichung der Lieferzeit / Durchschnittliche Lieferzeit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(</w:t>
      </w:r>
      <w:proofErr w:type="spellStart"/>
      <w:r w:rsidRPr="00DD668D">
        <w:rPr>
          <w:rFonts w:asciiTheme="minorHAnsi" w:hAnsiTheme="minorHAnsi" w:cstheme="minorHAnsi"/>
        </w:rPr>
        <w:t>Coefficient</w:t>
      </w:r>
      <w:proofErr w:type="spellEnd"/>
      <w:r w:rsidRPr="00DD668D">
        <w:rPr>
          <w:rFonts w:asciiTheme="minorHAnsi" w:hAnsiTheme="minorHAnsi" w:cstheme="minorHAnsi"/>
        </w:rPr>
        <w:t xml:space="preserve"> </w:t>
      </w:r>
      <w:proofErr w:type="spellStart"/>
      <w:r w:rsidRPr="00DD668D">
        <w:rPr>
          <w:rFonts w:asciiTheme="minorHAnsi" w:hAnsiTheme="minorHAnsi" w:cstheme="minorHAnsi"/>
        </w:rPr>
        <w:t>of</w:t>
      </w:r>
      <w:proofErr w:type="spellEnd"/>
      <w:r w:rsidRPr="00DD668D">
        <w:rPr>
          <w:rFonts w:asciiTheme="minorHAnsi" w:hAnsiTheme="minorHAnsi" w:cstheme="minorHAnsi"/>
        </w:rPr>
        <w:t xml:space="preserve"> Variation, z. B. auf Monats- oder Quartalsebene)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Datenzuordnung:</w:t>
      </w:r>
    </w:p>
    <w:p w:rsidR="00DD668D" w:rsidRPr="00DD668D" w:rsidRDefault="00DD668D" w:rsidP="00DD668D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DimShipping.ShippingDays</w:t>
      </w:r>
      <w:proofErr w:type="spellEnd"/>
      <w:r w:rsidRPr="00DD668D">
        <w:rPr>
          <w:rFonts w:asciiTheme="minorHAnsi" w:hAnsiTheme="minorHAnsi" w:cstheme="minorHAnsi"/>
        </w:rPr>
        <w:t>: geplante Lieferzeit</w:t>
      </w:r>
    </w:p>
    <w:p w:rsidR="00DD668D" w:rsidRPr="00DD668D" w:rsidRDefault="00DD668D" w:rsidP="00DD668D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DimDate.ArrivalDate</w:t>
      </w:r>
      <w:proofErr w:type="spellEnd"/>
      <w:r w:rsidRPr="00DD668D">
        <w:rPr>
          <w:rStyle w:val="HTMLCode"/>
          <w:rFonts w:asciiTheme="minorHAnsi" w:eastAsiaTheme="majorEastAsia" w:hAnsiTheme="minorHAnsi" w:cstheme="minorHAnsi"/>
        </w:rPr>
        <w:t xml:space="preserve"> –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OrderDate</w:t>
      </w:r>
      <w:proofErr w:type="spellEnd"/>
      <w:r w:rsidRPr="00DD668D">
        <w:rPr>
          <w:rFonts w:asciiTheme="minorHAnsi" w:hAnsiTheme="minorHAnsi" w:cstheme="minorHAnsi"/>
        </w:rPr>
        <w:t>: tatsächliche Lieferzeit</w:t>
      </w:r>
    </w:p>
    <w:p w:rsidR="00DD668D" w:rsidRPr="00DD668D" w:rsidRDefault="00DD668D" w:rsidP="00DD668D">
      <w:pPr>
        <w:pStyle w:val="StandardWeb"/>
        <w:numPr>
          <w:ilvl w:val="0"/>
          <w:numId w:val="11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Gruppierung nach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DimProduct.Supplier</w:t>
      </w:r>
      <w:proofErr w:type="spellEnd"/>
      <w:r w:rsidRPr="00DD668D">
        <w:rPr>
          <w:rFonts w:asciiTheme="minorHAnsi" w:hAnsiTheme="minorHAnsi" w:cstheme="minorHAnsi"/>
        </w:rPr>
        <w:t xml:space="preserve"> oder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DimLocation.Region</w:t>
      </w:r>
      <w:proofErr w:type="spellEnd"/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Frühwarn-Nutzen:</w:t>
      </w:r>
      <w:r w:rsidRPr="00DD668D">
        <w:rPr>
          <w:rFonts w:asciiTheme="minorHAnsi" w:hAnsiTheme="minorHAnsi" w:cstheme="minorHAnsi"/>
        </w:rPr>
        <w:br/>
        <w:t>Ein Anstieg des LTVI zeigt abnehmende Planbarkeit – eine Erhöhung kann als Frühindikator für künftige Lieferprobleme gewertet werden.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lastRenderedPageBreak/>
        <w:t>Literatur-Beleg:</w:t>
      </w:r>
      <w:r w:rsidRPr="00DD668D">
        <w:rPr>
          <w:rFonts w:asciiTheme="minorHAnsi" w:hAnsiTheme="minorHAnsi" w:cstheme="minorHAnsi"/>
        </w:rPr>
        <w:br/>
        <w:t>Empirische Studien zeigen, dass hohe Lead-Time-Varianz stark mit steigenden Kosten und schlechterem Servicelevel korreliert.</w:t>
      </w:r>
      <w:r w:rsidRPr="00DD668D">
        <w:rPr>
          <w:rFonts w:asciiTheme="minorHAnsi" w:hAnsiTheme="minorHAnsi" w:cstheme="minorHAnsi"/>
        </w:rPr>
        <w:br/>
        <w:t xml:space="preserve">Quelle: </w:t>
      </w:r>
      <w:hyperlink r:id="rId6" w:history="1">
        <w:r w:rsidRPr="00DD668D">
          <w:rPr>
            <w:rStyle w:val="Hyperlink"/>
            <w:rFonts w:asciiTheme="minorHAnsi" w:eastAsiaTheme="majorEastAsia" w:hAnsiTheme="minorHAnsi" w:cstheme="minorHAnsi"/>
          </w:rPr>
          <w:t>researchgate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.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net</w:t>
        </w:r>
      </w:hyperlink>
    </w:p>
    <w:p w:rsidR="00DD668D" w:rsidRPr="00DD668D" w:rsidRDefault="00723DD6" w:rsidP="00DD668D">
      <w:pPr>
        <w:rPr>
          <w:rFonts w:asciiTheme="minorHAnsi" w:hAnsiTheme="minorHAnsi" w:cstheme="minorHAnsi"/>
        </w:rPr>
      </w:pPr>
      <w:r w:rsidRPr="00723DD6">
        <w:rPr>
          <w:rFonts w:asciiTheme="minorHAnsi" w:hAnsiTheme="minorHAnsi" w:cstheme="minorHAnsi"/>
          <w:noProof/>
          <w14:ligatures w14:val="standardContextual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DD668D" w:rsidRPr="00DD668D" w:rsidRDefault="00DD668D" w:rsidP="00DD668D">
      <w:pPr>
        <w:pStyle w:val="berschrift3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3. </w:t>
      </w:r>
      <w:r w:rsidRPr="00DD668D">
        <w:rPr>
          <w:rStyle w:val="Fett"/>
          <w:rFonts w:asciiTheme="minorHAnsi" w:hAnsiTheme="minorHAnsi" w:cstheme="minorHAnsi"/>
          <w:b w:val="0"/>
          <w:bCs w:val="0"/>
        </w:rPr>
        <w:t>Time-to-Recovery (TTR)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Zweck:</w:t>
      </w:r>
      <w:r w:rsidRPr="00DD668D">
        <w:rPr>
          <w:rFonts w:asciiTheme="minorHAnsi" w:hAnsiTheme="minorHAnsi" w:cstheme="minorHAnsi"/>
        </w:rPr>
        <w:br/>
        <w:t xml:space="preserve">Misst, </w:t>
      </w:r>
      <w:r w:rsidRPr="00DD668D">
        <w:rPr>
          <w:rStyle w:val="Hervorhebung"/>
          <w:rFonts w:asciiTheme="minorHAnsi" w:eastAsiaTheme="majorEastAsia" w:hAnsiTheme="minorHAnsi" w:cstheme="minorHAnsi"/>
        </w:rPr>
        <w:t>wie schnell</w:t>
      </w:r>
      <w:r w:rsidRPr="00DD668D">
        <w:rPr>
          <w:rFonts w:asciiTheme="minorHAnsi" w:hAnsiTheme="minorHAnsi" w:cstheme="minorHAnsi"/>
        </w:rPr>
        <w:t xml:space="preserve"> sich die Lieferkette nach einer Störung (z. B. Hafenstreik, Anlagenstillstand) wieder auf ihren Soll-Output stabilisiert. Kurze TTR-Werte zeigen Resilienz, lange TTRs deuten auf strukturelle Schwächen.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Berechnung:</w:t>
      </w:r>
    </w:p>
    <w:p w:rsidR="00DD668D" w:rsidRPr="00DD668D" w:rsidRDefault="00DD668D" w:rsidP="00DD668D">
      <w:pPr>
        <w:pStyle w:val="StandardWeb"/>
        <w:numPr>
          <w:ilvl w:val="0"/>
          <w:numId w:val="12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Erkennung des Störzeitpunkts (z. B. durch Einbruch in OTIF oder Anstieg LTVI).</w:t>
      </w:r>
    </w:p>
    <w:p w:rsidR="00DD668D" w:rsidRPr="00DD668D" w:rsidRDefault="00DD668D" w:rsidP="00DD668D">
      <w:pPr>
        <w:pStyle w:val="StandardWeb"/>
        <w:numPr>
          <w:ilvl w:val="0"/>
          <w:numId w:val="12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Erfassung des Tages, an dem die KPI-Baseline (z. B. durchschnittlicher OTIF ≥ 90 %) wieder erreicht wird.</w:t>
      </w:r>
    </w:p>
    <w:p w:rsidR="00DD668D" w:rsidRPr="00DD668D" w:rsidRDefault="00DD668D" w:rsidP="00DD668D">
      <w:pPr>
        <w:pStyle w:val="StandardWeb"/>
        <w:numPr>
          <w:ilvl w:val="0"/>
          <w:numId w:val="12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TTR = Erholungsdatum – Start der Störung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Datenzuordnung:</w:t>
      </w:r>
    </w:p>
    <w:p w:rsidR="00DD668D" w:rsidRPr="00DD668D" w:rsidRDefault="00DD668D" w:rsidP="00DD668D">
      <w:pPr>
        <w:pStyle w:val="Standard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DimOrderStatus</w:t>
      </w:r>
      <w:proofErr w:type="spellEnd"/>
      <w:r w:rsidRPr="00DD668D">
        <w:rPr>
          <w:rFonts w:asciiTheme="minorHAnsi" w:hAnsiTheme="minorHAnsi" w:cstheme="minorHAnsi"/>
        </w:rPr>
        <w:t>: „On Hold“, „</w:t>
      </w:r>
      <w:proofErr w:type="spellStart"/>
      <w:r w:rsidRPr="00DD668D">
        <w:rPr>
          <w:rFonts w:asciiTheme="minorHAnsi" w:hAnsiTheme="minorHAnsi" w:cstheme="minorHAnsi"/>
        </w:rPr>
        <w:t>Delayed</w:t>
      </w:r>
      <w:proofErr w:type="spellEnd"/>
      <w:r w:rsidRPr="00DD668D">
        <w:rPr>
          <w:rFonts w:asciiTheme="minorHAnsi" w:hAnsiTheme="minorHAnsi" w:cstheme="minorHAnsi"/>
        </w:rPr>
        <w:t>“, „</w:t>
      </w:r>
      <w:proofErr w:type="spellStart"/>
      <w:r w:rsidRPr="00DD668D">
        <w:rPr>
          <w:rFonts w:asciiTheme="minorHAnsi" w:hAnsiTheme="minorHAnsi" w:cstheme="minorHAnsi"/>
        </w:rPr>
        <w:t>Completed</w:t>
      </w:r>
      <w:proofErr w:type="spellEnd"/>
      <w:r w:rsidRPr="00DD668D">
        <w:rPr>
          <w:rFonts w:asciiTheme="minorHAnsi" w:hAnsiTheme="minorHAnsi" w:cstheme="minorHAnsi"/>
        </w:rPr>
        <w:t>“</w:t>
      </w:r>
    </w:p>
    <w:p w:rsidR="00DD668D" w:rsidRPr="00DD668D" w:rsidRDefault="00DD668D" w:rsidP="00DD668D">
      <w:pPr>
        <w:pStyle w:val="StandardWeb"/>
        <w:numPr>
          <w:ilvl w:val="0"/>
          <w:numId w:val="13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KPI-Tracking über OTIF und LTVI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Literatur-Beleg:</w:t>
      </w:r>
      <w:r w:rsidRPr="00DD668D">
        <w:rPr>
          <w:rFonts w:asciiTheme="minorHAnsi" w:hAnsiTheme="minorHAnsi" w:cstheme="minorHAnsi"/>
        </w:rPr>
        <w:br/>
        <w:t xml:space="preserve">TTR ist ein etabliertes Maß für Resilienz und wird oft für Frühwarnsysteme und </w:t>
      </w:r>
      <w:proofErr w:type="spellStart"/>
      <w:r w:rsidRPr="00DD668D">
        <w:rPr>
          <w:rFonts w:asciiTheme="minorHAnsi" w:hAnsiTheme="minorHAnsi" w:cstheme="minorHAnsi"/>
        </w:rPr>
        <w:t>Szenariosimulationen</w:t>
      </w:r>
      <w:proofErr w:type="spellEnd"/>
      <w:r w:rsidRPr="00DD668D">
        <w:rPr>
          <w:rFonts w:asciiTheme="minorHAnsi" w:hAnsiTheme="minorHAnsi" w:cstheme="minorHAnsi"/>
        </w:rPr>
        <w:t xml:space="preserve"> empfohlen.</w:t>
      </w:r>
      <w:r w:rsidRPr="00DD668D">
        <w:rPr>
          <w:rFonts w:asciiTheme="minorHAnsi" w:hAnsiTheme="minorHAnsi" w:cstheme="minorHAnsi"/>
        </w:rPr>
        <w:br/>
        <w:t xml:space="preserve">Quelle: </w:t>
      </w:r>
      <w:hyperlink r:id="rId7" w:history="1">
        <w:r w:rsidRPr="00DD668D">
          <w:rPr>
            <w:rStyle w:val="Hyperlink"/>
            <w:rFonts w:asciiTheme="minorHAnsi" w:eastAsiaTheme="majorEastAsia" w:hAnsiTheme="minorHAnsi" w:cstheme="minorHAnsi"/>
          </w:rPr>
          <w:t>f.hubspotuserconte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n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t3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0</w:t>
        </w:r>
        <w:r w:rsidRPr="00DD668D">
          <w:rPr>
            <w:rStyle w:val="Hyperlink"/>
            <w:rFonts w:asciiTheme="minorHAnsi" w:eastAsiaTheme="majorEastAsia" w:hAnsiTheme="minorHAnsi" w:cstheme="minorHAnsi"/>
          </w:rPr>
          <w:t>.net</w:t>
        </w:r>
      </w:hyperlink>
    </w:p>
    <w:p w:rsidR="00DD668D" w:rsidRPr="00DD668D" w:rsidRDefault="00723DD6" w:rsidP="00DD668D">
      <w:pPr>
        <w:rPr>
          <w:rFonts w:asciiTheme="minorHAnsi" w:hAnsiTheme="minorHAnsi" w:cstheme="minorHAnsi"/>
        </w:rPr>
      </w:pPr>
      <w:r w:rsidRPr="00723DD6">
        <w:rPr>
          <w:rFonts w:asciiTheme="minorHAnsi" w:hAnsiTheme="minorHAnsi" w:cstheme="minorHAnsi"/>
          <w:noProof/>
          <w14:ligatures w14:val="standardContextual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DD668D" w:rsidRPr="00DD668D" w:rsidRDefault="00DD668D" w:rsidP="00DD668D">
      <w:pPr>
        <w:pStyle w:val="berschrift2"/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Warum gerade diese drei?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Komplementär:</w:t>
      </w:r>
    </w:p>
    <w:p w:rsidR="00DD668D" w:rsidRPr="00DD668D" w:rsidRDefault="00DD668D" w:rsidP="00DD668D">
      <w:pPr>
        <w:pStyle w:val="StandardWeb"/>
        <w:numPr>
          <w:ilvl w:val="0"/>
          <w:numId w:val="14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OTIF zeigt Service-Qualität,</w:t>
      </w:r>
    </w:p>
    <w:p w:rsidR="00DD668D" w:rsidRPr="00DD668D" w:rsidRDefault="00DD668D" w:rsidP="00DD668D">
      <w:pPr>
        <w:pStyle w:val="StandardWeb"/>
        <w:numPr>
          <w:ilvl w:val="0"/>
          <w:numId w:val="14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LTVI offenbart Prozessstabilität,</w:t>
      </w:r>
    </w:p>
    <w:p w:rsidR="00DD668D" w:rsidRPr="00DD668D" w:rsidRDefault="00DD668D" w:rsidP="00DD668D">
      <w:pPr>
        <w:pStyle w:val="StandardWeb"/>
        <w:numPr>
          <w:ilvl w:val="0"/>
          <w:numId w:val="14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TTR quantifiziert Wiederanlauf-Fähigkeit nach Schocks.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Vollständig messbar:</w:t>
      </w:r>
      <w:r w:rsidRPr="00DD668D">
        <w:rPr>
          <w:rFonts w:asciiTheme="minorHAnsi" w:hAnsiTheme="minorHAnsi" w:cstheme="minorHAnsi"/>
        </w:rPr>
        <w:br/>
        <w:t xml:space="preserve">Alle drei KPIs nutzen ausschließlich vorhandene Daten aus den Tabellen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DimDate</w:t>
      </w:r>
      <w:proofErr w:type="spellEnd"/>
      <w:r w:rsidRPr="00DD668D">
        <w:rPr>
          <w:rFonts w:asciiTheme="minorHAnsi" w:hAnsiTheme="minorHAnsi" w:cstheme="minorHAnsi"/>
        </w:rPr>
        <w:t xml:space="preserve">,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DimShipping</w:t>
      </w:r>
      <w:proofErr w:type="spellEnd"/>
      <w:r w:rsidRPr="00DD668D">
        <w:rPr>
          <w:rFonts w:asciiTheme="minorHAnsi" w:hAnsiTheme="minorHAnsi" w:cstheme="minorHAnsi"/>
        </w:rPr>
        <w:t xml:space="preserve">,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DimOrderStatus</w:t>
      </w:r>
      <w:proofErr w:type="spellEnd"/>
      <w:r w:rsidRPr="00DD668D">
        <w:rPr>
          <w:rFonts w:asciiTheme="minorHAnsi" w:hAnsiTheme="minorHAnsi" w:cstheme="minorHAnsi"/>
        </w:rPr>
        <w:t xml:space="preserve">, </w:t>
      </w:r>
      <w:proofErr w:type="spellStart"/>
      <w:r w:rsidRPr="00DD668D">
        <w:rPr>
          <w:rStyle w:val="HTMLCode"/>
          <w:rFonts w:asciiTheme="minorHAnsi" w:eastAsiaTheme="majorEastAsia" w:hAnsiTheme="minorHAnsi" w:cstheme="minorHAnsi"/>
        </w:rPr>
        <w:t>FactOrderItem</w:t>
      </w:r>
      <w:proofErr w:type="spellEnd"/>
      <w:r w:rsidRPr="00DD668D">
        <w:rPr>
          <w:rFonts w:asciiTheme="minorHAnsi" w:hAnsiTheme="minorHAnsi" w:cstheme="minorHAnsi"/>
        </w:rPr>
        <w:t xml:space="preserve"> usw. – kein IoT oder externe Daten notwendig.</w:t>
      </w:r>
    </w:p>
    <w:p w:rsidR="00DD668D" w:rsidRPr="00DD668D" w:rsidRDefault="00DD668D" w:rsidP="00DD668D">
      <w:pPr>
        <w:pStyle w:val="StandardWeb"/>
        <w:rPr>
          <w:rFonts w:asciiTheme="minorHAnsi" w:hAnsiTheme="minorHAnsi" w:cstheme="minorHAnsi"/>
        </w:rPr>
      </w:pPr>
      <w:r w:rsidRPr="00DD668D">
        <w:rPr>
          <w:rStyle w:val="Fett"/>
          <w:rFonts w:asciiTheme="minorHAnsi" w:eastAsiaTheme="majorEastAsia" w:hAnsiTheme="minorHAnsi" w:cstheme="minorHAnsi"/>
        </w:rPr>
        <w:t>Frühwarncharakter:</w:t>
      </w:r>
    </w:p>
    <w:p w:rsidR="00DD668D" w:rsidRPr="00DD668D" w:rsidRDefault="00DD668D" w:rsidP="00DD668D">
      <w:pPr>
        <w:pStyle w:val="StandardWeb"/>
        <w:numPr>
          <w:ilvl w:val="0"/>
          <w:numId w:val="15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>Ein abrupter OTIF-Abfall → unmittelbarer Kunden-Impact.</w:t>
      </w:r>
    </w:p>
    <w:p w:rsidR="00DD668D" w:rsidRPr="00DD668D" w:rsidRDefault="00DD668D" w:rsidP="00DD668D">
      <w:pPr>
        <w:pStyle w:val="StandardWeb"/>
        <w:numPr>
          <w:ilvl w:val="0"/>
          <w:numId w:val="15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t xml:space="preserve">Eine steigende LTVI → oft </w:t>
      </w:r>
      <w:r w:rsidRPr="00DD668D">
        <w:rPr>
          <w:rStyle w:val="Fett"/>
          <w:rFonts w:asciiTheme="minorHAnsi" w:eastAsiaTheme="majorEastAsia" w:hAnsiTheme="minorHAnsi" w:cstheme="minorHAnsi"/>
        </w:rPr>
        <w:t>vor</w:t>
      </w:r>
      <w:r w:rsidRPr="00DD668D">
        <w:rPr>
          <w:rFonts w:asciiTheme="minorHAnsi" w:hAnsiTheme="minorHAnsi" w:cstheme="minorHAnsi"/>
        </w:rPr>
        <w:t xml:space="preserve"> einem OTIF-Einbruch – ein echter </w:t>
      </w:r>
      <w:proofErr w:type="spellStart"/>
      <w:r w:rsidRPr="00DD668D">
        <w:rPr>
          <w:rStyle w:val="Hervorhebung"/>
          <w:rFonts w:asciiTheme="minorHAnsi" w:eastAsiaTheme="majorEastAsia" w:hAnsiTheme="minorHAnsi" w:cstheme="minorHAnsi"/>
        </w:rPr>
        <w:t>Leading</w:t>
      </w:r>
      <w:proofErr w:type="spellEnd"/>
      <w:r w:rsidRPr="00DD668D">
        <w:rPr>
          <w:rStyle w:val="Hervorhebung"/>
          <w:rFonts w:asciiTheme="minorHAnsi" w:eastAsiaTheme="majorEastAsia" w:hAnsiTheme="minorHAnsi" w:cstheme="minorHAnsi"/>
        </w:rPr>
        <w:t xml:space="preserve"> </w:t>
      </w:r>
      <w:proofErr w:type="spellStart"/>
      <w:r w:rsidRPr="00DD668D">
        <w:rPr>
          <w:rStyle w:val="Hervorhebung"/>
          <w:rFonts w:asciiTheme="minorHAnsi" w:eastAsiaTheme="majorEastAsia" w:hAnsiTheme="minorHAnsi" w:cstheme="minorHAnsi"/>
        </w:rPr>
        <w:t>Indicator</w:t>
      </w:r>
      <w:proofErr w:type="spellEnd"/>
      <w:r w:rsidRPr="00DD668D">
        <w:rPr>
          <w:rFonts w:asciiTheme="minorHAnsi" w:hAnsiTheme="minorHAnsi" w:cstheme="minorHAnsi"/>
        </w:rPr>
        <w:t>.</w:t>
      </w:r>
    </w:p>
    <w:p w:rsidR="00DD668D" w:rsidRPr="00DD668D" w:rsidRDefault="00DD668D" w:rsidP="00DD668D">
      <w:pPr>
        <w:pStyle w:val="StandardWeb"/>
        <w:numPr>
          <w:ilvl w:val="0"/>
          <w:numId w:val="15"/>
        </w:numPr>
        <w:rPr>
          <w:rFonts w:asciiTheme="minorHAnsi" w:hAnsiTheme="minorHAnsi" w:cstheme="minorHAnsi"/>
        </w:rPr>
      </w:pPr>
      <w:r w:rsidRPr="00DD668D">
        <w:rPr>
          <w:rFonts w:asciiTheme="minorHAnsi" w:hAnsiTheme="minorHAnsi" w:cstheme="minorHAnsi"/>
        </w:rPr>
        <w:lastRenderedPageBreak/>
        <w:t>Ein verlängertes TTR → zeigt strukturelle Schwächen, auch wenn der Service sich scheinbar erholt hat.</w:t>
      </w:r>
    </w:p>
    <w:p w:rsidR="00DD668D" w:rsidRPr="00DD668D" w:rsidRDefault="00DD668D" w:rsidP="00DD668D">
      <w:pPr>
        <w:rPr>
          <w:rFonts w:asciiTheme="minorHAnsi" w:hAnsiTheme="minorHAnsi" w:cstheme="minorHAnsi"/>
        </w:rPr>
      </w:pPr>
    </w:p>
    <w:p w:rsidR="000C1065" w:rsidRPr="00DD668D" w:rsidRDefault="000C1065" w:rsidP="000C1065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</w:p>
    <w:p w:rsidR="000C1065" w:rsidRPr="00DD668D" w:rsidRDefault="000C1065" w:rsidP="000C1065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</w:p>
    <w:p w:rsidR="000C1065" w:rsidRPr="00DD668D" w:rsidRDefault="000C1065" w:rsidP="000C1065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</w:p>
    <w:p w:rsidR="000C1065" w:rsidRPr="00DD668D" w:rsidRDefault="000C1065" w:rsidP="000C1065">
      <w:pPr>
        <w:spacing w:before="100" w:beforeAutospacing="1" w:after="100" w:afterAutospacing="1"/>
        <w:outlineLvl w:val="2"/>
        <w:rPr>
          <w:rFonts w:asciiTheme="minorHAnsi" w:hAnsiTheme="minorHAnsi" w:cstheme="minorHAnsi"/>
        </w:rPr>
      </w:pPr>
    </w:p>
    <w:p w:rsidR="00B16DAE" w:rsidRPr="00DD668D" w:rsidRDefault="00B16DAE" w:rsidP="00B16DAE">
      <w:pPr>
        <w:rPr>
          <w:rFonts w:asciiTheme="minorHAnsi" w:hAnsiTheme="minorHAnsi" w:cstheme="minorHAnsi"/>
        </w:rPr>
      </w:pPr>
    </w:p>
    <w:sectPr w:rsidR="00B16DAE" w:rsidRPr="00DD6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3B2B"/>
    <w:multiLevelType w:val="multilevel"/>
    <w:tmpl w:val="255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13DF"/>
    <w:multiLevelType w:val="multilevel"/>
    <w:tmpl w:val="F98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333E1"/>
    <w:multiLevelType w:val="multilevel"/>
    <w:tmpl w:val="DBD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661D7"/>
    <w:multiLevelType w:val="hybridMultilevel"/>
    <w:tmpl w:val="B036AA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96C2F"/>
    <w:multiLevelType w:val="multilevel"/>
    <w:tmpl w:val="422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097E"/>
    <w:multiLevelType w:val="multilevel"/>
    <w:tmpl w:val="BC9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23CA2"/>
    <w:multiLevelType w:val="multilevel"/>
    <w:tmpl w:val="851C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11A0F"/>
    <w:multiLevelType w:val="hybridMultilevel"/>
    <w:tmpl w:val="348EA37C"/>
    <w:lvl w:ilvl="0" w:tplc="932EB2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31AEB"/>
    <w:multiLevelType w:val="multilevel"/>
    <w:tmpl w:val="C2B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180"/>
    <w:multiLevelType w:val="multilevel"/>
    <w:tmpl w:val="094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17F0E"/>
    <w:multiLevelType w:val="multilevel"/>
    <w:tmpl w:val="2E2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B5345"/>
    <w:multiLevelType w:val="multilevel"/>
    <w:tmpl w:val="A60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34"/>
    <w:multiLevelType w:val="multilevel"/>
    <w:tmpl w:val="310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12F1E"/>
    <w:multiLevelType w:val="multilevel"/>
    <w:tmpl w:val="A61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50CD8"/>
    <w:multiLevelType w:val="multilevel"/>
    <w:tmpl w:val="F6D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247">
    <w:abstractNumId w:val="3"/>
  </w:num>
  <w:num w:numId="2" w16cid:durableId="103157869">
    <w:abstractNumId w:val="7"/>
  </w:num>
  <w:num w:numId="3" w16cid:durableId="123277236">
    <w:abstractNumId w:val="12"/>
  </w:num>
  <w:num w:numId="4" w16cid:durableId="1387947169">
    <w:abstractNumId w:val="1"/>
  </w:num>
  <w:num w:numId="5" w16cid:durableId="1702589606">
    <w:abstractNumId w:val="9"/>
  </w:num>
  <w:num w:numId="6" w16cid:durableId="1146161191">
    <w:abstractNumId w:val="8"/>
  </w:num>
  <w:num w:numId="7" w16cid:durableId="1112549101">
    <w:abstractNumId w:val="13"/>
  </w:num>
  <w:num w:numId="8" w16cid:durableId="1029725199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36038164">
    <w:abstractNumId w:val="4"/>
  </w:num>
  <w:num w:numId="10" w16cid:durableId="474764155">
    <w:abstractNumId w:val="14"/>
  </w:num>
  <w:num w:numId="11" w16cid:durableId="1870726125">
    <w:abstractNumId w:val="11"/>
  </w:num>
  <w:num w:numId="12" w16cid:durableId="1554654735">
    <w:abstractNumId w:val="6"/>
  </w:num>
  <w:num w:numId="13" w16cid:durableId="888806240">
    <w:abstractNumId w:val="5"/>
  </w:num>
  <w:num w:numId="14" w16cid:durableId="424112843">
    <w:abstractNumId w:val="10"/>
  </w:num>
  <w:num w:numId="15" w16cid:durableId="170679053">
    <w:abstractNumId w:val="0"/>
  </w:num>
  <w:num w:numId="16" w16cid:durableId="1502699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AE"/>
    <w:rsid w:val="00080371"/>
    <w:rsid w:val="000C1065"/>
    <w:rsid w:val="001512EE"/>
    <w:rsid w:val="001B5EDB"/>
    <w:rsid w:val="00263330"/>
    <w:rsid w:val="00264CF4"/>
    <w:rsid w:val="002A4627"/>
    <w:rsid w:val="00305F89"/>
    <w:rsid w:val="00380427"/>
    <w:rsid w:val="003F68B1"/>
    <w:rsid w:val="0041038C"/>
    <w:rsid w:val="004B4712"/>
    <w:rsid w:val="00570357"/>
    <w:rsid w:val="005A7B6F"/>
    <w:rsid w:val="005E1AEF"/>
    <w:rsid w:val="00642771"/>
    <w:rsid w:val="006953EF"/>
    <w:rsid w:val="006F25D4"/>
    <w:rsid w:val="00723DD6"/>
    <w:rsid w:val="00785799"/>
    <w:rsid w:val="007D36D3"/>
    <w:rsid w:val="00837B49"/>
    <w:rsid w:val="008631FF"/>
    <w:rsid w:val="008901D2"/>
    <w:rsid w:val="008C6986"/>
    <w:rsid w:val="008F29F2"/>
    <w:rsid w:val="00935EF6"/>
    <w:rsid w:val="009933AA"/>
    <w:rsid w:val="00B16DAE"/>
    <w:rsid w:val="00BA033D"/>
    <w:rsid w:val="00BC7B6C"/>
    <w:rsid w:val="00CC6EF4"/>
    <w:rsid w:val="00D171A2"/>
    <w:rsid w:val="00DD668D"/>
    <w:rsid w:val="00E12423"/>
    <w:rsid w:val="00E25483"/>
    <w:rsid w:val="00EB0A1D"/>
    <w:rsid w:val="00EC3388"/>
    <w:rsid w:val="00F77B43"/>
    <w:rsid w:val="00FD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4CD6"/>
  <w15:chartTrackingRefBased/>
  <w15:docId w15:val="{31C12B0A-EA1E-9D45-91A6-6026230B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1065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D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D668D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1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6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6D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6D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6D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6D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668D"/>
    <w:rPr>
      <w:rFonts w:asciiTheme="majorHAnsi" w:eastAsiaTheme="majorEastAsia" w:hAnsiTheme="majorHAnsi" w:cstheme="majorBidi"/>
      <w:b/>
      <w:color w:val="000000" w:themeColor="text1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668D"/>
    <w:rPr>
      <w:rFonts w:asciiTheme="majorHAnsi" w:eastAsiaTheme="majorEastAsia" w:hAnsiTheme="majorHAnsi" w:cstheme="majorBidi"/>
      <w:color w:val="000000" w:themeColor="text1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D668D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16DA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6DA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6D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6D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6D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6D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6D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6D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6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6D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6D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6DA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6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6DA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6DAE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Standard"/>
    <w:rsid w:val="00B16DA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B16DAE"/>
  </w:style>
  <w:style w:type="character" w:customStyle="1" w:styleId="eop">
    <w:name w:val="eop"/>
    <w:basedOn w:val="Absatz-Standardschriftart"/>
    <w:rsid w:val="00B16DAE"/>
  </w:style>
  <w:style w:type="character" w:customStyle="1" w:styleId="tabchar">
    <w:name w:val="tabchar"/>
    <w:basedOn w:val="Absatz-Standardschriftart"/>
    <w:rsid w:val="00B16DAE"/>
  </w:style>
  <w:style w:type="character" w:customStyle="1" w:styleId="scxw219604938">
    <w:name w:val="scxw219604938"/>
    <w:basedOn w:val="Absatz-Standardschriftart"/>
    <w:rsid w:val="00B16DAE"/>
  </w:style>
  <w:style w:type="character" w:styleId="Fett">
    <w:name w:val="Strong"/>
    <w:basedOn w:val="Absatz-Standardschriftart"/>
    <w:uiPriority w:val="22"/>
    <w:qFormat/>
    <w:rsid w:val="000C106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C1065"/>
    <w:pPr>
      <w:spacing w:before="100" w:beforeAutospacing="1" w:after="100" w:afterAutospacing="1"/>
    </w:pPr>
  </w:style>
  <w:style w:type="character" w:customStyle="1" w:styleId="katex">
    <w:name w:val="katex"/>
    <w:basedOn w:val="Absatz-Standardschriftart"/>
    <w:rsid w:val="000C1065"/>
  </w:style>
  <w:style w:type="character" w:styleId="HTMLCode">
    <w:name w:val="HTML Code"/>
    <w:basedOn w:val="Absatz-Standardschriftart"/>
    <w:uiPriority w:val="99"/>
    <w:semiHidden/>
    <w:unhideWhenUsed/>
    <w:rsid w:val="000C106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0C1065"/>
    <w:rPr>
      <w:color w:val="0000FF"/>
      <w:u w:val="single"/>
    </w:rPr>
  </w:style>
  <w:style w:type="character" w:styleId="Hervorhebung">
    <w:name w:val="Emphasis"/>
    <w:basedOn w:val="Absatz-Standardschriftart"/>
    <w:uiPriority w:val="20"/>
    <w:qFormat/>
    <w:rsid w:val="00DD668D"/>
    <w:rPr>
      <w:i/>
      <w:iCs/>
    </w:rPr>
  </w:style>
  <w:style w:type="character" w:styleId="BesuchterLink">
    <w:name w:val="FollowedHyperlink"/>
    <w:basedOn w:val="Absatz-Standardschriftart"/>
    <w:uiPriority w:val="99"/>
    <w:semiHidden/>
    <w:unhideWhenUsed/>
    <w:rsid w:val="003F68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9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4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4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1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4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8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65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50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48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63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02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8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1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0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7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8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3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1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66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45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7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8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3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9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62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9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8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71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9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4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.hubspotusercontent30.net/hubfs/4865135/WeeklyBlast/047%20Metrics%20for%20Supply%20Chain%20Resilience.pdf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85731018_The_Impact_of_Lead_Time_Variability_on_Supply_Chain_Management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mdpi.com/2227-7390/12/21/3372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20a1ad1bc4be9dc590fa6a255cf7dfdf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c54f64d43aae6aa60034539906605ef2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91CA4A77-785C-4086-9726-45ED7A0CB3A0}"/>
</file>

<file path=customXml/itemProps2.xml><?xml version="1.0" encoding="utf-8"?>
<ds:datastoreItem xmlns:ds="http://schemas.openxmlformats.org/officeDocument/2006/customXml" ds:itemID="{2BE5022D-19B1-41D6-84B1-95AF5E144AB7}"/>
</file>

<file path=customXml/itemProps3.xml><?xml version="1.0" encoding="utf-8"?>
<ds:datastoreItem xmlns:ds="http://schemas.openxmlformats.org/officeDocument/2006/customXml" ds:itemID="{92BA2D2A-B894-4CBD-A7E3-5FA6073995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4308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Erkol</dc:creator>
  <cp:keywords/>
  <dc:description/>
  <cp:lastModifiedBy>Semih Erkol</cp:lastModifiedBy>
  <cp:revision>1</cp:revision>
  <dcterms:created xsi:type="dcterms:W3CDTF">2025-06-19T09:11:00Z</dcterms:created>
  <dcterms:modified xsi:type="dcterms:W3CDTF">2025-06-19T11:35:00Z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</Properties>
</file>