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2002" w14:textId="52594A3D" w:rsidR="4581F8B3" w:rsidRPr="001315C2" w:rsidRDefault="4581F8B3" w:rsidP="0C2B28FF">
      <w:pPr>
        <w:jc w:val="center"/>
        <w:rPr>
          <w:rFonts w:ascii="Calibri" w:eastAsia="Calibri" w:hAnsi="Calibri" w:cs="Calibri"/>
          <w:b/>
          <w:bCs/>
          <w:sz w:val="36"/>
          <w:szCs w:val="36"/>
          <w:u w:val="single"/>
        </w:rPr>
      </w:pPr>
      <w:r w:rsidRPr="5540CE23">
        <w:rPr>
          <w:rFonts w:ascii="Calibri" w:eastAsia="Calibri" w:hAnsi="Calibri" w:cs="Calibri"/>
          <w:b/>
          <w:bCs/>
          <w:sz w:val="36"/>
          <w:szCs w:val="36"/>
          <w:u w:val="single"/>
        </w:rPr>
        <w:t>Data Visualization integrated Solution</w:t>
      </w:r>
    </w:p>
    <w:p w14:paraId="698DE62E" w14:textId="2E261150" w:rsidR="4581F8B3" w:rsidRPr="001315C2" w:rsidRDefault="4581F8B3" w:rsidP="0C2B28FF">
      <w:pPr>
        <w:pStyle w:val="Heading4"/>
        <w:spacing w:before="319" w:after="319"/>
        <w:rPr>
          <w:rFonts w:hint="eastAsia"/>
          <w:lang w:val="en-US"/>
        </w:rPr>
      </w:pPr>
      <w:r w:rsidRPr="001315C2">
        <w:rPr>
          <w:rFonts w:ascii="Calibri" w:eastAsia="Calibri" w:hAnsi="Calibri" w:cs="Calibri"/>
          <w:b/>
          <w:lang w:val="en-US"/>
        </w:rPr>
        <w:t>1. Error Rate</w:t>
      </w:r>
      <w:r w:rsidR="001315C2" w:rsidRPr="001315C2">
        <w:rPr>
          <w:rFonts w:ascii="Calibri" w:eastAsia="Calibri" w:hAnsi="Calibri" w:cs="Calibri"/>
          <w:b/>
          <w:lang w:val="en-US"/>
        </w:rPr>
        <w:t xml:space="preserve"> </w:t>
      </w:r>
      <w:r w:rsidR="00EE0690">
        <w:rPr>
          <w:rFonts w:ascii="Calibri" w:eastAsia="Calibri" w:hAnsi="Calibri" w:cs="Calibri"/>
          <w:b/>
          <w:lang w:val="en-US"/>
        </w:rPr>
        <w:t xml:space="preserve">- </w:t>
      </w:r>
      <w:r w:rsidR="001A26FB">
        <w:rPr>
          <w:rFonts w:ascii="Calibri" w:eastAsia="Calibri" w:hAnsi="Calibri" w:cs="Calibri"/>
          <w:b/>
          <w:lang w:val="en-US"/>
        </w:rPr>
        <w:t>Sarah</w:t>
      </w:r>
    </w:p>
    <w:p w14:paraId="22BEDE14" w14:textId="7AB058A6" w:rsidR="4581F8B3" w:rsidRPr="001315C2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KPI Definition:</w:t>
      </w:r>
    </w:p>
    <w:p w14:paraId="0FBA488C" w14:textId="1EE39BA0" w:rsidR="4581F8B3" w:rsidRPr="001315C2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Error Rate = (Number of Total Errors / Total Orders) × 100%</w:t>
      </w:r>
    </w:p>
    <w:p w14:paraId="1E5B5565" w14:textId="70B5C732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What does it measure?</w:t>
      </w:r>
    </w:p>
    <w:p w14:paraId="01216E39" w14:textId="435A50D6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This KPI tracks how often things go wrong in the order process – such as incorrect items, wrong quantities, damaged goods, or failed deliveries.</w:t>
      </w:r>
    </w:p>
    <w:p w14:paraId="1E338435" w14:textId="62EE4609" w:rsidR="4581F8B3" w:rsidRDefault="4581F8B3" w:rsidP="0C2B28FF">
      <w:pPr>
        <w:spacing w:before="240" w:after="240"/>
      </w:pPr>
      <w:r w:rsidRPr="0C2B28FF">
        <w:rPr>
          <w:rFonts w:ascii="Calibri" w:eastAsia="Calibri" w:hAnsi="Calibri" w:cs="Calibri"/>
          <w:b/>
          <w:bCs/>
        </w:rPr>
        <w:t>Error is defined as:</w:t>
      </w:r>
    </w:p>
    <w:p w14:paraId="75AFC4A8" w14:textId="2CC1A291" w:rsidR="4581F8B3" w:rsidRPr="00EE0690" w:rsidRDefault="4581F8B3" w:rsidP="0C2B28FF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An order that was not delivered</w:t>
      </w:r>
    </w:p>
    <w:p w14:paraId="622CCD6B" w14:textId="0797B517" w:rsidR="4581F8B3" w:rsidRPr="00EE0690" w:rsidRDefault="4581F8B3" w:rsidP="0C2B28FF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 xml:space="preserve">An order with </w:t>
      </w:r>
      <w:r w:rsidRPr="5540CE23">
        <w:rPr>
          <w:rFonts w:ascii="Calibri" w:eastAsia="Calibri" w:hAnsi="Calibri" w:cs="Calibri"/>
          <w:b/>
          <w:bCs/>
        </w:rPr>
        <w:t>both</w:t>
      </w:r>
      <w:r w:rsidRPr="5540CE23">
        <w:rPr>
          <w:rFonts w:ascii="Calibri" w:eastAsia="Calibri" w:hAnsi="Calibri" w:cs="Calibri"/>
        </w:rPr>
        <w:t xml:space="preserve"> a late delivery risk </w:t>
      </w:r>
      <w:r w:rsidRPr="5540CE23">
        <w:rPr>
          <w:rFonts w:ascii="Calibri" w:eastAsia="Calibri" w:hAnsi="Calibri" w:cs="Calibri"/>
          <w:b/>
          <w:bCs/>
        </w:rPr>
        <w:t>and</w:t>
      </w:r>
      <w:r w:rsidRPr="5540CE23">
        <w:rPr>
          <w:rFonts w:ascii="Calibri" w:eastAsia="Calibri" w:hAnsi="Calibri" w:cs="Calibri"/>
        </w:rPr>
        <w:t xml:space="preserve"> a high delay</w:t>
      </w:r>
    </w:p>
    <w:p w14:paraId="7F68C590" w14:textId="297FD7F5" w:rsidR="4581F8B3" w:rsidRPr="00EE0690" w:rsidRDefault="4581F8B3" w:rsidP="0C2B28FF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A mismatch (e.g. quantity is too low or zero, but the total price is greater than 0)</w:t>
      </w:r>
    </w:p>
    <w:p w14:paraId="26B955CC" w14:textId="06F4FC50" w:rsidR="0C2B28FF" w:rsidRPr="00EE0690" w:rsidRDefault="0C2B28FF">
      <w:pPr>
        <w:rPr>
          <w:lang w:val="en-US"/>
        </w:rPr>
      </w:pPr>
    </w:p>
    <w:p w14:paraId="56C959ED" w14:textId="4FF98D9F" w:rsidR="4581F8B3" w:rsidRPr="00EE0690" w:rsidRDefault="4581F8B3" w:rsidP="0C2B28FF">
      <w:pPr>
        <w:pStyle w:val="Heading4"/>
        <w:spacing w:before="319" w:after="319"/>
      </w:pPr>
      <w:r w:rsidRPr="5540CE23">
        <w:rPr>
          <w:rFonts w:ascii="Calibri" w:eastAsia="Calibri" w:hAnsi="Calibri" w:cs="Calibri"/>
          <w:b/>
          <w:bCs/>
        </w:rPr>
        <w:t>2. Order Fulfilment Time</w:t>
      </w:r>
      <w:r w:rsidR="007225A3" w:rsidRPr="5540CE23">
        <w:rPr>
          <w:rFonts w:ascii="Calibri" w:eastAsia="Calibri" w:hAnsi="Calibri" w:cs="Calibri"/>
          <w:b/>
          <w:bCs/>
        </w:rPr>
        <w:t xml:space="preserve"> </w:t>
      </w:r>
      <w:r w:rsidR="003C0CFC" w:rsidRPr="5540CE23">
        <w:rPr>
          <w:rFonts w:ascii="Calibri" w:eastAsia="Calibri" w:hAnsi="Calibri" w:cs="Calibri"/>
          <w:b/>
          <w:bCs/>
        </w:rPr>
        <w:t xml:space="preserve">- </w:t>
      </w:r>
      <w:r w:rsidR="00F33957" w:rsidRPr="5540CE23">
        <w:rPr>
          <w:rFonts w:ascii="Calibri" w:eastAsia="Calibri" w:hAnsi="Calibri" w:cs="Calibri"/>
          <w:b/>
          <w:bCs/>
        </w:rPr>
        <w:t>Sarah</w:t>
      </w:r>
    </w:p>
    <w:p w14:paraId="7249AFDF" w14:textId="08BD653B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KPI Definition:</w:t>
      </w:r>
    </w:p>
    <w:p w14:paraId="1782417C" w14:textId="6D19D7AB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Fulfilment Time = Shipping Date – Order Date</w:t>
      </w:r>
    </w:p>
    <w:p w14:paraId="11222458" w14:textId="09C8BC7C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What is it?</w:t>
      </w:r>
    </w:p>
    <w:p w14:paraId="36141FE8" w14:textId="41319CC5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This represents the number of days between the moment a customer places an order and when it leaves the warehouse.</w:t>
      </w:r>
    </w:p>
    <w:p w14:paraId="6845E161" w14:textId="41C0BAAD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How do you use it?</w:t>
      </w:r>
    </w:p>
    <w:p w14:paraId="0A25F183" w14:textId="7AA3E2D9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Subtract the order date from the shipping date – this gives the processing time.</w:t>
      </w:r>
    </w:p>
    <w:p w14:paraId="63700F7E" w14:textId="5C6C15C6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Why is it important?</w:t>
      </w:r>
    </w:p>
    <w:p w14:paraId="27CEA4F9" w14:textId="641FD2E3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If fulfilment times are increasing, it may indicate warehouse issues, such as staff shortages or stock problems.</w:t>
      </w:r>
    </w:p>
    <w:p w14:paraId="1598215F" w14:textId="1B14DBA6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KPI Prediction (optional):</w:t>
      </w:r>
    </w:p>
    <w:p w14:paraId="6F64B9BA" w14:textId="19FE2DA2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How many days will it take from order placement until the shipment leaves the warehouse?</w:t>
      </w:r>
    </w:p>
    <w:p w14:paraId="606E7739" w14:textId="45FAD901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Visualization:</w:t>
      </w:r>
    </w:p>
    <w:p w14:paraId="219094D1" w14:textId="7B2D167D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Images or timeline charts can show average fulfilment times and identify outliers.</w:t>
      </w:r>
    </w:p>
    <w:p w14:paraId="447E3ACE" w14:textId="03EBCC3E" w:rsidR="0C2B28FF" w:rsidRPr="00EE0690" w:rsidRDefault="0C2B28FF">
      <w:pPr>
        <w:rPr>
          <w:lang w:val="en-US"/>
        </w:rPr>
      </w:pPr>
    </w:p>
    <w:p w14:paraId="7BFD57AB" w14:textId="5A458C3B" w:rsidR="4581F8B3" w:rsidRPr="00EE0690" w:rsidRDefault="4581F8B3" w:rsidP="0C2B28FF">
      <w:pPr>
        <w:pStyle w:val="Heading4"/>
        <w:spacing w:before="319" w:after="319"/>
      </w:pPr>
      <w:r w:rsidRPr="5540CE23">
        <w:rPr>
          <w:rFonts w:ascii="Calibri" w:eastAsia="Calibri" w:hAnsi="Calibri" w:cs="Calibri"/>
          <w:b/>
          <w:bCs/>
        </w:rPr>
        <w:t>3. On-Time-In-Full Delivery Rate (OTIF)</w:t>
      </w:r>
      <w:r w:rsidR="42D6721A" w:rsidRPr="5540CE23">
        <w:rPr>
          <w:rFonts w:ascii="Calibri" w:eastAsia="Calibri" w:hAnsi="Calibri" w:cs="Calibri"/>
          <w:b/>
          <w:bCs/>
        </w:rPr>
        <w:t xml:space="preserve"> - Semih</w:t>
      </w:r>
    </w:p>
    <w:p w14:paraId="545B33E2" w14:textId="167D3FDC" w:rsidR="4581F8B3" w:rsidRPr="00EE0690" w:rsidRDefault="4581F8B3" w:rsidP="0C2B28FF">
      <w:pPr>
        <w:spacing w:before="240" w:after="240"/>
        <w:rPr>
          <w:lang w:val="en-US"/>
        </w:rPr>
      </w:pPr>
      <w:r w:rsidRPr="00EE0690">
        <w:rPr>
          <w:rFonts w:ascii="Calibri" w:eastAsia="Calibri" w:hAnsi="Calibri" w:cs="Calibri"/>
          <w:b/>
          <w:lang w:val="en-US"/>
        </w:rPr>
        <w:t>Purpose:</w:t>
      </w:r>
    </w:p>
    <w:p w14:paraId="27582844" w14:textId="48151305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Measures whether deliveries arrive </w:t>
      </w:r>
      <w:r w:rsidRPr="5540CE23">
        <w:rPr>
          <w:rFonts w:ascii="Calibri" w:eastAsia="Calibri" w:hAnsi="Calibri" w:cs="Calibri"/>
          <w:b/>
          <w:bCs/>
        </w:rPr>
        <w:t>on time</w:t>
      </w:r>
      <w:r w:rsidRPr="5540CE23">
        <w:rPr>
          <w:rFonts w:ascii="Calibri" w:eastAsia="Calibri" w:hAnsi="Calibri" w:cs="Calibri"/>
        </w:rPr>
        <w:t xml:space="preserve"> (within the agreed delivery window) </w:t>
      </w:r>
      <w:r w:rsidRPr="5540CE23">
        <w:rPr>
          <w:rFonts w:ascii="Calibri" w:eastAsia="Calibri" w:hAnsi="Calibri" w:cs="Calibri"/>
          <w:b/>
          <w:bCs/>
        </w:rPr>
        <w:t>and in full</w:t>
      </w:r>
      <w:r w:rsidRPr="5540CE23">
        <w:rPr>
          <w:rFonts w:ascii="Calibri" w:eastAsia="Calibri" w:hAnsi="Calibri" w:cs="Calibri"/>
        </w:rPr>
        <w:t xml:space="preserve"> (ordered ≈ delivered quantity).</w:t>
      </w:r>
    </w:p>
    <w:p w14:paraId="45FBBBC2" w14:textId="04AC3D26" w:rsidR="4581F8B3" w:rsidRPr="00EE0690" w:rsidRDefault="4581F8B3" w:rsidP="380545B7">
      <w:p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A drop in OTIF is often the first quantifiable sign of disruption in sourcing, production, or logistics.</w:t>
      </w:r>
    </w:p>
    <w:p w14:paraId="4FC12627" w14:textId="3A5C3F9B" w:rsidR="4581F8B3" w:rsidRPr="00EE0690" w:rsidRDefault="4581F8B3" w:rsidP="0C2B28FF">
      <w:pPr>
        <w:spacing w:before="240" w:after="240"/>
        <w:rPr>
          <w:lang w:val="en-US"/>
        </w:rPr>
      </w:pPr>
      <w:r w:rsidRPr="00EE0690">
        <w:rPr>
          <w:rFonts w:ascii="Calibri" w:eastAsia="Calibri" w:hAnsi="Calibri" w:cs="Calibri"/>
          <w:b/>
          <w:lang w:val="en-US"/>
        </w:rPr>
        <w:t>Formula:</w:t>
      </w:r>
    </w:p>
    <w:p w14:paraId="72559A36" w14:textId="0C6F5C75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OTIF = (Number of On-Time &amp; Complete Deliveries / Total Shipped Orders) × 100%</w:t>
      </w:r>
    </w:p>
    <w:p w14:paraId="6E6E24E6" w14:textId="53650ADD" w:rsidR="4581F8B3" w:rsidRPr="00EE0690" w:rsidRDefault="4581F8B3" w:rsidP="380545B7">
      <w:p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Where on-time = DaysForShippingReal = DaysForShipmentScheduled</w:t>
      </w:r>
    </w:p>
    <w:p w14:paraId="7C584E04" w14:textId="5AFA57B6" w:rsidR="4581F8B3" w:rsidRPr="00EE0690" w:rsidRDefault="4581F8B3" w:rsidP="0C2B28FF">
      <w:pPr>
        <w:spacing w:before="240" w:after="240"/>
        <w:rPr>
          <w:lang w:val="en-US"/>
        </w:rPr>
      </w:pPr>
      <w:r w:rsidRPr="00EE0690">
        <w:rPr>
          <w:rFonts w:ascii="Calibri" w:eastAsia="Calibri" w:hAnsi="Calibri" w:cs="Calibri"/>
          <w:b/>
          <w:lang w:val="en-US"/>
        </w:rPr>
        <w:t>Data Sources:</w:t>
      </w:r>
    </w:p>
    <w:p w14:paraId="39C45559" w14:textId="6B4C131F" w:rsidR="4581F8B3" w:rsidRPr="00EE0690" w:rsidRDefault="4581F8B3" w:rsidP="0C2B28FF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DimDate: Order date, shipping date, arrival date</w:t>
      </w:r>
    </w:p>
    <w:p w14:paraId="1705EAEC" w14:textId="0D379D65" w:rsidR="4581F8B3" w:rsidRDefault="4581F8B3" w:rsidP="0C2B28FF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</w:rPr>
        <w:t>DimShipping.ShippingDays: Planned delivery window</w:t>
      </w:r>
    </w:p>
    <w:p w14:paraId="75D9612D" w14:textId="79818B82" w:rsidR="4581F8B3" w:rsidRPr="00EE0690" w:rsidRDefault="4581F8B3" w:rsidP="0C2B28FF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FactOrderItem.Quantity: Compared to actual goods received (via external event or status “Completed”)</w:t>
      </w:r>
    </w:p>
    <w:p w14:paraId="083ED9BD" w14:textId="7C649E66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Literature Source:</w:t>
      </w:r>
    </w:p>
    <w:p w14:paraId="3E3D3500" w14:textId="71EE0C51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OTIF is widely cited as a key KPI for distribution and process efficiency, and it’s integrated into resilience frameworks.</w:t>
      </w:r>
    </w:p>
    <w:p w14:paraId="5D91D3C7" w14:textId="10F6EC22" w:rsidR="010D16A7" w:rsidRPr="00EE0690" w:rsidRDefault="010D16A7" w:rsidP="4BA90361">
      <w:pPr>
        <w:spacing w:before="240" w:after="240"/>
        <w:rPr>
          <w:rFonts w:ascii="Calibri" w:eastAsia="Calibri" w:hAnsi="Calibri" w:cs="Calibri"/>
          <w:lang w:val="en-US"/>
        </w:rPr>
      </w:pPr>
      <w:r w:rsidRPr="00EE0690">
        <w:rPr>
          <w:rFonts w:ascii="Calibri" w:eastAsia="Calibri" w:hAnsi="Calibri" w:cs="Calibri"/>
          <w:lang w:val="en-US"/>
        </w:rPr>
        <w:t xml:space="preserve">Quelle: </w:t>
      </w:r>
      <w:hyperlink r:id="rId8">
        <w:r w:rsidRPr="00EE0690">
          <w:rPr>
            <w:rStyle w:val="Hyperlink"/>
            <w:rFonts w:ascii="Calibri" w:eastAsia="Calibri" w:hAnsi="Calibri" w:cs="Calibri"/>
            <w:lang w:val="en-US"/>
          </w:rPr>
          <w:t>mdpi.com</w:t>
        </w:r>
      </w:hyperlink>
    </w:p>
    <w:p w14:paraId="330F5B15" w14:textId="19C46188" w:rsidR="0C2B28FF" w:rsidRPr="00EE0690" w:rsidRDefault="0C2B28FF">
      <w:pPr>
        <w:rPr>
          <w:lang w:val="en-US"/>
        </w:rPr>
      </w:pPr>
    </w:p>
    <w:p w14:paraId="7C0AB4F2" w14:textId="2E76FD10" w:rsidR="4581F8B3" w:rsidRPr="00C052AD" w:rsidRDefault="4581F8B3" w:rsidP="0C2B28FF">
      <w:pPr>
        <w:pStyle w:val="Heading4"/>
        <w:spacing w:before="319" w:after="319"/>
        <w:rPr>
          <w:rFonts w:ascii="Calibri" w:eastAsia="Calibri" w:hAnsi="Calibri" w:cs="Calibri"/>
          <w:b/>
          <w:lang w:val="en-US"/>
        </w:rPr>
      </w:pPr>
      <w:r w:rsidRPr="00C052AD">
        <w:rPr>
          <w:rFonts w:ascii="Calibri" w:eastAsia="Calibri" w:hAnsi="Calibri" w:cs="Calibri"/>
          <w:b/>
          <w:lang w:val="en-US"/>
        </w:rPr>
        <w:t>4. Lead Time Variability Index (LTVI)</w:t>
      </w:r>
      <w:r w:rsidR="42B2EC62" w:rsidRPr="00C052AD">
        <w:rPr>
          <w:rFonts w:ascii="Calibri" w:eastAsia="Calibri" w:hAnsi="Calibri" w:cs="Calibri"/>
          <w:b/>
          <w:bCs/>
          <w:lang w:val="en-US"/>
        </w:rPr>
        <w:t xml:space="preserve"> Semih</w:t>
      </w:r>
    </w:p>
    <w:p w14:paraId="45D9303E" w14:textId="72F2627C" w:rsidR="4581F8B3" w:rsidRPr="00EE0690" w:rsidRDefault="4581F8B3" w:rsidP="0C2B28FF">
      <w:pPr>
        <w:spacing w:before="240" w:after="240"/>
        <w:rPr>
          <w:lang w:val="en-US"/>
        </w:rPr>
      </w:pPr>
      <w:r w:rsidRPr="00EE0690">
        <w:rPr>
          <w:rFonts w:ascii="Calibri" w:eastAsia="Calibri" w:hAnsi="Calibri" w:cs="Calibri"/>
          <w:b/>
          <w:lang w:val="en-US"/>
        </w:rPr>
        <w:t>Purpose:</w:t>
      </w:r>
    </w:p>
    <w:p w14:paraId="77B93418" w14:textId="08F18BB4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Captures the variability in actual delivery lead times by product × supplier × route.</w:t>
      </w:r>
    </w:p>
    <w:p w14:paraId="5A4E4C71" w14:textId="7AD32FBB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High variance reduces planning reliability, forces higher safety stock, and increases the risk of part shortages.</w:t>
      </w:r>
    </w:p>
    <w:p w14:paraId="2E68FA4E" w14:textId="4D822EA0" w:rsidR="4581F8B3" w:rsidRPr="00EE0690" w:rsidRDefault="4581F8B3" w:rsidP="0C2B28FF">
      <w:pPr>
        <w:spacing w:before="240" w:after="240"/>
        <w:rPr>
          <w:lang w:val="en-US"/>
        </w:rPr>
      </w:pPr>
      <w:r w:rsidRPr="00EE0690">
        <w:rPr>
          <w:rFonts w:ascii="Calibri" w:eastAsia="Calibri" w:hAnsi="Calibri" w:cs="Calibri"/>
          <w:b/>
          <w:lang w:val="en-US"/>
        </w:rPr>
        <w:t>Formula:</w:t>
      </w:r>
    </w:p>
    <w:p w14:paraId="00D9CFBA" w14:textId="70F9375A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LTVI = Standard Deviation of Lead Time / Average Lead Time</w:t>
      </w:r>
    </w:p>
    <w:p w14:paraId="294E696A" w14:textId="0BEA2ACD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(Coefficient of Variation – e.g., per month or quarter)</w:t>
      </w:r>
    </w:p>
    <w:p w14:paraId="1472EC1D" w14:textId="5EADAC31" w:rsidR="4581F8B3" w:rsidRDefault="4581F8B3" w:rsidP="0C2B28FF">
      <w:pPr>
        <w:spacing w:before="240" w:after="240"/>
      </w:pPr>
      <w:r w:rsidRPr="0C2B28FF">
        <w:rPr>
          <w:rFonts w:ascii="Calibri" w:eastAsia="Calibri" w:hAnsi="Calibri" w:cs="Calibri"/>
          <w:b/>
          <w:bCs/>
        </w:rPr>
        <w:t>Data Sources:</w:t>
      </w:r>
    </w:p>
    <w:p w14:paraId="3F985074" w14:textId="6BF87486" w:rsidR="4581F8B3" w:rsidRDefault="4581F8B3" w:rsidP="0C2B28FF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</w:rPr>
        <w:t>DimShipping.ShippingDays: Planned lead time</w:t>
      </w:r>
    </w:p>
    <w:p w14:paraId="31DBB616" w14:textId="715DE354" w:rsidR="4581F8B3" w:rsidRPr="00EE0690" w:rsidRDefault="4581F8B3" w:rsidP="0C2B28FF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DimDate: Arrival date – order date (actual lead time)</w:t>
      </w:r>
    </w:p>
    <w:p w14:paraId="43B44CBA" w14:textId="12DBF28A" w:rsidR="4581F8B3" w:rsidRPr="00EE0690" w:rsidRDefault="4581F8B3" w:rsidP="0C2B28FF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Grouped by DimProduct.Supplier or DimLocation.Region</w:t>
      </w:r>
    </w:p>
    <w:p w14:paraId="3B05EAB8" w14:textId="31510784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Early Warning Value:</w:t>
      </w:r>
    </w:p>
    <w:p w14:paraId="2CB68655" w14:textId="5C0F3B26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A rising LTVI indicates decreasing predictability – a reliable early signal of potential supply issues.</w:t>
      </w:r>
    </w:p>
    <w:p w14:paraId="6EB798C4" w14:textId="586820BD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Literature Source:</w:t>
      </w:r>
    </w:p>
    <w:p w14:paraId="1348B358" w14:textId="11E8969E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Studies confirm that high lead time variability strongly correlates with rising costs and lower service levels.</w:t>
      </w:r>
    </w:p>
    <w:p w14:paraId="721D34F2" w14:textId="32A76576" w:rsidR="0F2319B9" w:rsidRPr="00EE0690" w:rsidRDefault="0F2319B9" w:rsidP="4BA90361">
      <w:pPr>
        <w:spacing w:before="240" w:after="240"/>
        <w:rPr>
          <w:rFonts w:ascii="Calibri" w:eastAsia="Calibri" w:hAnsi="Calibri" w:cs="Calibri"/>
          <w:lang w:val="en-US"/>
        </w:rPr>
      </w:pPr>
      <w:r w:rsidRPr="00EE0690">
        <w:rPr>
          <w:rFonts w:ascii="Calibri" w:eastAsia="Calibri" w:hAnsi="Calibri" w:cs="Calibri"/>
          <w:lang w:val="en-US"/>
        </w:rPr>
        <w:t xml:space="preserve">Quelle: </w:t>
      </w:r>
      <w:hyperlink r:id="rId9">
        <w:r w:rsidRPr="00EE0690">
          <w:rPr>
            <w:rStyle w:val="Hyperlink"/>
            <w:rFonts w:ascii="Calibri" w:eastAsia="Calibri" w:hAnsi="Calibri" w:cs="Calibri"/>
            <w:lang w:val="en-US"/>
          </w:rPr>
          <w:t>researchgate.net</w:t>
        </w:r>
      </w:hyperlink>
    </w:p>
    <w:p w14:paraId="2D90D965" w14:textId="499CDCF7" w:rsidR="0C2B28FF" w:rsidRPr="00EE0690" w:rsidRDefault="0C2B28FF">
      <w:pPr>
        <w:rPr>
          <w:lang w:val="en-US"/>
        </w:rPr>
      </w:pPr>
    </w:p>
    <w:p w14:paraId="73AD4D8F" w14:textId="3F2B429C" w:rsidR="4581F8B3" w:rsidRPr="00EE0690" w:rsidRDefault="4581F8B3" w:rsidP="0C2B28FF">
      <w:pPr>
        <w:pStyle w:val="Heading4"/>
        <w:spacing w:before="319" w:after="319"/>
        <w:rPr>
          <w:rFonts w:ascii="Calibri" w:eastAsia="Calibri" w:hAnsi="Calibri" w:cs="Calibri"/>
          <w:b/>
          <w:bCs/>
        </w:rPr>
      </w:pPr>
      <w:r w:rsidRPr="5540CE23">
        <w:rPr>
          <w:rFonts w:ascii="Calibri" w:eastAsia="Calibri" w:hAnsi="Calibri" w:cs="Calibri"/>
          <w:b/>
          <w:bCs/>
        </w:rPr>
        <w:t>5. Time-to-Recovery (TTR)</w:t>
      </w:r>
      <w:r w:rsidR="08D98321" w:rsidRPr="5540CE23">
        <w:rPr>
          <w:rFonts w:ascii="Calibri" w:eastAsia="Calibri" w:hAnsi="Calibri" w:cs="Calibri"/>
          <w:b/>
          <w:bCs/>
        </w:rPr>
        <w:t xml:space="preserve"> - Semih</w:t>
      </w:r>
    </w:p>
    <w:p w14:paraId="2BA7FB7A" w14:textId="173E14FE" w:rsidR="4581F8B3" w:rsidRPr="00EE0690" w:rsidRDefault="4581F8B3" w:rsidP="0C2B28FF">
      <w:pPr>
        <w:spacing w:before="240" w:after="240"/>
        <w:rPr>
          <w:lang w:val="en-US"/>
        </w:rPr>
      </w:pPr>
      <w:r w:rsidRPr="00EE0690">
        <w:rPr>
          <w:rFonts w:ascii="Calibri" w:eastAsia="Calibri" w:hAnsi="Calibri" w:cs="Calibri"/>
          <w:b/>
          <w:lang w:val="en-US"/>
        </w:rPr>
        <w:t>Purpose:</w:t>
      </w:r>
    </w:p>
    <w:p w14:paraId="45175887" w14:textId="77FD7295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Measures how quickly the supply chain recovers from a disruption (e.g., port strike, factory outage).</w:t>
      </w:r>
    </w:p>
    <w:p w14:paraId="6AF5216D" w14:textId="43B5B7AD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Short TTR values indicate high resilience; long recovery times point to structural weaknesses.</w:t>
      </w:r>
    </w:p>
    <w:p w14:paraId="12C3772E" w14:textId="665CF251" w:rsidR="4581F8B3" w:rsidRDefault="4581F8B3" w:rsidP="0C2B28FF">
      <w:pPr>
        <w:spacing w:before="240" w:after="240"/>
      </w:pPr>
      <w:r w:rsidRPr="0C2B28FF">
        <w:rPr>
          <w:rFonts w:ascii="Calibri" w:eastAsia="Calibri" w:hAnsi="Calibri" w:cs="Calibri"/>
          <w:b/>
          <w:bCs/>
        </w:rPr>
        <w:t>Calculation Steps:</w:t>
      </w:r>
    </w:p>
    <w:p w14:paraId="410C4458" w14:textId="3B62920E" w:rsidR="4581F8B3" w:rsidRPr="00EE0690" w:rsidRDefault="4581F8B3" w:rsidP="0C2B28FF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Identify the disruption start (e.g., drop in OTIF or rise in LTVI)</w:t>
      </w:r>
    </w:p>
    <w:p w14:paraId="568F8BB6" w14:textId="4FAC063E" w:rsidR="4581F8B3" w:rsidRPr="00EE0690" w:rsidRDefault="4581F8B3" w:rsidP="0C2B28FF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Track the day the KPI baseline (e.g., OTIF ≥ 90%) is restored</w:t>
      </w:r>
    </w:p>
    <w:p w14:paraId="138E3F0E" w14:textId="36064654" w:rsidR="4581F8B3" w:rsidRPr="00EE0690" w:rsidRDefault="4581F8B3" w:rsidP="0C2B28FF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  <w:lang w:val="en-US"/>
        </w:rPr>
      </w:pPr>
      <w:r w:rsidRPr="00EE0690">
        <w:rPr>
          <w:rFonts w:ascii="Calibri" w:eastAsia="Calibri" w:hAnsi="Calibri" w:cs="Calibri"/>
          <w:lang w:val="en-US"/>
        </w:rPr>
        <w:t>TTR = Recovery Date – Disruption Start Date</w:t>
      </w:r>
    </w:p>
    <w:p w14:paraId="30F51B35" w14:textId="6F7AF39E" w:rsidR="4581F8B3" w:rsidRDefault="4581F8B3" w:rsidP="0C2B28FF">
      <w:pPr>
        <w:spacing w:before="240" w:after="240"/>
      </w:pPr>
      <w:r w:rsidRPr="0C2B28FF">
        <w:rPr>
          <w:rFonts w:ascii="Calibri" w:eastAsia="Calibri" w:hAnsi="Calibri" w:cs="Calibri"/>
          <w:b/>
          <w:bCs/>
        </w:rPr>
        <w:t>Data Sources:</w:t>
      </w:r>
    </w:p>
    <w:p w14:paraId="30F9CDF9" w14:textId="54A728FA" w:rsidR="4581F8B3" w:rsidRPr="00EE0690" w:rsidRDefault="4581F8B3" w:rsidP="0C2B28FF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DimOrderStatus: Status codes like "On Hold", "Delayed", "Completed"</w:t>
      </w:r>
    </w:p>
    <w:p w14:paraId="74FF8F55" w14:textId="2EC655B0" w:rsidR="4581F8B3" w:rsidRPr="00EE0690" w:rsidRDefault="4581F8B3" w:rsidP="0C2B28FF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Tracked using OTIF and LTVI over time</w:t>
      </w:r>
    </w:p>
    <w:p w14:paraId="620F9B1F" w14:textId="4869ABD2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  <w:b/>
          <w:bCs/>
        </w:rPr>
        <w:t>Literature Source:</w:t>
      </w:r>
    </w:p>
    <w:p w14:paraId="024B8F09" w14:textId="5D8E2D0E" w:rsidR="4581F8B3" w:rsidRPr="00EE0690" w:rsidRDefault="4581F8B3" w:rsidP="0C2B28FF">
      <w:pPr>
        <w:spacing w:before="240" w:after="240"/>
        <w:rPr>
          <w:lang w:val="en-US"/>
        </w:rPr>
      </w:pPr>
      <w:r w:rsidRPr="380545B7">
        <w:rPr>
          <w:rFonts w:ascii="Calibri" w:eastAsia="Calibri" w:hAnsi="Calibri" w:cs="Calibri"/>
          <w:lang w:val="en-US"/>
        </w:rPr>
        <w:t>TTR is an established resilience metric, recommended for early-warning systems and scenario simulations.</w:t>
      </w:r>
    </w:p>
    <w:p w14:paraId="5107A593" w14:textId="3FA508E4" w:rsidR="42047474" w:rsidRPr="00EE0690" w:rsidRDefault="42047474" w:rsidP="4BA90361">
      <w:pPr>
        <w:spacing w:before="240" w:after="240"/>
        <w:rPr>
          <w:rFonts w:ascii="Calibri" w:eastAsia="Calibri" w:hAnsi="Calibri" w:cs="Calibri"/>
          <w:lang w:val="en-US"/>
        </w:rPr>
      </w:pPr>
      <w:r w:rsidRPr="00EE0690">
        <w:rPr>
          <w:rFonts w:ascii="Calibri" w:eastAsia="Calibri" w:hAnsi="Calibri" w:cs="Calibri"/>
          <w:lang w:val="en-US"/>
        </w:rPr>
        <w:t xml:space="preserve">Quelle: </w:t>
      </w:r>
      <w:hyperlink r:id="rId10">
        <w:r w:rsidRPr="00EE0690">
          <w:rPr>
            <w:rStyle w:val="Hyperlink"/>
            <w:rFonts w:ascii="Calibri" w:eastAsia="Calibri" w:hAnsi="Calibri" w:cs="Calibri"/>
            <w:lang w:val="en-US"/>
          </w:rPr>
          <w:t>f.hubspotusercontent30.net</w:t>
        </w:r>
      </w:hyperlink>
    </w:p>
    <w:p w14:paraId="3192DB44" w14:textId="5B08EE2C" w:rsidR="0C2B28FF" w:rsidRPr="00EE0690" w:rsidRDefault="0C2B28FF">
      <w:pPr>
        <w:rPr>
          <w:lang w:val="en-US"/>
        </w:rPr>
      </w:pPr>
    </w:p>
    <w:p w14:paraId="76391172" w14:textId="0F03E476" w:rsidR="4581F8B3" w:rsidRPr="00EE0690" w:rsidRDefault="4581F8B3" w:rsidP="0C2B28FF">
      <w:pPr>
        <w:pStyle w:val="Heading4"/>
        <w:spacing w:before="319" w:after="319"/>
      </w:pPr>
      <w:r w:rsidRPr="5540CE23">
        <w:rPr>
          <w:rFonts w:ascii="Calibri" w:eastAsia="Calibri" w:hAnsi="Calibri" w:cs="Calibri"/>
        </w:rPr>
        <w:t>Additional Indicators (Qualitative &amp; External)</w:t>
      </w:r>
    </w:p>
    <w:p w14:paraId="39E3CCFB" w14:textId="5C26C959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>Besides the quantitative KPIs, the following external signals can also enhance early-warning capability:</w:t>
      </w:r>
    </w:p>
    <w:p w14:paraId="72A69422" w14:textId="4C08981A" w:rsidR="4581F8B3" w:rsidRPr="00EE0690" w:rsidRDefault="4581F8B3" w:rsidP="0C2B28FF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Supplier news (e.g., bankruptcy, strikes, natural disasters)</w:t>
      </w:r>
    </w:p>
    <w:p w14:paraId="7C048CEE" w14:textId="47F8E220" w:rsidR="4581F8B3" w:rsidRPr="00EE0690" w:rsidRDefault="4581F8B3" w:rsidP="0C2B28FF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Keyword-filtered news via Power BI tools</w:t>
      </w:r>
    </w:p>
    <w:p w14:paraId="5A6C8902" w14:textId="5BA3DF7A" w:rsidR="4581F8B3" w:rsidRPr="00EE0690" w:rsidRDefault="4581F8B3" w:rsidP="0C2B28FF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GPS logistics data (e.g., ETA forecasts)</w:t>
      </w:r>
    </w:p>
    <w:p w14:paraId="539CD1CF" w14:textId="32F34CC1" w:rsidR="4581F8B3" w:rsidRPr="00EE0690" w:rsidRDefault="4581F8B3" w:rsidP="0C2B28FF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Social media and news monitoring (e.g., political unrest)</w:t>
      </w:r>
    </w:p>
    <w:p w14:paraId="68A72E66" w14:textId="2E3F81F8" w:rsidR="4581F8B3" w:rsidRPr="00EE0690" w:rsidRDefault="4581F8B3" w:rsidP="0C2B28FF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AI-based anomaly detection in ERP data</w:t>
      </w:r>
    </w:p>
    <w:p w14:paraId="0172AF66" w14:textId="57802E69" w:rsidR="0C2B28FF" w:rsidRPr="00EE0690" w:rsidRDefault="0C2B28FF">
      <w:pPr>
        <w:rPr>
          <w:lang w:val="en-US"/>
        </w:rPr>
      </w:pPr>
    </w:p>
    <w:p w14:paraId="7FF7E11F" w14:textId="5718D55D" w:rsidR="4581F8B3" w:rsidRDefault="4581F8B3" w:rsidP="0C2B28FF">
      <w:pPr>
        <w:pStyle w:val="Heading4"/>
        <w:spacing w:before="319" w:after="319"/>
        <w:rPr>
          <w:rFonts w:hint="eastAsia"/>
        </w:rPr>
      </w:pPr>
      <w:r w:rsidRPr="0C2B28FF">
        <w:rPr>
          <w:rFonts w:ascii="Calibri" w:eastAsia="Calibri" w:hAnsi="Calibri" w:cs="Calibri"/>
        </w:rPr>
        <w:t>Supporting Risk Metrics</w:t>
      </w:r>
    </w:p>
    <w:p w14:paraId="78A99F98" w14:textId="1DA39219" w:rsidR="4581F8B3" w:rsidRDefault="4581F8B3" w:rsidP="0C2B28FF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b/>
          <w:bCs/>
        </w:rPr>
      </w:pPr>
      <w:r w:rsidRPr="0C2B28FF">
        <w:rPr>
          <w:rFonts w:ascii="Calibri" w:eastAsia="Calibri" w:hAnsi="Calibri" w:cs="Calibri"/>
          <w:b/>
          <w:bCs/>
        </w:rPr>
        <w:t>Single-Sourcing Ratio</w:t>
      </w:r>
    </w:p>
    <w:p w14:paraId="39DBB9C9" w14:textId="30293394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A high dependency on single suppliers increases vulnerability to disruptions.</w:t>
      </w:r>
    </w:p>
    <w:p w14:paraId="38D593B1" w14:textId="5DF5E340" w:rsidR="4581F8B3" w:rsidRDefault="4581F8B3" w:rsidP="0C2B28FF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b/>
          <w:bCs/>
        </w:rPr>
      </w:pPr>
      <w:r w:rsidRPr="0C2B28FF">
        <w:rPr>
          <w:rFonts w:ascii="Calibri" w:eastAsia="Calibri" w:hAnsi="Calibri" w:cs="Calibri"/>
          <w:b/>
          <w:bCs/>
        </w:rPr>
        <w:t>Supplier Performance Score</w:t>
      </w:r>
    </w:p>
    <w:p w14:paraId="7448ECCB" w14:textId="49E7E6A7" w:rsidR="4581F8B3" w:rsidRPr="00EE0690" w:rsidRDefault="4581F8B3" w:rsidP="0C2B28FF">
      <w:pPr>
        <w:spacing w:before="240" w:after="240"/>
      </w:pPr>
      <w:r w:rsidRPr="5540CE23">
        <w:rPr>
          <w:rFonts w:ascii="Calibri" w:eastAsia="Calibri" w:hAnsi="Calibri" w:cs="Calibri"/>
        </w:rPr>
        <w:t xml:space="preserve"> A composite score combining quality, punctuality, and flexibility of suppliers.</w:t>
      </w:r>
    </w:p>
    <w:p w14:paraId="7ACCA47F" w14:textId="1BDA6FB8" w:rsidR="0C2B28FF" w:rsidRPr="00EE0690" w:rsidRDefault="0C2B28FF" w:rsidP="0C2B28FF">
      <w:pPr>
        <w:rPr>
          <w:rFonts w:ascii="Calibri" w:eastAsia="Calibri" w:hAnsi="Calibri" w:cs="Calibri"/>
          <w:lang w:val="en-US"/>
        </w:rPr>
      </w:pPr>
    </w:p>
    <w:p w14:paraId="3F8FEAB4" w14:textId="356E9ABE" w:rsidR="0C2B28FF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</w:p>
    <w:p w14:paraId="3ECF1469" w14:textId="1766351E" w:rsidR="0C2B28FF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</w:p>
    <w:p w14:paraId="342B2E69" w14:textId="2CEF1EA2" w:rsidR="0C2B28FF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</w:p>
    <w:p w14:paraId="3B145E5C" w14:textId="7C0169DB" w:rsidR="0C2B28FF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</w:p>
    <w:p w14:paraId="572AE2C4" w14:textId="2484A553" w:rsidR="0C2B28FF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</w:p>
    <w:p w14:paraId="3CAA5EE9" w14:textId="601C1695" w:rsidR="0C2B28FF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</w:p>
    <w:p w14:paraId="494C2A84" w14:textId="2C4DF76A" w:rsidR="0C2B28FF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</w:p>
    <w:p w14:paraId="3DA2AA3D" w14:textId="2D2FA0EE" w:rsidR="0C2B28FF" w:rsidRDefault="00B522D8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  <w:lang w:val="en-GB"/>
        </w:rPr>
      </w:pPr>
      <w:r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>Additional</w:t>
      </w:r>
      <w:r w:rsidR="00CD6FE8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 xml:space="preserve"> </w:t>
      </w:r>
      <w:r w:rsidR="00BA272F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>Me</w:t>
      </w:r>
      <w:r w:rsidR="00532476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>trics</w:t>
      </w:r>
      <w:r w:rsidR="000C68F0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 xml:space="preserve"> from</w:t>
      </w:r>
      <w:r w:rsidR="00255F5A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 xml:space="preserve"> Fee</w:t>
      </w:r>
      <w:r w:rsidR="00547BEB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>dback</w:t>
      </w:r>
      <w:r w:rsidR="00D116F9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 xml:space="preserve"> o</w:t>
      </w:r>
      <w:r w:rsidR="00645E6A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 xml:space="preserve">f </w:t>
      </w:r>
      <w:r w:rsidR="008E348B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>sup</w:t>
      </w:r>
      <w:r w:rsidR="00FF66B1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>ervi</w:t>
      </w:r>
      <w:r w:rsidR="00DC524D" w:rsidRPr="380545B7">
        <w:rPr>
          <w:rFonts w:ascii="Aptos" w:eastAsia="Aptos" w:hAnsi="Aptos" w:cs="Aptos"/>
          <w:b/>
          <w:bCs/>
          <w:color w:val="000000" w:themeColor="text1"/>
          <w:lang w:val="en-GB"/>
        </w:rPr>
        <w:t>sor</w:t>
      </w:r>
    </w:p>
    <w:p w14:paraId="73B62C5E" w14:textId="3B0BE155" w:rsidR="00BD70F3" w:rsidRPr="007E4D47" w:rsidRDefault="00BD70F3" w:rsidP="007E4D4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80545B7">
        <w:rPr>
          <w:rFonts w:ascii="Aptos" w:eastAsia="Aptos" w:hAnsi="Aptos" w:cs="Aptos"/>
          <w:color w:val="000000" w:themeColor="text1"/>
        </w:rPr>
        <w:t>Cost of Late Delivery</w:t>
      </w:r>
      <w:r>
        <w:br/>
      </w:r>
      <w:r w:rsidRPr="380545B7">
        <w:rPr>
          <w:rFonts w:ascii="Aptos" w:eastAsia="Aptos" w:hAnsi="Aptos" w:cs="Aptos"/>
          <w:color w:val="000000" w:themeColor="text1"/>
        </w:rPr>
        <w:t>→ z.</w:t>
      </w:r>
      <w:r w:rsidRPr="380545B7">
        <w:rPr>
          <w:rFonts w:ascii="Arial" w:eastAsia="Aptos" w:hAnsi="Arial" w:cs="Arial"/>
          <w:color w:val="000000" w:themeColor="text1"/>
        </w:rPr>
        <w:t> </w:t>
      </w:r>
      <w:r w:rsidRPr="380545B7">
        <w:rPr>
          <w:rFonts w:ascii="Aptos" w:eastAsia="Aptos" w:hAnsi="Aptos" w:cs="Aptos"/>
          <w:color w:val="000000" w:themeColor="text1"/>
        </w:rPr>
        <w:t>B. mit einer Beispielannahme wie 10</w:t>
      </w:r>
      <w:r w:rsidRPr="380545B7">
        <w:rPr>
          <w:rFonts w:ascii="Arial" w:eastAsia="Aptos" w:hAnsi="Arial" w:cs="Arial"/>
          <w:color w:val="000000" w:themeColor="text1"/>
        </w:rPr>
        <w:t> </w:t>
      </w:r>
      <w:r w:rsidRPr="380545B7">
        <w:rPr>
          <w:rFonts w:ascii="Aptos" w:eastAsia="Aptos" w:hAnsi="Aptos" w:cs="Aptos"/>
          <w:color w:val="000000" w:themeColor="text1"/>
        </w:rPr>
        <w:t>€</w:t>
      </w:r>
      <w:r w:rsidRPr="380545B7">
        <w:rPr>
          <w:rFonts w:ascii="Aptos" w:eastAsia="Aptos" w:hAnsi="Aptos" w:cs="Aptos"/>
          <w:i/>
          <w:iCs/>
          <w:color w:val="000000" w:themeColor="text1"/>
        </w:rPr>
        <w:t xml:space="preserve"> </w:t>
      </w:r>
      <w:r w:rsidRPr="380545B7">
        <w:rPr>
          <w:rFonts w:ascii="Aptos" w:eastAsia="Aptos" w:hAnsi="Aptos" w:cs="Aptos"/>
          <w:color w:val="000000" w:themeColor="text1"/>
        </w:rPr>
        <w:t>pro verspäteter Bestellung.</w:t>
      </w:r>
    </w:p>
    <w:p w14:paraId="2BF16E17" w14:textId="3AB79EA8" w:rsidR="004E37CC" w:rsidRPr="007E4D47" w:rsidRDefault="00BD70F3" w:rsidP="007E4D4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80545B7">
        <w:rPr>
          <w:rFonts w:ascii="Aptos" w:eastAsia="Aptos" w:hAnsi="Aptos" w:cs="Aptos"/>
          <w:color w:val="000000" w:themeColor="text1"/>
        </w:rPr>
        <w:t>Einfluss auf Kund:innen</w:t>
      </w:r>
      <w:r>
        <w:br/>
      </w:r>
      <w:r w:rsidRPr="380545B7">
        <w:rPr>
          <w:rFonts w:ascii="Aptos" w:eastAsia="Aptos" w:hAnsi="Aptos" w:cs="Aptos"/>
          <w:color w:val="000000" w:themeColor="text1"/>
        </w:rPr>
        <w:t>→ z.</w:t>
      </w:r>
      <w:r w:rsidRPr="380545B7">
        <w:rPr>
          <w:rFonts w:ascii="Arial" w:eastAsia="Aptos" w:hAnsi="Arial" w:cs="Arial"/>
          <w:color w:val="000000" w:themeColor="text1"/>
        </w:rPr>
        <w:t> </w:t>
      </w:r>
      <w:r w:rsidRPr="380545B7">
        <w:rPr>
          <w:rFonts w:ascii="Aptos" w:eastAsia="Aptos" w:hAnsi="Aptos" w:cs="Aptos"/>
          <w:color w:val="000000" w:themeColor="text1"/>
        </w:rPr>
        <w:t xml:space="preserve">B. ob es mehr </w:t>
      </w:r>
      <w:r w:rsidRPr="380545B7">
        <w:rPr>
          <w:rFonts w:ascii="Aptos" w:eastAsia="Aptos" w:hAnsi="Aptos" w:cs="Aptos"/>
          <w:i/>
          <w:iCs/>
          <w:color w:val="000000" w:themeColor="text1"/>
        </w:rPr>
        <w:t>Beschwerden, Rückläufer oder Kündigungen</w:t>
      </w:r>
      <w:r w:rsidRPr="380545B7">
        <w:rPr>
          <w:rFonts w:ascii="Aptos" w:eastAsia="Aptos" w:hAnsi="Aptos" w:cs="Aptos"/>
          <w:color w:val="000000" w:themeColor="text1"/>
        </w:rPr>
        <w:t xml:space="preserve"> gibt.</w:t>
      </w:r>
    </w:p>
    <w:p w14:paraId="7B4081DA" w14:textId="2832CCC0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6A604A24" w14:textId="2BCDF0FD" w:rsidR="007E4D47" w:rsidRDefault="007E4D47" w:rsidP="007E4D47">
      <w:pPr>
        <w:rPr>
          <w:rFonts w:ascii="Aptos" w:eastAsia="Aptos" w:hAnsi="Aptos" w:cs="Aptos"/>
        </w:rPr>
      </w:pPr>
      <w:r w:rsidRPr="380545B7">
        <w:rPr>
          <w:rFonts w:ascii="Aptos" w:eastAsia="Aptos" w:hAnsi="Aptos" w:cs="Aptos"/>
          <w:b/>
          <w:bCs/>
        </w:rPr>
        <w:t>Ergänzende Indikatoren (qualitativ &amp; extern) -&gt;</w:t>
      </w:r>
      <w:r w:rsidR="00D85327" w:rsidRPr="380545B7">
        <w:rPr>
          <w:rFonts w:ascii="Aptos" w:eastAsia="Aptos" w:hAnsi="Aptos" w:cs="Aptos"/>
          <w:b/>
          <w:bCs/>
        </w:rPr>
        <w:t xml:space="preserve"> Alex</w:t>
      </w:r>
    </w:p>
    <w:p w14:paraId="7CD57446" w14:textId="3F589441" w:rsidR="007E4D47" w:rsidRPr="007E4D47" w:rsidRDefault="007E4D47" w:rsidP="380545B7">
      <w:pPr>
        <w:numPr>
          <w:ilvl w:val="0"/>
          <w:numId w:val="17"/>
        </w:numPr>
        <w:rPr>
          <w:rFonts w:ascii="Aptos" w:eastAsia="Aptos" w:hAnsi="Aptos" w:cs="Aptos"/>
        </w:rPr>
      </w:pPr>
      <w:r w:rsidRPr="380545B7">
        <w:rPr>
          <w:rFonts w:ascii="Aptos" w:eastAsia="Aptos" w:hAnsi="Aptos" w:cs="Aptos"/>
          <w:b/>
          <w:bCs/>
        </w:rPr>
        <w:t>Lieferanten-News (z.</w:t>
      </w:r>
      <w:r w:rsidRPr="380545B7">
        <w:rPr>
          <w:rFonts w:ascii="Arial" w:eastAsia="Arial" w:hAnsi="Arial" w:cs="Arial"/>
          <w:b/>
          <w:bCs/>
        </w:rPr>
        <w:t> </w:t>
      </w:r>
      <w:r w:rsidRPr="380545B7">
        <w:rPr>
          <w:rFonts w:ascii="Aptos" w:eastAsia="Aptos" w:hAnsi="Aptos" w:cs="Aptos"/>
          <w:b/>
          <w:bCs/>
        </w:rPr>
        <w:t>B. Insolvenzen, Streiks, Naturkatastrophen) -&gt; Alex</w:t>
      </w:r>
    </w:p>
    <w:p w14:paraId="23DAA7C7" w14:textId="66F7127E" w:rsidR="007E4D47" w:rsidRPr="007E4D47" w:rsidRDefault="007E4D47" w:rsidP="380545B7">
      <w:pPr>
        <w:numPr>
          <w:ilvl w:val="1"/>
          <w:numId w:val="17"/>
        </w:numPr>
        <w:rPr>
          <w:rFonts w:ascii="Aptos" w:eastAsia="Aptos" w:hAnsi="Aptos" w:cs="Aptos"/>
        </w:rPr>
      </w:pPr>
      <w:r w:rsidRPr="380545B7">
        <w:rPr>
          <w:rFonts w:ascii="Aptos" w:eastAsia="Aptos" w:hAnsi="Aptos" w:cs="Aptos"/>
        </w:rPr>
        <w:t>News, die bestimmte Schlagworte enthalten</w:t>
      </w:r>
    </w:p>
    <w:p w14:paraId="16634AFF" w14:textId="610504B5" w:rsidR="007E4D47" w:rsidRPr="007E4D47" w:rsidRDefault="007E4D47" w:rsidP="380545B7">
      <w:pPr>
        <w:numPr>
          <w:ilvl w:val="1"/>
          <w:numId w:val="17"/>
        </w:numPr>
        <w:rPr>
          <w:rFonts w:ascii="Aptos" w:eastAsia="Aptos" w:hAnsi="Aptos" w:cs="Aptos"/>
        </w:rPr>
      </w:pPr>
      <w:r w:rsidRPr="380545B7">
        <w:rPr>
          <w:rFonts w:ascii="Aptos" w:eastAsia="Aptos" w:hAnsi="Aptos" w:cs="Aptos"/>
        </w:rPr>
        <w:t>Mit einem PowerBI News Tool</w:t>
      </w:r>
    </w:p>
    <w:p w14:paraId="7A40D9F9" w14:textId="70D35760" w:rsidR="007E4D47" w:rsidRPr="007E4D47" w:rsidRDefault="007E4D47" w:rsidP="380545B7">
      <w:pPr>
        <w:numPr>
          <w:ilvl w:val="0"/>
          <w:numId w:val="17"/>
        </w:numPr>
        <w:rPr>
          <w:rFonts w:ascii="Aptos" w:eastAsia="Aptos" w:hAnsi="Aptos" w:cs="Aptos"/>
          <w:lang w:val="en-US"/>
        </w:rPr>
      </w:pPr>
      <w:r w:rsidRPr="380545B7">
        <w:rPr>
          <w:rFonts w:ascii="Aptos" w:eastAsia="Aptos" w:hAnsi="Aptos" w:cs="Aptos"/>
          <w:b/>
          <w:bCs/>
          <w:lang w:val="en-US"/>
        </w:rPr>
        <w:t>Logistikdaten (GPS-Tracking, ETA-Forecasts) -&gt; Alex</w:t>
      </w:r>
    </w:p>
    <w:p w14:paraId="24F70E49" w14:textId="5D40123D" w:rsidR="007E4D47" w:rsidRPr="007E4D47" w:rsidRDefault="007E4D47" w:rsidP="380545B7">
      <w:pPr>
        <w:numPr>
          <w:ilvl w:val="0"/>
          <w:numId w:val="17"/>
        </w:numPr>
        <w:rPr>
          <w:rFonts w:ascii="Aptos" w:eastAsia="Aptos" w:hAnsi="Aptos" w:cs="Aptos"/>
        </w:rPr>
      </w:pPr>
      <w:r w:rsidRPr="380545B7">
        <w:rPr>
          <w:rFonts w:ascii="Aptos" w:eastAsia="Aptos" w:hAnsi="Aptos" w:cs="Aptos"/>
          <w:b/>
          <w:bCs/>
        </w:rPr>
        <w:t>Soziale Medien / News-Monitoring (z.</w:t>
      </w:r>
      <w:r w:rsidRPr="380545B7">
        <w:rPr>
          <w:rFonts w:ascii="Arial" w:eastAsia="Arial" w:hAnsi="Arial" w:cs="Arial"/>
          <w:b/>
          <w:bCs/>
        </w:rPr>
        <w:t> </w:t>
      </w:r>
      <w:r w:rsidRPr="380545B7">
        <w:rPr>
          <w:rFonts w:ascii="Aptos" w:eastAsia="Aptos" w:hAnsi="Aptos" w:cs="Aptos"/>
          <w:b/>
          <w:bCs/>
        </w:rPr>
        <w:t>B. politische Unruhen)</w:t>
      </w:r>
    </w:p>
    <w:p w14:paraId="4550D6EE" w14:textId="1164AEBE" w:rsidR="0C2B28FF" w:rsidRPr="007E4D47" w:rsidRDefault="007E4D47" w:rsidP="007E4D47">
      <w:pPr>
        <w:numPr>
          <w:ilvl w:val="0"/>
          <w:numId w:val="17"/>
        </w:numPr>
        <w:rPr>
          <w:rFonts w:ascii="Aptos" w:eastAsia="Aptos" w:hAnsi="Aptos" w:cs="Aptos"/>
        </w:rPr>
      </w:pPr>
      <w:r w:rsidRPr="007E4D47">
        <w:rPr>
          <w:rFonts w:ascii="Aptos" w:eastAsia="Aptos" w:hAnsi="Aptos" w:cs="Aptos"/>
          <w:b/>
          <w:bCs/>
        </w:rPr>
        <w:t>KI-basierte Anomalieerkennung in ERP-Daten</w:t>
      </w:r>
    </w:p>
    <w:p w14:paraId="196A987F" w14:textId="3A68D551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2A86F071" w14:textId="221BFAEB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05C3E1BD" w14:textId="74EFD895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46FCB475" w14:textId="1C4FAC16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46A087E7" w14:textId="34C8D291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6BE6989B" w14:textId="311C9B5E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1B6D3556" w14:textId="046542D2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1C122446" w14:textId="5DC1B228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7FDBB58D" w14:textId="259C2F80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6FF21858" w14:textId="4A95364D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728E528F" w14:textId="792D443F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27230683" w14:textId="2A9AF4B9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27F29CA0" w14:textId="70F4645E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1D72E0DE" w14:textId="14E71A4B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2789ECE6" w14:textId="1BF3E80F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1C9F922F" w14:textId="57FDFA3F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6A01B1FA" w14:textId="224A5BFD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77EA1D38" w14:textId="03F3F1C2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05120BF3" w14:textId="5021CCE6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03134B53" w14:textId="305C4BD0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7B7A946F" w14:textId="55775EFD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10BEF5F0" w14:textId="3037A17F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2B031FF5" w14:textId="264A119D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76717764" w14:textId="3D3A58B8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4942A483" w14:textId="3A6F7F7E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4F037CBC" w14:textId="21FCBC9B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0309B900" w14:textId="52032606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3A3C9FAC" w14:textId="0DAA5025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189F683B" w14:textId="00450AC3" w:rsidR="0C2B28FF" w:rsidRPr="007E4D47" w:rsidRDefault="0C2B28FF" w:rsidP="0C2B28FF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</w:p>
    <w:p w14:paraId="3F88B492" w14:textId="29B8712F" w:rsidR="1C47693B" w:rsidRPr="00EE0690" w:rsidRDefault="1C47693B" w:rsidP="0C2B28FF">
      <w:pPr>
        <w:spacing w:before="240" w:after="240"/>
        <w:rPr>
          <w:rFonts w:ascii="Aptos" w:eastAsia="Aptos" w:hAnsi="Aptos" w:cs="Aptos"/>
          <w:color w:val="000000" w:themeColor="text1"/>
          <w:lang w:val="en-US"/>
        </w:rPr>
      </w:pPr>
      <w:r w:rsidRPr="0C2B28FF">
        <w:rPr>
          <w:rFonts w:ascii="Aptos" w:eastAsia="Aptos" w:hAnsi="Aptos" w:cs="Aptos"/>
          <w:b/>
          <w:bCs/>
          <w:color w:val="000000" w:themeColor="text1"/>
          <w:lang w:val="en-GB"/>
        </w:rPr>
        <w:t>KPI Definition</w:t>
      </w:r>
      <w:r w:rsidRPr="0C2B28FF">
        <w:rPr>
          <w:rFonts w:ascii="Aptos" w:eastAsia="Aptos" w:hAnsi="Aptos" w:cs="Aptos"/>
          <w:color w:val="000000" w:themeColor="text1"/>
          <w:lang w:val="en-GB"/>
        </w:rPr>
        <w:t xml:space="preserve">= Error Rate = Number of Total Errors/Total Orders X 100% </w:t>
      </w:r>
    </w:p>
    <w:p w14:paraId="3C192046" w14:textId="74053F30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lang w:val="en-GB"/>
        </w:rPr>
        <w:t>This KPI tells us how many orders something had go wrong like wrong items, wrong quantities, damaged goods, or failed deliveries.</w:t>
      </w:r>
    </w:p>
    <w:p w14:paraId="2DC31105" w14:textId="1E594431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b/>
          <w:bCs/>
          <w:lang w:val="en-GB"/>
        </w:rPr>
        <w:t>We can define an error as:</w:t>
      </w:r>
    </w:p>
    <w:p w14:paraId="390CA816" w14:textId="4CF98FA0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lang w:val="en-GB"/>
        </w:rPr>
        <w:t>An order that was not delivered, an order with late delivery risk AND high delay</w:t>
      </w:r>
    </w:p>
    <w:p w14:paraId="2125AE88" w14:textId="22AEA8B6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lang w:val="en-GB"/>
        </w:rPr>
        <w:t>Or a mismatch (e.g. quantity too low or zero but total price &gt; 0)</w:t>
      </w:r>
    </w:p>
    <w:p w14:paraId="257F79F3" w14:textId="1BFE6C99" w:rsidR="1C47693B" w:rsidRPr="00EE0690" w:rsidRDefault="1C47693B" w:rsidP="0C2B28FF">
      <w:pPr>
        <w:rPr>
          <w:rFonts w:ascii="Calibri" w:eastAsia="Calibri" w:hAnsi="Calibri" w:cs="Calibri"/>
          <w:b/>
          <w:bCs/>
          <w:sz w:val="28"/>
          <w:szCs w:val="28"/>
        </w:rPr>
      </w:pPr>
      <w:r w:rsidRPr="5540CE23">
        <w:rPr>
          <w:rFonts w:ascii="Calibri" w:eastAsia="Calibri" w:hAnsi="Calibri" w:cs="Calibri"/>
          <w:b/>
          <w:bCs/>
          <w:sz w:val="28"/>
          <w:szCs w:val="28"/>
        </w:rPr>
        <w:t>3 order fulfilment time</w:t>
      </w:r>
    </w:p>
    <w:p w14:paraId="084D1DF2" w14:textId="5D83797B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b/>
          <w:bCs/>
          <w:lang w:val="en-GB"/>
        </w:rPr>
        <w:t>KPI Definition</w:t>
      </w:r>
      <w:r w:rsidRPr="0C2B28FF">
        <w:rPr>
          <w:rFonts w:ascii="Aptos" w:eastAsia="Aptos" w:hAnsi="Aptos" w:cs="Aptos"/>
          <w:lang w:val="en-GB"/>
        </w:rPr>
        <w:t xml:space="preserve">=   Shipping date – Order Date </w:t>
      </w:r>
    </w:p>
    <w:p w14:paraId="29968A1A" w14:textId="29EBC401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b/>
          <w:bCs/>
          <w:lang w:val="en-GB"/>
        </w:rPr>
        <w:t>What is it?</w:t>
      </w:r>
      <w:r w:rsidRPr="00EE0690">
        <w:rPr>
          <w:lang w:val="en-US"/>
        </w:rPr>
        <w:br/>
      </w:r>
      <w:r w:rsidRPr="0C2B28FF">
        <w:rPr>
          <w:rFonts w:ascii="Aptos" w:eastAsia="Aptos" w:hAnsi="Aptos" w:cs="Aptos"/>
          <w:lang w:val="en-GB"/>
        </w:rPr>
        <w:t xml:space="preserve"> It’s the number of days between when the customer </w:t>
      </w:r>
      <w:r w:rsidRPr="0C2B28FF">
        <w:rPr>
          <w:rFonts w:ascii="Aptos" w:eastAsia="Aptos" w:hAnsi="Aptos" w:cs="Aptos"/>
          <w:i/>
          <w:iCs/>
          <w:lang w:val="en-GB"/>
        </w:rPr>
        <w:t>ordered</w:t>
      </w:r>
      <w:r w:rsidRPr="0C2B28FF">
        <w:rPr>
          <w:rFonts w:ascii="Aptos" w:eastAsia="Aptos" w:hAnsi="Aptos" w:cs="Aptos"/>
          <w:lang w:val="en-GB"/>
        </w:rPr>
        <w:t xml:space="preserve"> something and when it left the warehouse.</w:t>
      </w:r>
    </w:p>
    <w:p w14:paraId="0C88EA28" w14:textId="0F50AB2C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b/>
          <w:bCs/>
          <w:lang w:val="en-GB"/>
        </w:rPr>
        <w:t>How do you use it?</w:t>
      </w:r>
      <w:r w:rsidRPr="00EE0690">
        <w:rPr>
          <w:lang w:val="en-US"/>
        </w:rPr>
        <w:br/>
      </w:r>
      <w:r w:rsidRPr="0C2B28FF">
        <w:rPr>
          <w:rFonts w:ascii="Aptos" w:eastAsia="Aptos" w:hAnsi="Aptos" w:cs="Aptos"/>
          <w:lang w:val="en-GB"/>
        </w:rPr>
        <w:t xml:space="preserve"> Take the shipping date and subtract the order date. That’s our processing time.</w:t>
      </w:r>
    </w:p>
    <w:p w14:paraId="5A64AE12" w14:textId="64FDE461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b/>
          <w:bCs/>
          <w:lang w:val="en-GB"/>
        </w:rPr>
        <w:t>Why is it important?</w:t>
      </w:r>
      <w:r w:rsidRPr="00EE0690">
        <w:rPr>
          <w:lang w:val="en-US"/>
        </w:rPr>
        <w:br/>
      </w:r>
      <w:r w:rsidRPr="0C2B28FF">
        <w:rPr>
          <w:rFonts w:ascii="Aptos" w:eastAsia="Aptos" w:hAnsi="Aptos" w:cs="Aptos"/>
          <w:lang w:val="en-GB"/>
        </w:rPr>
        <w:t xml:space="preserve"> If this time is getting longer, it means there might be a problem in the warehouse like not enough workers or stock.</w:t>
      </w:r>
    </w:p>
    <w:p w14:paraId="78D35DD8" w14:textId="11438455" w:rsidR="1C47693B" w:rsidRPr="00EE0690" w:rsidRDefault="1C47693B" w:rsidP="0C2B28FF">
      <w:pPr>
        <w:spacing w:before="240" w:after="240"/>
        <w:rPr>
          <w:rFonts w:ascii="Aptos" w:eastAsia="Aptos" w:hAnsi="Aptos" w:cs="Aptos"/>
          <w:lang w:val="en-US"/>
        </w:rPr>
      </w:pPr>
      <w:r w:rsidRPr="0C2B28FF">
        <w:rPr>
          <w:rFonts w:ascii="Aptos" w:eastAsia="Aptos" w:hAnsi="Aptos" w:cs="Aptos"/>
          <w:b/>
          <w:bCs/>
          <w:lang w:val="en-GB"/>
        </w:rPr>
        <w:t xml:space="preserve">KPI Prediction: </w:t>
      </w:r>
      <w:r w:rsidRPr="0C2B28FF">
        <w:rPr>
          <w:rFonts w:ascii="Aptos" w:eastAsia="Aptos" w:hAnsi="Aptos" w:cs="Aptos"/>
          <w:lang w:val="en-GB"/>
        </w:rPr>
        <w:t>How many days will it take from the moment the customer places the order until the order ships out?</w:t>
      </w:r>
    </w:p>
    <w:p w14:paraId="31478191" w14:textId="32BEF773" w:rsidR="1C47693B" w:rsidRDefault="1C47693B" w:rsidP="0C2B28FF">
      <w:pPr>
        <w:spacing w:before="240" w:after="240"/>
        <w:rPr>
          <w:rFonts w:ascii="Aptos" w:eastAsia="Aptos" w:hAnsi="Aptos" w:cs="Aptos"/>
        </w:rPr>
      </w:pPr>
      <w:r w:rsidRPr="0C2B28FF">
        <w:rPr>
          <w:rFonts w:ascii="Aptos" w:eastAsia="Aptos" w:hAnsi="Aptos" w:cs="Aptos"/>
          <w:b/>
          <w:bCs/>
          <w:lang w:val="en-GB"/>
        </w:rPr>
        <w:t>Visualization:</w:t>
      </w:r>
    </w:p>
    <w:p w14:paraId="5CB2444B" w14:textId="770321D9" w:rsidR="1C47693B" w:rsidRDefault="1C47693B">
      <w:r>
        <w:rPr>
          <w:noProof/>
        </w:rPr>
        <w:drawing>
          <wp:inline distT="0" distB="0" distL="0" distR="0" wp14:anchorId="4B655F16" wp14:editId="7E19BC7B">
            <wp:extent cx="4572000" cy="3048000"/>
            <wp:effectExtent l="0" t="0" r="0" b="0"/>
            <wp:docPr id="706282092" name="Picture 706282092" descr="Bild">
              <a:extLst xmlns:a="http://schemas.openxmlformats.org/drawingml/2006/main">
                <a:ext uri="{FF2B5EF4-FFF2-40B4-BE49-F238E27FC236}">
                  <a16:creationId xmlns:a16="http://schemas.microsoft.com/office/drawing/2014/main" id="{16B6AB5A-2BEF-4186-911B-0BB240DFEA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F72B" w14:textId="20DF4D45" w:rsidR="0C2B28FF" w:rsidRDefault="0C2B28FF" w:rsidP="0C2B28FF">
      <w:pPr>
        <w:rPr>
          <w:rFonts w:ascii="Calibri" w:eastAsia="Calibri" w:hAnsi="Calibri" w:cs="Calibri"/>
          <w:strike/>
        </w:rPr>
      </w:pPr>
    </w:p>
    <w:p w14:paraId="03D390E7" w14:textId="655D88A7" w:rsidR="0C2B28FF" w:rsidRDefault="0C2B28FF" w:rsidP="0C2B28FF">
      <w:pPr>
        <w:rPr>
          <w:rFonts w:ascii="Calibri" w:eastAsia="Calibri" w:hAnsi="Calibri" w:cs="Calibri"/>
          <w:strike/>
        </w:rPr>
      </w:pPr>
    </w:p>
    <w:p w14:paraId="61FF072A" w14:textId="7B4F8B23" w:rsidR="1C47693B" w:rsidRDefault="1C47693B" w:rsidP="0C2B28FF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  <w:b/>
          <w:bCs/>
        </w:rPr>
        <w:t>Single-Sourcing-Anteil</w:t>
      </w:r>
      <w:r>
        <w:br/>
      </w:r>
      <w:r w:rsidRPr="0C2B28FF">
        <w:rPr>
          <w:rFonts w:ascii="Aptos" w:eastAsia="Aptos" w:hAnsi="Aptos" w:cs="Aptos"/>
          <w:color w:val="FF0000"/>
        </w:rPr>
        <w:t xml:space="preserve">Hoher Anteil einzelner Lieferanten </w:t>
      </w:r>
      <w:r w:rsidRPr="0C2B28FF">
        <w:rPr>
          <w:rFonts w:ascii="Aptos" w:eastAsia="Aptos" w:hAnsi="Aptos" w:cs="Aptos"/>
        </w:rPr>
        <w:t>erhöht das Risiko bei Störungen.</w:t>
      </w:r>
    </w:p>
    <w:p w14:paraId="6EE98DCE" w14:textId="4EE0B2E8" w:rsidR="1C47693B" w:rsidRDefault="1C47693B" w:rsidP="0C2B28FF">
      <w:pPr>
        <w:pStyle w:val="ListParagraph"/>
        <w:numPr>
          <w:ilvl w:val="0"/>
          <w:numId w:val="11"/>
        </w:numPr>
        <w:rPr>
          <w:rFonts w:ascii="Aptos" w:eastAsia="Aptos" w:hAnsi="Aptos" w:cs="Aptos"/>
          <w:highlight w:val="yellow"/>
        </w:rPr>
      </w:pPr>
      <w:r w:rsidRPr="0C2B28FF">
        <w:rPr>
          <w:rFonts w:ascii="Aptos" w:eastAsia="Aptos" w:hAnsi="Aptos" w:cs="Aptos"/>
          <w:b/>
          <w:bCs/>
          <w:highlight w:val="yellow"/>
        </w:rPr>
        <w:t>Lieferanten-Performance Score</w:t>
      </w:r>
      <w:r>
        <w:br/>
      </w:r>
      <w:r w:rsidRPr="0C2B28FF">
        <w:rPr>
          <w:rFonts w:ascii="Aptos" w:eastAsia="Aptos" w:hAnsi="Aptos" w:cs="Aptos"/>
          <w:highlight w:val="yellow"/>
        </w:rPr>
        <w:t>Kombination aus Qualität, Pünktlichkeit und Flexibilität.</w:t>
      </w:r>
    </w:p>
    <w:p w14:paraId="04885FDA" w14:textId="220471F3" w:rsidR="0C2B28FF" w:rsidRDefault="0C2B28FF" w:rsidP="0C2B28FF">
      <w:pPr>
        <w:rPr>
          <w:rFonts w:ascii="Aptos" w:eastAsia="Aptos" w:hAnsi="Aptos" w:cs="Aptos"/>
          <w:highlight w:val="yellow"/>
        </w:rPr>
      </w:pPr>
    </w:p>
    <w:p w14:paraId="61875E29" w14:textId="52F43B8B" w:rsidR="0C2B28FF" w:rsidRDefault="0C2B28FF" w:rsidP="0C2B28FF">
      <w:pPr>
        <w:rPr>
          <w:rFonts w:ascii="Aptos" w:eastAsia="Aptos" w:hAnsi="Aptos" w:cs="Aptos"/>
          <w:highlight w:val="yellow"/>
        </w:rPr>
      </w:pPr>
    </w:p>
    <w:p w14:paraId="1C588F74" w14:textId="12194AD7" w:rsidR="1C47693B" w:rsidRDefault="1C47693B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  <w:b/>
          <w:bCs/>
        </w:rPr>
        <w:t>Ergänzende Indikatoren (qualitativ &amp; extern)</w:t>
      </w:r>
    </w:p>
    <w:p w14:paraId="6B2EF36F" w14:textId="39AEC0B6" w:rsidR="1C47693B" w:rsidRDefault="1C47693B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</w:rPr>
        <w:t>Neben den quantitativen KPIs können auch folgende Informationsquellen nützlich sein:</w:t>
      </w:r>
    </w:p>
    <w:p w14:paraId="25DD38E2" w14:textId="6AD7C816" w:rsidR="1C47693B" w:rsidRDefault="1C47693B" w:rsidP="0C2B28FF">
      <w:pPr>
        <w:pStyle w:val="ListParagraph"/>
        <w:numPr>
          <w:ilvl w:val="0"/>
          <w:numId w:val="17"/>
        </w:numPr>
        <w:rPr>
          <w:rFonts w:ascii="Aptos" w:eastAsia="Aptos" w:hAnsi="Aptos" w:cs="Aptos"/>
          <w:highlight w:val="yellow"/>
        </w:rPr>
      </w:pPr>
      <w:r w:rsidRPr="0C2B28FF">
        <w:rPr>
          <w:rFonts w:ascii="Aptos" w:eastAsia="Aptos" w:hAnsi="Aptos" w:cs="Aptos"/>
          <w:b/>
          <w:bCs/>
          <w:highlight w:val="yellow"/>
        </w:rPr>
        <w:t>Lieferanten-News (z.</w:t>
      </w:r>
      <w:r w:rsidRPr="0C2B28FF">
        <w:rPr>
          <w:rFonts w:ascii="Arial" w:eastAsia="Arial" w:hAnsi="Arial" w:cs="Arial"/>
          <w:b/>
          <w:bCs/>
          <w:highlight w:val="yellow"/>
        </w:rPr>
        <w:t> </w:t>
      </w:r>
      <w:r w:rsidRPr="0C2B28FF">
        <w:rPr>
          <w:rFonts w:ascii="Aptos" w:eastAsia="Aptos" w:hAnsi="Aptos" w:cs="Aptos"/>
          <w:b/>
          <w:bCs/>
          <w:highlight w:val="yellow"/>
        </w:rPr>
        <w:t>B. Insolvenzen, Streiks, Naturkatastrophen)</w:t>
      </w:r>
      <w:r w:rsidR="00C052AD">
        <w:rPr>
          <w:rFonts w:ascii="Aptos" w:eastAsia="Aptos" w:hAnsi="Aptos" w:cs="Aptos"/>
          <w:b/>
          <w:bCs/>
          <w:highlight w:val="yellow"/>
        </w:rPr>
        <w:t xml:space="preserve"> </w:t>
      </w:r>
      <w:r w:rsidR="00C052AD" w:rsidRPr="006773A9">
        <w:rPr>
          <w:rFonts w:ascii="Aptos" w:eastAsia="Aptos" w:hAnsi="Aptos" w:cs="Aptos"/>
          <w:b/>
          <w:bCs/>
          <w:highlight w:val="cyan"/>
        </w:rPr>
        <w:t>-</w:t>
      </w:r>
      <w:r w:rsidR="00857C45" w:rsidRPr="006773A9">
        <w:rPr>
          <w:rFonts w:ascii="Aptos" w:eastAsia="Aptos" w:hAnsi="Aptos" w:cs="Aptos"/>
          <w:b/>
          <w:bCs/>
          <w:highlight w:val="cyan"/>
        </w:rPr>
        <w:t>&gt; Alex</w:t>
      </w:r>
    </w:p>
    <w:p w14:paraId="0CFF433F" w14:textId="2B2761C5" w:rsidR="1C47693B" w:rsidRDefault="1C47693B" w:rsidP="0C2B28FF">
      <w:pPr>
        <w:pStyle w:val="ListParagraph"/>
        <w:numPr>
          <w:ilvl w:val="1"/>
          <w:numId w:val="17"/>
        </w:numPr>
        <w:rPr>
          <w:rFonts w:ascii="Aptos" w:eastAsia="Aptos" w:hAnsi="Aptos" w:cs="Aptos"/>
          <w:highlight w:val="yellow"/>
        </w:rPr>
      </w:pPr>
      <w:r w:rsidRPr="0C2B28FF">
        <w:rPr>
          <w:rFonts w:ascii="Aptos" w:eastAsia="Aptos" w:hAnsi="Aptos" w:cs="Aptos"/>
          <w:highlight w:val="yellow"/>
        </w:rPr>
        <w:t>News, die bestimmte Schlagworte enthalten</w:t>
      </w:r>
    </w:p>
    <w:p w14:paraId="72503EF0" w14:textId="147F9098" w:rsidR="1C47693B" w:rsidRDefault="1C47693B" w:rsidP="0C2B28FF">
      <w:pPr>
        <w:pStyle w:val="ListParagraph"/>
        <w:numPr>
          <w:ilvl w:val="1"/>
          <w:numId w:val="17"/>
        </w:numPr>
        <w:rPr>
          <w:rFonts w:ascii="Aptos" w:eastAsia="Aptos" w:hAnsi="Aptos" w:cs="Aptos"/>
          <w:highlight w:val="yellow"/>
        </w:rPr>
      </w:pPr>
      <w:r w:rsidRPr="0C2B28FF">
        <w:rPr>
          <w:rFonts w:ascii="Aptos" w:eastAsia="Aptos" w:hAnsi="Aptos" w:cs="Aptos"/>
          <w:highlight w:val="yellow"/>
        </w:rPr>
        <w:t>Mit einem PowerBI News Tool</w:t>
      </w:r>
    </w:p>
    <w:p w14:paraId="401E5B97" w14:textId="6BC687D5" w:rsidR="1C47693B" w:rsidRPr="00E919EF" w:rsidRDefault="1C47693B" w:rsidP="0C2B28FF">
      <w:pPr>
        <w:pStyle w:val="ListParagraph"/>
        <w:numPr>
          <w:ilvl w:val="0"/>
          <w:numId w:val="17"/>
        </w:numPr>
        <w:rPr>
          <w:rFonts w:ascii="Aptos" w:eastAsia="Aptos" w:hAnsi="Aptos" w:cs="Aptos"/>
          <w:highlight w:val="yellow"/>
          <w:lang w:val="en-US"/>
        </w:rPr>
      </w:pPr>
      <w:r w:rsidRPr="0C2B28FF">
        <w:rPr>
          <w:rFonts w:ascii="Aptos" w:eastAsia="Aptos" w:hAnsi="Aptos" w:cs="Aptos"/>
          <w:b/>
          <w:bCs/>
          <w:highlight w:val="yellow"/>
          <w:lang w:val="en-US"/>
        </w:rPr>
        <w:t>Logistikdaten (GPS-Tracking, ETA-Forecasts)</w:t>
      </w:r>
      <w:r w:rsidR="00E919EF">
        <w:rPr>
          <w:rFonts w:ascii="Aptos" w:eastAsia="Aptos" w:hAnsi="Aptos" w:cs="Aptos"/>
          <w:b/>
          <w:bCs/>
          <w:highlight w:val="yellow"/>
          <w:lang w:val="en-US"/>
        </w:rPr>
        <w:t xml:space="preserve"> </w:t>
      </w:r>
      <w:r w:rsidR="00E919EF" w:rsidRPr="00E919EF">
        <w:rPr>
          <w:rFonts w:ascii="Aptos" w:eastAsia="Aptos" w:hAnsi="Aptos" w:cs="Aptos"/>
          <w:b/>
          <w:bCs/>
          <w:highlight w:val="cyan"/>
          <w:lang w:val="en-US"/>
        </w:rPr>
        <w:t>-&gt; Alex</w:t>
      </w:r>
    </w:p>
    <w:p w14:paraId="41E2DEDC" w14:textId="5B2D778B" w:rsidR="1C47693B" w:rsidRDefault="1C47693B" w:rsidP="0C2B28FF">
      <w:pPr>
        <w:pStyle w:val="ListParagraph"/>
        <w:numPr>
          <w:ilvl w:val="0"/>
          <w:numId w:val="17"/>
        </w:numPr>
        <w:rPr>
          <w:rFonts w:ascii="Aptos" w:eastAsia="Aptos" w:hAnsi="Aptos" w:cs="Aptos"/>
          <w:highlight w:val="yellow"/>
        </w:rPr>
      </w:pPr>
      <w:r w:rsidRPr="0C2B28FF">
        <w:rPr>
          <w:rFonts w:ascii="Aptos" w:eastAsia="Aptos" w:hAnsi="Aptos" w:cs="Aptos"/>
          <w:b/>
          <w:bCs/>
          <w:highlight w:val="yellow"/>
        </w:rPr>
        <w:t>Soziale Medien / News-Monitoring (z.</w:t>
      </w:r>
      <w:r w:rsidRPr="0C2B28FF">
        <w:rPr>
          <w:rFonts w:ascii="Arial" w:eastAsia="Arial" w:hAnsi="Arial" w:cs="Arial"/>
          <w:b/>
          <w:bCs/>
          <w:highlight w:val="yellow"/>
        </w:rPr>
        <w:t> </w:t>
      </w:r>
      <w:r w:rsidRPr="0C2B28FF">
        <w:rPr>
          <w:rFonts w:ascii="Aptos" w:eastAsia="Aptos" w:hAnsi="Aptos" w:cs="Aptos"/>
          <w:b/>
          <w:bCs/>
          <w:highlight w:val="yellow"/>
        </w:rPr>
        <w:t>B. politische Unruhen)</w:t>
      </w:r>
    </w:p>
    <w:p w14:paraId="47149C68" w14:textId="2BF46D0B" w:rsidR="1C47693B" w:rsidRDefault="1C47693B" w:rsidP="0C2B28FF">
      <w:pPr>
        <w:pStyle w:val="ListParagraph"/>
        <w:numPr>
          <w:ilvl w:val="0"/>
          <w:numId w:val="17"/>
        </w:numPr>
        <w:rPr>
          <w:rFonts w:ascii="Aptos" w:eastAsia="Aptos" w:hAnsi="Aptos" w:cs="Aptos"/>
          <w:highlight w:val="yellow"/>
        </w:rPr>
      </w:pPr>
      <w:r w:rsidRPr="0C2B28FF">
        <w:rPr>
          <w:rFonts w:ascii="Aptos" w:eastAsia="Aptos" w:hAnsi="Aptos" w:cs="Aptos"/>
          <w:b/>
          <w:bCs/>
          <w:highlight w:val="yellow"/>
        </w:rPr>
        <w:t>KI-basierte Anomalieerkennung in ERP-Daten</w:t>
      </w:r>
    </w:p>
    <w:p w14:paraId="5FF83C34" w14:textId="65801F5E" w:rsidR="1C47693B" w:rsidRDefault="1C47693B" w:rsidP="0C2B28FF">
      <w:pPr>
        <w:pStyle w:val="Heading2"/>
        <w:rPr>
          <w:rFonts w:ascii="Calibri" w:eastAsia="Calibri" w:hAnsi="Calibri" w:cs="Calibri"/>
          <w:color w:val="000000" w:themeColor="text1"/>
        </w:rPr>
      </w:pPr>
      <w:r w:rsidRPr="0C2B28FF">
        <w:rPr>
          <w:rFonts w:ascii="Calibri" w:eastAsia="Calibri" w:hAnsi="Calibri" w:cs="Calibri"/>
          <w:color w:val="000000" w:themeColor="text1"/>
        </w:rPr>
        <w:t>Drei zentrale KPIs für ein Frühwarn-Dashboard zur Lieferketten-Resilienz</w:t>
      </w:r>
    </w:p>
    <w:p w14:paraId="1156235A" w14:textId="429B9412" w:rsidR="1C47693B" w:rsidRPr="00EE0690" w:rsidRDefault="1C47693B" w:rsidP="0C2B28FF">
      <w:pPr>
        <w:pStyle w:val="Heading3"/>
        <w:rPr>
          <w:rFonts w:ascii="Calibri" w:eastAsia="Calibri" w:hAnsi="Calibri" w:cs="Calibri"/>
          <w:color w:val="000000" w:themeColor="text1"/>
        </w:rPr>
      </w:pPr>
      <w:r w:rsidRPr="5540CE23">
        <w:rPr>
          <w:rFonts w:ascii="Calibri" w:eastAsia="Calibri" w:hAnsi="Calibri" w:cs="Calibri"/>
          <w:color w:val="000000" w:themeColor="text1"/>
        </w:rPr>
        <w:t>1. On-Time-In-Full-Lieferquote (OTIF)</w:t>
      </w:r>
    </w:p>
    <w:p w14:paraId="308D26FF" w14:textId="60430DC0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Zweck:</w:t>
      </w:r>
      <w:r>
        <w:br/>
      </w:r>
      <w:r w:rsidRPr="0C2B28FF">
        <w:rPr>
          <w:rFonts w:ascii="Calibri" w:eastAsia="Calibri" w:hAnsi="Calibri" w:cs="Calibri"/>
        </w:rPr>
        <w:t xml:space="preserve">Misst, ob Sendungen </w:t>
      </w:r>
      <w:r w:rsidRPr="0C2B28FF">
        <w:rPr>
          <w:rStyle w:val="Emphasis"/>
          <w:rFonts w:ascii="Calibri" w:eastAsia="Calibri" w:hAnsi="Calibri" w:cs="Calibri"/>
        </w:rPr>
        <w:t>pünktlich</w:t>
      </w:r>
      <w:r w:rsidRPr="0C2B28FF">
        <w:rPr>
          <w:rFonts w:ascii="Calibri" w:eastAsia="Calibri" w:hAnsi="Calibri" w:cs="Calibri"/>
        </w:rPr>
        <w:t xml:space="preserve"> (innerhalb des vereinbarten Lieferfensters) </w:t>
      </w:r>
      <w:r w:rsidRPr="0C2B28FF">
        <w:rPr>
          <w:rStyle w:val="Emphasis"/>
          <w:rFonts w:ascii="Calibri" w:eastAsia="Calibri" w:hAnsi="Calibri" w:cs="Calibri"/>
        </w:rPr>
        <w:t>und vollständig</w:t>
      </w:r>
      <w:r w:rsidRPr="0C2B28FF">
        <w:rPr>
          <w:rFonts w:ascii="Calibri" w:eastAsia="Calibri" w:hAnsi="Calibri" w:cs="Calibri"/>
        </w:rPr>
        <w:t xml:space="preserve"> (bestellte ≈ gelieferte Menge) beim Kunden ankommen. Ein abrutschender OTIF-Wert ist einer der ersten quantifizierbaren Hinweise auf Störungen in Beschaffung, Produktion oder Transport.</w:t>
      </w:r>
    </w:p>
    <w:p w14:paraId="123D8BA2" w14:textId="421DBC89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Berechnung:</w:t>
      </w:r>
    </w:p>
    <w:p w14:paraId="217245A8" w14:textId="635E51A0" w:rsidR="1C47693B" w:rsidRDefault="1C47693B" w:rsidP="0C2B28FF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C2B28FF">
        <w:rPr>
          <w:rFonts w:ascii="Calibri" w:eastAsia="Calibri" w:hAnsi="Calibri" w:cs="Calibri"/>
        </w:rPr>
        <w:t>Anzahl pünktlicher &amp; vollständiger Lieferungen = (</w:t>
      </w:r>
      <w:r w:rsidRPr="0C2B28FF">
        <w:rPr>
          <w:rFonts w:ascii="Times New Roman" w:eastAsia="Times New Roman" w:hAnsi="Times New Roman" w:cs="Times New Roman"/>
        </w:rPr>
        <w:t>DaysForShippingReal = DaysForShipmentScheduled)</w:t>
      </w:r>
    </w:p>
    <w:p w14:paraId="1D3BC6BB" w14:textId="357D15A4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>
        <w:br/>
      </w:r>
      <w:r w:rsidRPr="0C2B28FF">
        <w:rPr>
          <w:rFonts w:ascii="Calibri" w:eastAsia="Calibri" w:hAnsi="Calibri" w:cs="Calibri"/>
        </w:rPr>
        <w:t>OTIF = (Anzahl pünktlicher &amp; vollständiger Lieferungen / Gesamtzahl versandter Bestellungen) × 100 %</w:t>
      </w:r>
    </w:p>
    <w:p w14:paraId="1EC4E99F" w14:textId="5B1554D9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Datenzuordnung:</w:t>
      </w:r>
    </w:p>
    <w:p w14:paraId="3B6961A2" w14:textId="5B4995FB" w:rsidR="1C47693B" w:rsidRDefault="1C47693B" w:rsidP="0C2B28FF">
      <w:pPr>
        <w:pStyle w:val="ListParagraph"/>
        <w:numPr>
          <w:ilvl w:val="0"/>
          <w:numId w:val="13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  <w:sz w:val="20"/>
          <w:szCs w:val="20"/>
        </w:rPr>
        <w:t>DimDate</w:t>
      </w:r>
      <w:r w:rsidRPr="0C2B28FF">
        <w:rPr>
          <w:rFonts w:ascii="Calibri" w:eastAsia="Calibri" w:hAnsi="Calibri" w:cs="Calibri"/>
        </w:rPr>
        <w:t>: Bestell-, Versand-, Ankunftsdatum</w:t>
      </w:r>
    </w:p>
    <w:p w14:paraId="42D398DC" w14:textId="21879A1A" w:rsidR="1C47693B" w:rsidRDefault="1C47693B" w:rsidP="0C2B28FF">
      <w:pPr>
        <w:pStyle w:val="ListParagraph"/>
        <w:numPr>
          <w:ilvl w:val="0"/>
          <w:numId w:val="13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  <w:sz w:val="20"/>
          <w:szCs w:val="20"/>
        </w:rPr>
        <w:t>DimShipping.ShippingDays</w:t>
      </w:r>
      <w:r w:rsidRPr="0C2B28FF">
        <w:rPr>
          <w:rFonts w:ascii="Calibri" w:eastAsia="Calibri" w:hAnsi="Calibri" w:cs="Calibri"/>
        </w:rPr>
        <w:t>: geplantes Lieferfenster</w:t>
      </w:r>
    </w:p>
    <w:p w14:paraId="53894821" w14:textId="3DC5E2F3" w:rsidR="1C47693B" w:rsidRDefault="1C47693B" w:rsidP="0C2B28FF">
      <w:pPr>
        <w:pStyle w:val="ListParagraph"/>
        <w:numPr>
          <w:ilvl w:val="0"/>
          <w:numId w:val="13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  <w:sz w:val="20"/>
          <w:szCs w:val="20"/>
        </w:rPr>
        <w:t>FactOrderItem.Quantity</w:t>
      </w:r>
      <w:r w:rsidRPr="0C2B28FF">
        <w:rPr>
          <w:rFonts w:ascii="Calibri" w:eastAsia="Calibri" w:hAnsi="Calibri" w:cs="Calibri"/>
        </w:rPr>
        <w:t>: gegenüber tatsächlichem Wareneingang (z. B. externes Goods-Received-Event oder Status „Completed“)</w:t>
      </w:r>
    </w:p>
    <w:p w14:paraId="3E33ACDC" w14:textId="1DD63CCE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Literatur-Beleg:</w:t>
      </w:r>
      <w:r>
        <w:br/>
      </w:r>
      <w:r w:rsidRPr="0C2B28FF">
        <w:rPr>
          <w:rFonts w:ascii="Calibri" w:eastAsia="Calibri" w:hAnsi="Calibri" w:cs="Calibri"/>
        </w:rPr>
        <w:t>OTIF wird in Studien als Schlüssel-KPI für Distributions- und Prozesseffizienz genannt und in Resilienz-Modelle integriert.</w:t>
      </w:r>
      <w:r>
        <w:br/>
      </w:r>
      <w:r w:rsidRPr="0C2B28FF">
        <w:rPr>
          <w:rFonts w:ascii="Calibri" w:eastAsia="Calibri" w:hAnsi="Calibri" w:cs="Calibri"/>
        </w:rPr>
        <w:t xml:space="preserve">Quelle: </w:t>
      </w:r>
      <w:hyperlink r:id="rId12">
        <w:r w:rsidRPr="0C2B28FF">
          <w:rPr>
            <w:rStyle w:val="Hyperlink"/>
            <w:rFonts w:ascii="Calibri" w:eastAsia="Calibri" w:hAnsi="Calibri" w:cs="Calibri"/>
          </w:rPr>
          <w:t>mdpi.com</w:t>
        </w:r>
      </w:hyperlink>
    </w:p>
    <w:p w14:paraId="231A4AEB" w14:textId="356B7C61" w:rsidR="0C2B28FF" w:rsidRDefault="0C2B28FF"/>
    <w:p w14:paraId="7457DB3B" w14:textId="14630C67" w:rsidR="1C47693B" w:rsidRDefault="1C47693B" w:rsidP="0C2B28FF">
      <w:pPr>
        <w:pStyle w:val="Heading3"/>
        <w:rPr>
          <w:rFonts w:ascii="Calibri" w:eastAsia="Calibri" w:hAnsi="Calibri" w:cs="Calibri"/>
          <w:color w:val="000000" w:themeColor="text1"/>
        </w:rPr>
      </w:pPr>
      <w:r w:rsidRPr="0C2B28FF">
        <w:rPr>
          <w:rFonts w:ascii="Calibri" w:eastAsia="Calibri" w:hAnsi="Calibri" w:cs="Calibri"/>
          <w:color w:val="000000" w:themeColor="text1"/>
        </w:rPr>
        <w:t>2. Lead-Time-Variabilitätsindex (LTVI)</w:t>
      </w:r>
    </w:p>
    <w:p w14:paraId="7A6E31BD" w14:textId="234730DE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Zweck:</w:t>
      </w:r>
      <w:r>
        <w:br/>
      </w:r>
      <w:r w:rsidRPr="0C2B28FF">
        <w:rPr>
          <w:rFonts w:ascii="Calibri" w:eastAsia="Calibri" w:hAnsi="Calibri" w:cs="Calibri"/>
        </w:rPr>
        <w:t xml:space="preserve">Erfasst die </w:t>
      </w:r>
      <w:r w:rsidRPr="0C2B28FF">
        <w:rPr>
          <w:rStyle w:val="Emphasis"/>
          <w:rFonts w:ascii="Calibri" w:eastAsia="Calibri" w:hAnsi="Calibri" w:cs="Calibri"/>
        </w:rPr>
        <w:t>Schwankungsbreite</w:t>
      </w:r>
      <w:r w:rsidRPr="0C2B28FF">
        <w:rPr>
          <w:rFonts w:ascii="Calibri" w:eastAsia="Calibri" w:hAnsi="Calibri" w:cs="Calibri"/>
        </w:rPr>
        <w:t xml:space="preserve"> der tatsächlichen Durchlauf- bzw. Transportzeiten je Produkt × Lieferant × Route. Hohe Varianz erschwert Planbarkeit, erfordert höhere Sicherheitsbestände und erhöht das Risiko von Fehlteilen.</w:t>
      </w:r>
    </w:p>
    <w:p w14:paraId="36471103" w14:textId="103EFB70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Berechnung:</w:t>
      </w:r>
      <w:r>
        <w:br/>
      </w:r>
      <w:r w:rsidRPr="0C2B28FF">
        <w:rPr>
          <w:rFonts w:ascii="Calibri" w:eastAsia="Calibri" w:hAnsi="Calibri" w:cs="Calibri"/>
        </w:rPr>
        <w:t>LTVI = Standardabweichung der Lieferzeit / Durchschnittliche Lieferzeit</w:t>
      </w:r>
    </w:p>
    <w:p w14:paraId="2D629EC4" w14:textId="4954D244" w:rsidR="1C47693B" w:rsidRPr="001A26F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5540CE23">
        <w:rPr>
          <w:rFonts w:ascii="Calibri" w:eastAsia="Calibri" w:hAnsi="Calibri" w:cs="Calibri"/>
        </w:rPr>
        <w:t>(Coefficient of Variation, z. B. auf Monats- oder Quartalsebene)</w:t>
      </w:r>
    </w:p>
    <w:p w14:paraId="719A4682" w14:textId="51304EFD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Datenzuordnung:</w:t>
      </w:r>
    </w:p>
    <w:p w14:paraId="581541ED" w14:textId="4497EAE9" w:rsidR="1C47693B" w:rsidRDefault="1C47693B" w:rsidP="0C2B28FF">
      <w:pPr>
        <w:pStyle w:val="ListParagraph"/>
        <w:numPr>
          <w:ilvl w:val="0"/>
          <w:numId w:val="5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  <w:sz w:val="20"/>
          <w:szCs w:val="20"/>
        </w:rPr>
        <w:t>DimShipping.ShippingDays</w:t>
      </w:r>
      <w:r w:rsidRPr="0C2B28FF">
        <w:rPr>
          <w:rFonts w:ascii="Calibri" w:eastAsia="Calibri" w:hAnsi="Calibri" w:cs="Calibri"/>
        </w:rPr>
        <w:t>: geplante Lieferzeit</w:t>
      </w:r>
    </w:p>
    <w:p w14:paraId="6CD6D764" w14:textId="1E554BBD" w:rsidR="1C47693B" w:rsidRDefault="1C47693B" w:rsidP="0C2B28FF">
      <w:pPr>
        <w:pStyle w:val="ListParagraph"/>
        <w:numPr>
          <w:ilvl w:val="0"/>
          <w:numId w:val="5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  <w:sz w:val="20"/>
          <w:szCs w:val="20"/>
        </w:rPr>
        <w:t>DimDate.ArrivalDate – OrderDate</w:t>
      </w:r>
      <w:r w:rsidRPr="0C2B28FF">
        <w:rPr>
          <w:rFonts w:ascii="Calibri" w:eastAsia="Calibri" w:hAnsi="Calibri" w:cs="Calibri"/>
        </w:rPr>
        <w:t>: tatsächliche Lieferzeit</w:t>
      </w:r>
    </w:p>
    <w:p w14:paraId="7C8FF75E" w14:textId="4242AC7B" w:rsidR="1C47693B" w:rsidRDefault="1C47693B" w:rsidP="0C2B28FF">
      <w:pPr>
        <w:pStyle w:val="ListParagraph"/>
        <w:numPr>
          <w:ilvl w:val="0"/>
          <w:numId w:val="5"/>
        </w:numPr>
        <w:spacing w:beforeAutospacing="1" w:afterAutospacing="1"/>
        <w:rPr>
          <w:rFonts w:ascii="Calibri" w:eastAsia="Calibri" w:hAnsi="Calibri" w:cs="Calibri"/>
          <w:sz w:val="20"/>
          <w:szCs w:val="20"/>
        </w:rPr>
      </w:pPr>
      <w:r w:rsidRPr="0C2B28FF">
        <w:rPr>
          <w:rFonts w:ascii="Calibri" w:eastAsia="Calibri" w:hAnsi="Calibri" w:cs="Calibri"/>
        </w:rPr>
        <w:t xml:space="preserve">Gruppierung nach </w:t>
      </w:r>
      <w:r w:rsidRPr="0C2B28FF">
        <w:rPr>
          <w:rFonts w:ascii="Calibri" w:eastAsia="Calibri" w:hAnsi="Calibri" w:cs="Calibri"/>
          <w:sz w:val="20"/>
          <w:szCs w:val="20"/>
        </w:rPr>
        <w:t>DimProduct.Supplier</w:t>
      </w:r>
      <w:r w:rsidRPr="0C2B28FF">
        <w:rPr>
          <w:rFonts w:ascii="Calibri" w:eastAsia="Calibri" w:hAnsi="Calibri" w:cs="Calibri"/>
        </w:rPr>
        <w:t xml:space="preserve"> oder </w:t>
      </w:r>
      <w:r w:rsidRPr="0C2B28FF">
        <w:rPr>
          <w:rFonts w:ascii="Calibri" w:eastAsia="Calibri" w:hAnsi="Calibri" w:cs="Calibri"/>
          <w:sz w:val="20"/>
          <w:szCs w:val="20"/>
        </w:rPr>
        <w:t>DimLocation.Region</w:t>
      </w:r>
    </w:p>
    <w:p w14:paraId="447EB2ED" w14:textId="370199EB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Frühwarn-Nutzen:</w:t>
      </w:r>
      <w:r>
        <w:br/>
      </w:r>
      <w:r w:rsidRPr="0C2B28FF">
        <w:rPr>
          <w:rFonts w:ascii="Calibri" w:eastAsia="Calibri" w:hAnsi="Calibri" w:cs="Calibri"/>
        </w:rPr>
        <w:t>Ein Anstieg des LTVI zeigt abnehmende Planbarkeit – eine Erhöhung kann als Frühindikator für künftige Lieferprobleme gewertet werden.</w:t>
      </w:r>
    </w:p>
    <w:p w14:paraId="1265486E" w14:textId="48876387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Literatur-Beleg:</w:t>
      </w:r>
      <w:r>
        <w:br/>
      </w:r>
      <w:r w:rsidRPr="0C2B28FF">
        <w:rPr>
          <w:rFonts w:ascii="Calibri" w:eastAsia="Calibri" w:hAnsi="Calibri" w:cs="Calibri"/>
        </w:rPr>
        <w:t>Empirische Studien zeigen, dass hohe Lead-Time-Varianz stark mit steigenden Kosten und schlechterem Servicelevel korreliert.</w:t>
      </w:r>
      <w:r>
        <w:br/>
      </w:r>
      <w:r w:rsidRPr="0C2B28FF">
        <w:rPr>
          <w:rFonts w:ascii="Calibri" w:eastAsia="Calibri" w:hAnsi="Calibri" w:cs="Calibri"/>
        </w:rPr>
        <w:t xml:space="preserve">Quelle: </w:t>
      </w:r>
      <w:hyperlink r:id="rId13">
        <w:r w:rsidRPr="0C2B28FF">
          <w:rPr>
            <w:rStyle w:val="Hyperlink"/>
            <w:rFonts w:ascii="Calibri" w:eastAsia="Calibri" w:hAnsi="Calibri" w:cs="Calibri"/>
          </w:rPr>
          <w:t>researchgate.net</w:t>
        </w:r>
      </w:hyperlink>
    </w:p>
    <w:p w14:paraId="1A8BB96F" w14:textId="42B10B57" w:rsidR="0C2B28FF" w:rsidRDefault="0C2B28FF"/>
    <w:p w14:paraId="23189AAE" w14:textId="326B0F16" w:rsidR="1C47693B" w:rsidRDefault="1C47693B" w:rsidP="0C2B28FF">
      <w:pPr>
        <w:pStyle w:val="Heading3"/>
        <w:rPr>
          <w:rFonts w:ascii="Calibri" w:eastAsia="Calibri" w:hAnsi="Calibri" w:cs="Calibri"/>
          <w:color w:val="000000" w:themeColor="text1"/>
        </w:rPr>
      </w:pPr>
      <w:r w:rsidRPr="0C2B28FF">
        <w:rPr>
          <w:rFonts w:ascii="Calibri" w:eastAsia="Calibri" w:hAnsi="Calibri" w:cs="Calibri"/>
          <w:color w:val="000000" w:themeColor="text1"/>
        </w:rPr>
        <w:t>3. Time-to-Recovery (TTR)</w:t>
      </w:r>
    </w:p>
    <w:p w14:paraId="59E0E67C" w14:textId="5BC0F5DF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Zweck:</w:t>
      </w:r>
      <w:r>
        <w:br/>
      </w:r>
      <w:r w:rsidRPr="0C2B28FF">
        <w:rPr>
          <w:rFonts w:ascii="Calibri" w:eastAsia="Calibri" w:hAnsi="Calibri" w:cs="Calibri"/>
        </w:rPr>
        <w:t xml:space="preserve">Misst, </w:t>
      </w:r>
      <w:r w:rsidRPr="0C2B28FF">
        <w:rPr>
          <w:rStyle w:val="Emphasis"/>
          <w:rFonts w:ascii="Calibri" w:eastAsia="Calibri" w:hAnsi="Calibri" w:cs="Calibri"/>
        </w:rPr>
        <w:t>wie schnell</w:t>
      </w:r>
      <w:r w:rsidRPr="0C2B28FF">
        <w:rPr>
          <w:rFonts w:ascii="Calibri" w:eastAsia="Calibri" w:hAnsi="Calibri" w:cs="Calibri"/>
        </w:rPr>
        <w:t xml:space="preserve"> sich die Lieferkette nach einer Störung (z. B. Hafenstreik, Anlagenstillstand) wieder auf ihren Soll-Output stabilisiert. Kurze TTR-Werte zeigen Resilienz, lange TTRs deuten auf strukturelle Schwächen.</w:t>
      </w:r>
    </w:p>
    <w:p w14:paraId="2269DE14" w14:textId="1C4C251A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Berechnung:</w:t>
      </w:r>
    </w:p>
    <w:p w14:paraId="7D32FF06" w14:textId="1D663FD8" w:rsidR="1C47693B" w:rsidRDefault="1C47693B" w:rsidP="0C2B28FF">
      <w:pPr>
        <w:pStyle w:val="ListParagraph"/>
        <w:numPr>
          <w:ilvl w:val="0"/>
          <w:numId w:val="6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</w:rPr>
        <w:t>Erkennung des Störzeitpunkts (z. B. durch Einbruch in OTIF oder Anstieg LTVI).</w:t>
      </w:r>
    </w:p>
    <w:p w14:paraId="3956DB4E" w14:textId="7A1BDC28" w:rsidR="1C47693B" w:rsidRDefault="1C47693B" w:rsidP="0C2B28FF">
      <w:pPr>
        <w:pStyle w:val="ListParagraph"/>
        <w:numPr>
          <w:ilvl w:val="0"/>
          <w:numId w:val="6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</w:rPr>
        <w:t>Erfassung des Tages, an dem die KPI-Baseline (z. B. durchschnittlicher OTIF ≥ 90 %) wieder erreicht wird.</w:t>
      </w:r>
    </w:p>
    <w:p w14:paraId="08150D0E" w14:textId="4EA8B612" w:rsidR="1C47693B" w:rsidRDefault="1C47693B" w:rsidP="0C2B28FF">
      <w:pPr>
        <w:pStyle w:val="ListParagraph"/>
        <w:numPr>
          <w:ilvl w:val="0"/>
          <w:numId w:val="6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</w:rPr>
        <w:t>TTR = Erholungsdatum – Start der Störung</w:t>
      </w:r>
    </w:p>
    <w:p w14:paraId="22D62810" w14:textId="2B03F753" w:rsidR="1C47693B" w:rsidRDefault="1C47693B" w:rsidP="0C2B28FF">
      <w:pPr>
        <w:spacing w:beforeAutospacing="1" w:afterAutospacing="1"/>
        <w:rPr>
          <w:rFonts w:ascii="Calibri" w:eastAsia="Calibri" w:hAnsi="Calibri" w:cs="Calibri"/>
        </w:rPr>
      </w:pPr>
      <w:r w:rsidRPr="0C2B28FF">
        <w:rPr>
          <w:rStyle w:val="Strong"/>
          <w:rFonts w:ascii="Calibri" w:eastAsia="Calibri" w:hAnsi="Calibri" w:cs="Calibri"/>
        </w:rPr>
        <w:t>Datenzuordnung:</w:t>
      </w:r>
    </w:p>
    <w:p w14:paraId="711C60AF" w14:textId="39F6C1E4" w:rsidR="1C47693B" w:rsidRPr="001A26FB" w:rsidRDefault="1C47693B" w:rsidP="0C2B28FF">
      <w:pPr>
        <w:pStyle w:val="ListParagraph"/>
        <w:numPr>
          <w:ilvl w:val="0"/>
          <w:numId w:val="12"/>
        </w:numPr>
        <w:spacing w:beforeAutospacing="1" w:afterAutospacing="1"/>
        <w:rPr>
          <w:rFonts w:ascii="Calibri" w:eastAsia="Calibri" w:hAnsi="Calibri" w:cs="Calibri"/>
          <w:lang w:val="en-US"/>
        </w:rPr>
      </w:pPr>
      <w:r w:rsidRPr="001A26FB">
        <w:rPr>
          <w:rFonts w:ascii="Calibri" w:eastAsia="Calibri" w:hAnsi="Calibri" w:cs="Calibri"/>
          <w:sz w:val="20"/>
          <w:szCs w:val="20"/>
          <w:lang w:val="en-US"/>
        </w:rPr>
        <w:t>DimOrderStatus</w:t>
      </w:r>
      <w:r w:rsidRPr="001A26FB">
        <w:rPr>
          <w:rFonts w:ascii="Calibri" w:eastAsia="Calibri" w:hAnsi="Calibri" w:cs="Calibri"/>
          <w:lang w:val="en-US"/>
        </w:rPr>
        <w:t>: „On Hold“, „Delayed“, „Completed“</w:t>
      </w:r>
    </w:p>
    <w:p w14:paraId="7A13364A" w14:textId="0D1B5998" w:rsidR="1C47693B" w:rsidRDefault="1C47693B" w:rsidP="0C2B28FF">
      <w:pPr>
        <w:pStyle w:val="ListParagraph"/>
        <w:numPr>
          <w:ilvl w:val="0"/>
          <w:numId w:val="12"/>
        </w:numPr>
        <w:spacing w:beforeAutospacing="1" w:afterAutospacing="1"/>
        <w:rPr>
          <w:rFonts w:ascii="Calibri" w:eastAsia="Calibri" w:hAnsi="Calibri" w:cs="Calibri"/>
        </w:rPr>
      </w:pPr>
      <w:r w:rsidRPr="0C2B28FF">
        <w:rPr>
          <w:rFonts w:ascii="Calibri" w:eastAsia="Calibri" w:hAnsi="Calibri" w:cs="Calibri"/>
        </w:rPr>
        <w:t>KPI-Tracking über OTIF und LTVI</w:t>
      </w:r>
    </w:p>
    <w:p w14:paraId="4EDF1862" w14:textId="69DAB01D" w:rsidR="1C47693B" w:rsidRPr="001A26FB" w:rsidRDefault="1C47693B" w:rsidP="0C2B28FF">
      <w:pPr>
        <w:rPr>
          <w:rFonts w:ascii="Calibri" w:eastAsia="Calibri" w:hAnsi="Calibri" w:cs="Calibri"/>
          <w:lang w:val="en-US"/>
        </w:rPr>
      </w:pPr>
      <w:r w:rsidRPr="0C2B28FF">
        <w:rPr>
          <w:rStyle w:val="Strong"/>
          <w:rFonts w:ascii="Calibri" w:eastAsia="Calibri" w:hAnsi="Calibri" w:cs="Calibri"/>
        </w:rPr>
        <w:t>Literatur-Beleg:</w:t>
      </w:r>
      <w:r>
        <w:br/>
      </w:r>
      <w:r w:rsidRPr="0C2B28FF">
        <w:rPr>
          <w:rFonts w:ascii="Calibri" w:eastAsia="Calibri" w:hAnsi="Calibri" w:cs="Calibri"/>
        </w:rPr>
        <w:t>TTR ist ein etabliertes Maß für Resilienz und wird oft für Frühwarnsysteme und Szenariosimulationen empfohlen.</w:t>
      </w:r>
      <w:r>
        <w:br/>
      </w:r>
      <w:r w:rsidRPr="001A26FB">
        <w:rPr>
          <w:rFonts w:ascii="Calibri" w:eastAsia="Calibri" w:hAnsi="Calibri" w:cs="Calibri"/>
          <w:lang w:val="en-US"/>
        </w:rPr>
        <w:t xml:space="preserve">Quelle: </w:t>
      </w:r>
      <w:hyperlink r:id="rId14">
        <w:r w:rsidRPr="001A26FB">
          <w:rPr>
            <w:rStyle w:val="Hyperlink"/>
            <w:rFonts w:ascii="Calibri" w:eastAsia="Calibri" w:hAnsi="Calibri" w:cs="Calibri"/>
            <w:lang w:val="en-US"/>
          </w:rPr>
          <w:t>f.hubspotusercontent30.net</w:t>
        </w:r>
      </w:hyperlink>
    </w:p>
    <w:p w14:paraId="36A6A736" w14:textId="42A4ECC5" w:rsidR="0C2B28FF" w:rsidRPr="001A26FB" w:rsidRDefault="0C2B28FF" w:rsidP="0C2B28FF">
      <w:pPr>
        <w:rPr>
          <w:rFonts w:ascii="Aptos" w:eastAsia="Aptos" w:hAnsi="Aptos" w:cs="Aptos"/>
          <w:highlight w:val="yellow"/>
          <w:lang w:val="en-US"/>
        </w:rPr>
      </w:pPr>
    </w:p>
    <w:p w14:paraId="03BB9CA7" w14:textId="05096161" w:rsidR="0C2B28FF" w:rsidRPr="001A26FB" w:rsidRDefault="0C2B28FF" w:rsidP="0C2B28FF">
      <w:pPr>
        <w:pStyle w:val="ListParagraph"/>
        <w:rPr>
          <w:rFonts w:ascii="Aptos" w:eastAsia="Aptos" w:hAnsi="Aptos" w:cs="Aptos"/>
          <w:lang w:val="en-US"/>
        </w:rPr>
      </w:pPr>
    </w:p>
    <w:p w14:paraId="5E402A2A" w14:textId="4E8E9873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17B2FDF7" w14:textId="70368F01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44232941" w14:textId="1179562A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7A44B9BE" w14:textId="517912C0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4FEFAF19" w14:textId="28C0C02E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15DAD997" w14:textId="575BC20F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3928D319" w14:textId="45024678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310D43C3" w14:textId="281C4E78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1BE7FBFB" w14:textId="2DB285DA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53D9C57A" w14:textId="77F75DAE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0B3219F8" w14:textId="539607F9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15E711B2" w14:textId="0F46B678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73C170C6" w14:textId="730EF36C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268B303C" w14:textId="0D9BFAD2" w:rsidR="0C2B28FF" w:rsidRPr="001A26FB" w:rsidRDefault="0C2B28FF" w:rsidP="0C2B28FF">
      <w:pPr>
        <w:rPr>
          <w:rFonts w:ascii="Calibri" w:eastAsia="Calibri" w:hAnsi="Calibri" w:cs="Calibri"/>
          <w:strike/>
          <w:lang w:val="en-US"/>
        </w:rPr>
      </w:pPr>
    </w:p>
    <w:p w14:paraId="4D085E97" w14:textId="5D365261" w:rsidR="1C47693B" w:rsidRPr="001A26FB" w:rsidRDefault="1C47693B" w:rsidP="0C2B28FF">
      <w:pPr>
        <w:rPr>
          <w:rFonts w:ascii="Calibri" w:eastAsia="Calibri" w:hAnsi="Calibri" w:cs="Calibri"/>
          <w:b/>
          <w:sz w:val="44"/>
          <w:szCs w:val="44"/>
          <w:lang w:val="en-US"/>
        </w:rPr>
      </w:pPr>
      <w:r w:rsidRPr="001A26FB">
        <w:rPr>
          <w:rFonts w:ascii="Calibri" w:eastAsia="Calibri" w:hAnsi="Calibri" w:cs="Calibri"/>
          <w:b/>
          <w:sz w:val="44"/>
          <w:szCs w:val="44"/>
          <w:lang w:val="en-US"/>
        </w:rPr>
        <w:t>GEDROPPTE IDEEN</w:t>
      </w:r>
    </w:p>
    <w:p w14:paraId="4EC2657B" w14:textId="33AB1D8C" w:rsidR="173D97B4" w:rsidRPr="001A26FB" w:rsidRDefault="173D97B4" w:rsidP="0C2B28FF">
      <w:pPr>
        <w:rPr>
          <w:rFonts w:ascii="Calibri" w:eastAsia="Calibri" w:hAnsi="Calibri" w:cs="Calibri"/>
          <w:strike/>
        </w:rPr>
      </w:pPr>
      <w:r w:rsidRPr="5540CE23">
        <w:rPr>
          <w:rFonts w:ascii="Calibri" w:eastAsia="Calibri" w:hAnsi="Calibri" w:cs="Calibri"/>
          <w:strike/>
        </w:rPr>
        <w:t>1 predicted late deliver risk rate</w:t>
      </w:r>
    </w:p>
    <w:p w14:paraId="21C38E36" w14:textId="6850BCA2" w:rsidR="465970E5" w:rsidRPr="001A26FB" w:rsidRDefault="173D97B4" w:rsidP="0C2B28FF">
      <w:pPr>
        <w:rPr>
          <w:rFonts w:ascii="Aptos" w:eastAsia="Aptos" w:hAnsi="Aptos" w:cs="Aptos"/>
          <w:strike/>
          <w:sz w:val="28"/>
          <w:szCs w:val="28"/>
          <w:lang w:val="en-US"/>
        </w:rPr>
      </w:pPr>
      <w:r w:rsidRPr="0C2B28FF">
        <w:rPr>
          <w:rFonts w:ascii="Aptos" w:eastAsia="Aptos" w:hAnsi="Aptos" w:cs="Aptos"/>
          <w:b/>
          <w:bCs/>
          <w:strike/>
          <w:sz w:val="28"/>
          <w:szCs w:val="28"/>
          <w:lang w:val="en-GB"/>
        </w:rPr>
        <w:t xml:space="preserve">1. (Predicted) Late Delivery Risk Rate </w:t>
      </w:r>
    </w:p>
    <w:p w14:paraId="1D0F67F7" w14:textId="39BE325D" w:rsidR="465970E5" w:rsidRPr="001A26FB" w:rsidRDefault="173D97B4" w:rsidP="0C2B28FF">
      <w:pPr>
        <w:rPr>
          <w:rFonts w:ascii="Aptos" w:eastAsia="Aptos" w:hAnsi="Aptos" w:cs="Aptos"/>
          <w:strike/>
          <w:lang w:val="en-US"/>
        </w:rPr>
      </w:pPr>
      <w:r w:rsidRPr="0C2B28FF">
        <w:rPr>
          <w:rFonts w:ascii="Aptos" w:eastAsia="Aptos" w:hAnsi="Aptos" w:cs="Aptos"/>
          <w:b/>
          <w:bCs/>
          <w:strike/>
          <w:lang w:val="en-GB"/>
        </w:rPr>
        <w:t>KPI Definition</w:t>
      </w:r>
      <w:r w:rsidRPr="0C2B28FF">
        <w:rPr>
          <w:rFonts w:ascii="Aptos" w:eastAsia="Aptos" w:hAnsi="Aptos" w:cs="Aptos"/>
          <w:strike/>
          <w:lang w:val="en-GB"/>
        </w:rPr>
        <w:t>= Late Delivery Risk Rate = Count of Orders with Risk/Total Orders X 100%</w:t>
      </w:r>
    </w:p>
    <w:p w14:paraId="4BF8404D" w14:textId="34107254" w:rsidR="465970E5" w:rsidRPr="001A26FB" w:rsidRDefault="173D97B4" w:rsidP="0C2B28FF">
      <w:pPr>
        <w:rPr>
          <w:rFonts w:ascii="Aptos" w:eastAsia="Aptos" w:hAnsi="Aptos" w:cs="Aptos"/>
          <w:strike/>
          <w:lang w:val="en-US"/>
        </w:rPr>
      </w:pPr>
      <w:r w:rsidRPr="0C2B28FF">
        <w:rPr>
          <w:rFonts w:ascii="Aptos" w:eastAsia="Aptos" w:hAnsi="Aptos" w:cs="Aptos"/>
          <w:strike/>
          <w:lang w:val="en-GB"/>
        </w:rPr>
        <w:t>It's a built-in leading indicator we can group this by region, shipping mode, supplier, or product to see where disruption is emerging.</w:t>
      </w:r>
    </w:p>
    <w:p w14:paraId="779A0578" w14:textId="683852FE" w:rsidR="465970E5" w:rsidRPr="001A26FB" w:rsidRDefault="465970E5" w:rsidP="465970E5">
      <w:pPr>
        <w:rPr>
          <w:rFonts w:ascii="Calibri" w:eastAsia="Calibri" w:hAnsi="Calibri" w:cs="Calibri"/>
          <w:lang w:val="en-US"/>
        </w:rPr>
      </w:pPr>
    </w:p>
    <w:p w14:paraId="4290CA2A" w14:textId="402EACB6" w:rsidR="0C2B28FF" w:rsidRPr="001A26FB" w:rsidRDefault="0C2B28FF" w:rsidP="0C2B28FF">
      <w:pPr>
        <w:rPr>
          <w:rFonts w:ascii="Calibri" w:eastAsia="Calibri" w:hAnsi="Calibri" w:cs="Calibri"/>
          <w:lang w:val="en-US"/>
        </w:rPr>
      </w:pPr>
    </w:p>
    <w:p w14:paraId="2850EA58" w14:textId="30658C71" w:rsidR="465970E5" w:rsidRPr="001A26FB" w:rsidRDefault="465970E5" w:rsidP="465970E5">
      <w:pPr>
        <w:rPr>
          <w:rFonts w:ascii="Calibri" w:eastAsia="Calibri" w:hAnsi="Calibri" w:cs="Calibri"/>
          <w:lang w:val="en-US"/>
        </w:rPr>
      </w:pPr>
    </w:p>
    <w:p w14:paraId="69248BFB" w14:textId="65AC24DE" w:rsidR="0C2B28FF" w:rsidRPr="001A26FB" w:rsidRDefault="0C2B28FF">
      <w:pPr>
        <w:rPr>
          <w:lang w:val="en-US"/>
        </w:rPr>
      </w:pPr>
    </w:p>
    <w:p w14:paraId="47317924" w14:textId="15443DA7" w:rsidR="0C2B28FF" w:rsidRPr="001A26FB" w:rsidRDefault="0C2B28FF">
      <w:pPr>
        <w:rPr>
          <w:lang w:val="en-US"/>
        </w:rPr>
      </w:pPr>
    </w:p>
    <w:p w14:paraId="62037633" w14:textId="795A13FA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  <w:b/>
          <w:bCs/>
        </w:rPr>
        <w:t>Zeitbezogene Kennzahlen</w:t>
      </w:r>
    </w:p>
    <w:p w14:paraId="0E5C1E6D" w14:textId="2C5C15C2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</w:rPr>
        <w:t>Diese Kennzahlen helfen, Verzögerungen oder Abweichungen im Zeitablauf zu erkennen:</w:t>
      </w:r>
    </w:p>
    <w:p w14:paraId="446884F6" w14:textId="07C644FA" w:rsidR="5EBBB628" w:rsidRDefault="5EBBB628" w:rsidP="0C2B28FF">
      <w:pPr>
        <w:pStyle w:val="ListParagraph"/>
        <w:numPr>
          <w:ilvl w:val="0"/>
          <w:numId w:val="2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Lieferzeit (Lead Time)</w:t>
      </w:r>
      <w:r>
        <w:br/>
      </w:r>
      <w:r w:rsidRPr="0C2B28FF">
        <w:rPr>
          <w:rFonts w:ascii="Aptos" w:eastAsia="Aptos" w:hAnsi="Aptos" w:cs="Aptos"/>
          <w:strike/>
        </w:rPr>
        <w:t>Zeit zwischen Bestellung und Erhalt der Ware – Anstieg kann auf Engpässe hinweisen.</w:t>
      </w:r>
    </w:p>
    <w:p w14:paraId="63EC440B" w14:textId="54D1C587" w:rsidR="5EBBB628" w:rsidRDefault="5EBBB628" w:rsidP="0C2B28FF">
      <w:pPr>
        <w:pStyle w:val="ListParagraph"/>
        <w:numPr>
          <w:ilvl w:val="0"/>
          <w:numId w:val="2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Termintreue (On-Time Delivery Rate)</w:t>
      </w:r>
      <w:r>
        <w:br/>
      </w:r>
      <w:r w:rsidRPr="0C2B28FF">
        <w:rPr>
          <w:rFonts w:ascii="Aptos" w:eastAsia="Aptos" w:hAnsi="Aptos" w:cs="Aptos"/>
          <w:strike/>
        </w:rPr>
        <w:t>Anteil pünktlicher Lieferungen – Ein Rückgang signalisiert mögliche Störungen.</w:t>
      </w:r>
    </w:p>
    <w:p w14:paraId="374A8CB4" w14:textId="323044A1" w:rsidR="5EBBB628" w:rsidRDefault="5EBBB628" w:rsidP="0C2B28FF">
      <w:pPr>
        <w:pStyle w:val="ListParagraph"/>
        <w:numPr>
          <w:ilvl w:val="0"/>
          <w:numId w:val="2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Durchlaufzeit (Cycle Time)</w:t>
      </w:r>
      <w:r>
        <w:br/>
      </w:r>
      <w:r w:rsidRPr="0C2B28FF">
        <w:rPr>
          <w:rFonts w:ascii="Aptos" w:eastAsia="Aptos" w:hAnsi="Aptos" w:cs="Aptos"/>
          <w:strike/>
        </w:rPr>
        <w:t>Zeit vom Produktionsbeginn bis zur Auslieferung – Verlängerungen deuten auf Produktionsprobleme.</w:t>
      </w:r>
    </w:p>
    <w:p w14:paraId="0C280F9A" w14:textId="4E3D80A8" w:rsidR="5EBBB628" w:rsidRDefault="5EBBB628" w:rsidP="0C2B28FF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09BF84E" wp14:editId="0CB5D9D8">
            <wp:extent cx="9525" cy="9525"/>
            <wp:effectExtent l="0" t="0" r="0" b="0"/>
            <wp:docPr id="1653269297" name="Picture 1653269297" descr="Form, Bild">
              <a:extLst xmlns:a="http://schemas.openxmlformats.org/drawingml/2006/main">
                <a:ext uri="{FF2B5EF4-FFF2-40B4-BE49-F238E27FC236}">
                  <a16:creationId xmlns:a16="http://schemas.microsoft.com/office/drawing/2014/main" id="{F7B01123-CDF3-4858-B251-8596F1840D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8754" w14:textId="1D63127F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  <w:b/>
          <w:bCs/>
        </w:rPr>
        <w:t>Bestandsbezogene Kennzahlen</w:t>
      </w:r>
    </w:p>
    <w:p w14:paraId="28B52656" w14:textId="3B1F8CD2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</w:rPr>
        <w:t>Bestände spiegeln oft indirekt Probleme in der Lieferkette wider:</w:t>
      </w:r>
    </w:p>
    <w:p w14:paraId="13647515" w14:textId="19B04754" w:rsidR="5EBBB628" w:rsidRDefault="5EBBB628" w:rsidP="0C2B28FF">
      <w:pPr>
        <w:pStyle w:val="ListParagraph"/>
        <w:numPr>
          <w:ilvl w:val="0"/>
          <w:numId w:val="3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Bestandsreichweite (Days of Inventory on Hand)</w:t>
      </w:r>
      <w:r>
        <w:br/>
      </w:r>
      <w:r w:rsidRPr="0C2B28FF">
        <w:rPr>
          <w:rFonts w:ascii="Aptos" w:eastAsia="Aptos" w:hAnsi="Aptos" w:cs="Aptos"/>
          <w:strike/>
        </w:rPr>
        <w:t>Wie lange reicht der aktuelle Bestand bei aktuellem Verbrauch?</w:t>
      </w:r>
    </w:p>
    <w:p w14:paraId="06918884" w14:textId="23234F77" w:rsidR="5EBBB628" w:rsidRDefault="5EBBB628" w:rsidP="0C2B28FF">
      <w:pPr>
        <w:pStyle w:val="ListParagraph"/>
        <w:numPr>
          <w:ilvl w:val="0"/>
          <w:numId w:val="3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Sicherheitsbestand vs. realer Bestand</w:t>
      </w:r>
      <w:r>
        <w:br/>
      </w:r>
      <w:r w:rsidRPr="0C2B28FF">
        <w:rPr>
          <w:rFonts w:ascii="Aptos" w:eastAsia="Aptos" w:hAnsi="Aptos" w:cs="Aptos"/>
          <w:strike/>
        </w:rPr>
        <w:t>Differenz zeigt, ob der Puffer zu häufig oder zu selten genutzt wird.</w:t>
      </w:r>
    </w:p>
    <w:p w14:paraId="49FE057B" w14:textId="1347C490" w:rsidR="5EBBB628" w:rsidRDefault="5EBBB628" w:rsidP="0C2B28FF">
      <w:pPr>
        <w:pStyle w:val="ListParagraph"/>
        <w:numPr>
          <w:ilvl w:val="0"/>
          <w:numId w:val="3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Lagerumschlagshäufigkeit (Inventory Turnover)</w:t>
      </w:r>
      <w:r>
        <w:br/>
      </w:r>
      <w:r w:rsidRPr="0C2B28FF">
        <w:rPr>
          <w:rFonts w:ascii="Aptos" w:eastAsia="Aptos" w:hAnsi="Aptos" w:cs="Aptos"/>
          <w:strike/>
        </w:rPr>
        <w:t>Niedrige Werte können auf Überbestände oder langsame Abflüsse hinweisen.</w:t>
      </w:r>
    </w:p>
    <w:p w14:paraId="47195C99" w14:textId="311D9999" w:rsidR="5EBBB628" w:rsidRDefault="5EBBB628" w:rsidP="0C2B28FF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35F1811C" wp14:editId="7E60C277">
            <wp:extent cx="9525" cy="9525"/>
            <wp:effectExtent l="0" t="0" r="0" b="0"/>
            <wp:docPr id="474941760" name="Picture 474941760" descr="Form, Bild">
              <a:extLst xmlns:a="http://schemas.openxmlformats.org/drawingml/2006/main">
                <a:ext uri="{FF2B5EF4-FFF2-40B4-BE49-F238E27FC236}">
                  <a16:creationId xmlns:a16="http://schemas.microsoft.com/office/drawing/2014/main" id="{98F6C59B-C700-40F7-843C-2170C3B48E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8593" w14:textId="4E8C968A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  <w:b/>
          <w:bCs/>
        </w:rPr>
        <w:t>Lieferantenbezogene Kennzahlen</w:t>
      </w:r>
    </w:p>
    <w:p w14:paraId="12B55FBA" w14:textId="4E4665E7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</w:rPr>
        <w:t>Hier zeigt sich die Zuverlässigkeit und Stabilität der Zulieferer:</w:t>
      </w:r>
    </w:p>
    <w:p w14:paraId="2717998C" w14:textId="6E8DE1B8" w:rsidR="5EBBB628" w:rsidRDefault="5EBBB628" w:rsidP="0C2B28FF">
      <w:pPr>
        <w:pStyle w:val="ListParagraph"/>
        <w:numPr>
          <w:ilvl w:val="0"/>
          <w:numId w:val="11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Lieferanten-Abweichungsquote</w:t>
      </w:r>
      <w:r>
        <w:br/>
      </w:r>
      <w:r w:rsidRPr="0C2B28FF">
        <w:rPr>
          <w:rFonts w:ascii="Aptos" w:eastAsia="Aptos" w:hAnsi="Aptos" w:cs="Aptos"/>
          <w:strike/>
        </w:rPr>
        <w:t>Anteil fehlerhafter oder verspäteter Lieferungen.</w:t>
      </w:r>
    </w:p>
    <w:p w14:paraId="39EA8E26" w14:textId="5E25B78B" w:rsidR="5EBBB628" w:rsidRDefault="5EBBB628" w:rsidP="0C2B28FF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A51C8B0" wp14:editId="134C78CF">
            <wp:extent cx="9525" cy="9525"/>
            <wp:effectExtent l="0" t="0" r="0" b="0"/>
            <wp:docPr id="990544239" name="Picture 990544239" descr="Form, Bild">
              <a:extLst xmlns:a="http://schemas.openxmlformats.org/drawingml/2006/main">
                <a:ext uri="{FF2B5EF4-FFF2-40B4-BE49-F238E27FC236}">
                  <a16:creationId xmlns:a16="http://schemas.microsoft.com/office/drawing/2014/main" id="{71287D89-3419-4747-A0D7-899DDBA73A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B144" w14:textId="224C907B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  <w:b/>
          <w:bCs/>
        </w:rPr>
        <w:t>Frühindikatoren &amp; Risiko-KPIs</w:t>
      </w:r>
    </w:p>
    <w:p w14:paraId="100B95D8" w14:textId="380B3818" w:rsidR="5EBBB628" w:rsidRDefault="5EBBB628" w:rsidP="0C2B28FF">
      <w:pPr>
        <w:rPr>
          <w:rFonts w:ascii="Aptos" w:eastAsia="Aptos" w:hAnsi="Aptos" w:cs="Aptos"/>
        </w:rPr>
      </w:pPr>
      <w:r w:rsidRPr="0C2B28FF">
        <w:rPr>
          <w:rFonts w:ascii="Aptos" w:eastAsia="Aptos" w:hAnsi="Aptos" w:cs="Aptos"/>
        </w:rPr>
        <w:t>Diese Kennzahlen zeigen an, wenn sich etwas anbahnt:</w:t>
      </w:r>
    </w:p>
    <w:p w14:paraId="41F5BA13" w14:textId="32A9D8C2" w:rsidR="5EBBB628" w:rsidRDefault="5EBBB628" w:rsidP="0C2B28FF">
      <w:pPr>
        <w:pStyle w:val="ListParagraph"/>
        <w:numPr>
          <w:ilvl w:val="0"/>
          <w:numId w:val="9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Anzahl offener Bestellungen mit überfälligem Termin</w:t>
      </w:r>
      <w:r>
        <w:br/>
      </w:r>
      <w:r w:rsidRPr="0C2B28FF">
        <w:rPr>
          <w:rFonts w:ascii="Aptos" w:eastAsia="Aptos" w:hAnsi="Aptos" w:cs="Aptos"/>
          <w:strike/>
        </w:rPr>
        <w:t>Frühwarnzeichen für Rückstände.</w:t>
      </w:r>
    </w:p>
    <w:p w14:paraId="3EC86B64" w14:textId="2B16810E" w:rsidR="5EBBB628" w:rsidRDefault="5EBBB628" w:rsidP="0C2B28FF">
      <w:pPr>
        <w:pStyle w:val="ListParagraph"/>
        <w:numPr>
          <w:ilvl w:val="0"/>
          <w:numId w:val="9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Backorder-Rate</w:t>
      </w:r>
      <w:r>
        <w:br/>
      </w:r>
      <w:r w:rsidRPr="0C2B28FF">
        <w:rPr>
          <w:rFonts w:ascii="Aptos" w:eastAsia="Aptos" w:hAnsi="Aptos" w:cs="Aptos"/>
          <w:strike/>
        </w:rPr>
        <w:t>Anteil der Bestellungen, die nicht sofort erfüllt werden können.</w:t>
      </w:r>
    </w:p>
    <w:p w14:paraId="6997235C" w14:textId="269ADE02" w:rsidR="5EBBB628" w:rsidRDefault="5EBBB628" w:rsidP="0C2B28FF">
      <w:pPr>
        <w:pStyle w:val="ListParagraph"/>
        <w:numPr>
          <w:ilvl w:val="0"/>
          <w:numId w:val="9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Kapazitätsauslastung (intern/extern)</w:t>
      </w:r>
      <w:r>
        <w:br/>
      </w:r>
      <w:r w:rsidRPr="0C2B28FF">
        <w:rPr>
          <w:rFonts w:ascii="Aptos" w:eastAsia="Aptos" w:hAnsi="Aptos" w:cs="Aptos"/>
          <w:strike/>
        </w:rPr>
        <w:t>Überlastung kann bald zu Verzögerungen führen.</w:t>
      </w:r>
    </w:p>
    <w:p w14:paraId="2A4A0459" w14:textId="07E8838D" w:rsidR="5EBBB628" w:rsidRDefault="5EBBB628" w:rsidP="0C2B28FF">
      <w:pPr>
        <w:pStyle w:val="ListParagraph"/>
        <w:numPr>
          <w:ilvl w:val="0"/>
          <w:numId w:val="9"/>
        </w:numPr>
        <w:rPr>
          <w:rFonts w:ascii="Aptos" w:eastAsia="Aptos" w:hAnsi="Aptos" w:cs="Aptos"/>
          <w:strike/>
        </w:rPr>
      </w:pPr>
      <w:r w:rsidRPr="0C2B28FF">
        <w:rPr>
          <w:rFonts w:ascii="Aptos" w:eastAsia="Aptos" w:hAnsi="Aptos" w:cs="Aptos"/>
          <w:b/>
          <w:bCs/>
          <w:strike/>
        </w:rPr>
        <w:t>Transportverzögerungen (z.</w:t>
      </w:r>
      <w:r w:rsidRPr="0C2B28FF">
        <w:rPr>
          <w:rFonts w:ascii="Arial" w:eastAsia="Arial" w:hAnsi="Arial" w:cs="Arial"/>
          <w:b/>
          <w:bCs/>
          <w:strike/>
        </w:rPr>
        <w:t> </w:t>
      </w:r>
      <w:r w:rsidRPr="0C2B28FF">
        <w:rPr>
          <w:rFonts w:ascii="Aptos" w:eastAsia="Aptos" w:hAnsi="Aptos" w:cs="Aptos"/>
          <w:b/>
          <w:bCs/>
          <w:strike/>
        </w:rPr>
        <w:t>B. ETA-Abweichung, Zollabfertigungsdauer)</w:t>
      </w:r>
      <w:r>
        <w:br/>
      </w:r>
      <w:r w:rsidRPr="0C2B28FF">
        <w:rPr>
          <w:rFonts w:ascii="Aptos" w:eastAsia="Aptos" w:hAnsi="Aptos" w:cs="Aptos"/>
          <w:strike/>
        </w:rPr>
        <w:t>Verzögerungen in der Logistikkette – besonders wichtig bei internationalen Lieferungen.</w:t>
      </w:r>
    </w:p>
    <w:p w14:paraId="3766D92F" w14:textId="29524367" w:rsidR="0C2B28FF" w:rsidRDefault="0C2B28FF" w:rsidP="0C2B28FF">
      <w:pPr>
        <w:rPr>
          <w:rFonts w:ascii="Calibri" w:eastAsia="Calibri" w:hAnsi="Calibri" w:cs="Calibri"/>
        </w:rPr>
      </w:pPr>
    </w:p>
    <w:p w14:paraId="651D9E99" w14:textId="47177973" w:rsidR="0C2B28FF" w:rsidRDefault="0C2B28FF" w:rsidP="0C2B28FF">
      <w:pPr>
        <w:rPr>
          <w:rFonts w:ascii="Calibri" w:eastAsia="Calibri" w:hAnsi="Calibri" w:cs="Calibri"/>
        </w:rPr>
      </w:pPr>
    </w:p>
    <w:sectPr w:rsidR="0C2B28F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F286"/>
    <w:multiLevelType w:val="hybridMultilevel"/>
    <w:tmpl w:val="1EA28024"/>
    <w:lvl w:ilvl="0" w:tplc="6D4A4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E8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6F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A0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FA4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249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60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44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EC0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1928"/>
    <w:multiLevelType w:val="multilevel"/>
    <w:tmpl w:val="B652E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B0E2A"/>
    <w:multiLevelType w:val="hybridMultilevel"/>
    <w:tmpl w:val="045EFA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21225"/>
    <w:multiLevelType w:val="multilevel"/>
    <w:tmpl w:val="F3A80630"/>
    <w:lvl w:ilvl="0">
      <w:start w:val="10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702A"/>
    <w:multiLevelType w:val="multilevel"/>
    <w:tmpl w:val="8730DA3E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5E265"/>
    <w:multiLevelType w:val="multilevel"/>
    <w:tmpl w:val="5D3AF2C6"/>
    <w:lvl w:ilvl="0">
      <w:start w:val="7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8C22F"/>
    <w:multiLevelType w:val="hybridMultilevel"/>
    <w:tmpl w:val="E30826BC"/>
    <w:lvl w:ilvl="0" w:tplc="7068E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0CB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987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04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4A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56D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EF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D82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E0AD8"/>
    <w:multiLevelType w:val="hybridMultilevel"/>
    <w:tmpl w:val="23829DB6"/>
    <w:lvl w:ilvl="0" w:tplc="E3B2C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A1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46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4C3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20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24B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509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08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6C2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B763A"/>
    <w:multiLevelType w:val="multilevel"/>
    <w:tmpl w:val="973675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F49D5"/>
    <w:multiLevelType w:val="hybridMultilevel"/>
    <w:tmpl w:val="F65A92E8"/>
    <w:lvl w:ilvl="0" w:tplc="424EF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F84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49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6AA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EF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CE2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CB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EF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74A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BEE5B"/>
    <w:multiLevelType w:val="hybridMultilevel"/>
    <w:tmpl w:val="85C6A04A"/>
    <w:lvl w:ilvl="0" w:tplc="A8BA8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7C9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42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03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0C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02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FC7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01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848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6A3B8"/>
    <w:multiLevelType w:val="hybridMultilevel"/>
    <w:tmpl w:val="75C45E8A"/>
    <w:lvl w:ilvl="0" w:tplc="27D80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227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6E0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A6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FEC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45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82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C0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C2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1E066"/>
    <w:multiLevelType w:val="multilevel"/>
    <w:tmpl w:val="696818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5663F"/>
    <w:multiLevelType w:val="hybridMultilevel"/>
    <w:tmpl w:val="20D02B0A"/>
    <w:lvl w:ilvl="0" w:tplc="67B6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E624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A368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02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21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7CD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E5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4F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621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BADE9"/>
    <w:multiLevelType w:val="multilevel"/>
    <w:tmpl w:val="22D83154"/>
    <w:lvl w:ilvl="0">
      <w:start w:val="4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C2641"/>
    <w:multiLevelType w:val="hybridMultilevel"/>
    <w:tmpl w:val="C486F81C"/>
    <w:lvl w:ilvl="0" w:tplc="FC641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8A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D41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86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A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E5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0A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2D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0A3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A8B46D"/>
    <w:multiLevelType w:val="multilevel"/>
    <w:tmpl w:val="D4F08790"/>
    <w:lvl w:ilvl="0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50753">
    <w:abstractNumId w:val="6"/>
  </w:num>
  <w:num w:numId="2" w16cid:durableId="132255766">
    <w:abstractNumId w:val="16"/>
  </w:num>
  <w:num w:numId="3" w16cid:durableId="1338654516">
    <w:abstractNumId w:val="14"/>
  </w:num>
  <w:num w:numId="4" w16cid:durableId="1375155375">
    <w:abstractNumId w:val="15"/>
  </w:num>
  <w:num w:numId="5" w16cid:durableId="140469127">
    <w:abstractNumId w:val="1"/>
  </w:num>
  <w:num w:numId="6" w16cid:durableId="1529492042">
    <w:abstractNumId w:val="4"/>
  </w:num>
  <w:num w:numId="7" w16cid:durableId="1550146721">
    <w:abstractNumId w:val="7"/>
  </w:num>
  <w:num w:numId="8" w16cid:durableId="1719549098">
    <w:abstractNumId w:val="2"/>
  </w:num>
  <w:num w:numId="9" w16cid:durableId="1741249818">
    <w:abstractNumId w:val="3"/>
  </w:num>
  <w:num w:numId="10" w16cid:durableId="1762868714">
    <w:abstractNumId w:val="0"/>
  </w:num>
  <w:num w:numId="11" w16cid:durableId="1820806499">
    <w:abstractNumId w:val="5"/>
  </w:num>
  <w:num w:numId="12" w16cid:durableId="1958947616">
    <w:abstractNumId w:val="8"/>
  </w:num>
  <w:num w:numId="13" w16cid:durableId="2014644656">
    <w:abstractNumId w:val="12"/>
  </w:num>
  <w:num w:numId="14" w16cid:durableId="401294288">
    <w:abstractNumId w:val="9"/>
  </w:num>
  <w:num w:numId="15" w16cid:durableId="565186052">
    <w:abstractNumId w:val="10"/>
  </w:num>
  <w:num w:numId="16" w16cid:durableId="696346447">
    <w:abstractNumId w:val="11"/>
  </w:num>
  <w:num w:numId="17" w16cid:durableId="7992276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883581"/>
    <w:rsid w:val="00014995"/>
    <w:rsid w:val="000815D6"/>
    <w:rsid w:val="00081AB7"/>
    <w:rsid w:val="000C30E7"/>
    <w:rsid w:val="000C68F0"/>
    <w:rsid w:val="001260B1"/>
    <w:rsid w:val="001315C2"/>
    <w:rsid w:val="00182B94"/>
    <w:rsid w:val="001A26FB"/>
    <w:rsid w:val="001A7888"/>
    <w:rsid w:val="00213493"/>
    <w:rsid w:val="00255F5A"/>
    <w:rsid w:val="00263688"/>
    <w:rsid w:val="003C0CFC"/>
    <w:rsid w:val="003F4D0F"/>
    <w:rsid w:val="003F5528"/>
    <w:rsid w:val="004B3600"/>
    <w:rsid w:val="004B4654"/>
    <w:rsid w:val="004C63DF"/>
    <w:rsid w:val="004E37CC"/>
    <w:rsid w:val="00532476"/>
    <w:rsid w:val="00547BEB"/>
    <w:rsid w:val="005A5015"/>
    <w:rsid w:val="00645E6A"/>
    <w:rsid w:val="0065105A"/>
    <w:rsid w:val="006615CE"/>
    <w:rsid w:val="006773A9"/>
    <w:rsid w:val="007050C5"/>
    <w:rsid w:val="007225A3"/>
    <w:rsid w:val="007E3E24"/>
    <w:rsid w:val="007E4D47"/>
    <w:rsid w:val="007E643C"/>
    <w:rsid w:val="0083743F"/>
    <w:rsid w:val="00857C45"/>
    <w:rsid w:val="008E348B"/>
    <w:rsid w:val="00994110"/>
    <w:rsid w:val="00B522D8"/>
    <w:rsid w:val="00B65FD9"/>
    <w:rsid w:val="00BA272F"/>
    <w:rsid w:val="00BD70F3"/>
    <w:rsid w:val="00C052AD"/>
    <w:rsid w:val="00CA2D2A"/>
    <w:rsid w:val="00CD3419"/>
    <w:rsid w:val="00CD6FE8"/>
    <w:rsid w:val="00D116F9"/>
    <w:rsid w:val="00D85327"/>
    <w:rsid w:val="00DC524D"/>
    <w:rsid w:val="00E169EF"/>
    <w:rsid w:val="00E461E1"/>
    <w:rsid w:val="00E66846"/>
    <w:rsid w:val="00E919EF"/>
    <w:rsid w:val="00EE0690"/>
    <w:rsid w:val="00F33957"/>
    <w:rsid w:val="00FD5BC4"/>
    <w:rsid w:val="00FF66B1"/>
    <w:rsid w:val="010D16A7"/>
    <w:rsid w:val="05AF6236"/>
    <w:rsid w:val="06DBAD52"/>
    <w:rsid w:val="08D98321"/>
    <w:rsid w:val="0C2B28FF"/>
    <w:rsid w:val="0D0D87DC"/>
    <w:rsid w:val="0F2319B9"/>
    <w:rsid w:val="16A0EA5A"/>
    <w:rsid w:val="173D97B4"/>
    <w:rsid w:val="1833160F"/>
    <w:rsid w:val="1C47693B"/>
    <w:rsid w:val="1D4E4F67"/>
    <w:rsid w:val="217BD14E"/>
    <w:rsid w:val="2278A466"/>
    <w:rsid w:val="26866511"/>
    <w:rsid w:val="2BB39AB6"/>
    <w:rsid w:val="2FCBBB6D"/>
    <w:rsid w:val="30243BA4"/>
    <w:rsid w:val="36883581"/>
    <w:rsid w:val="380545B7"/>
    <w:rsid w:val="3D553B46"/>
    <w:rsid w:val="3EB58257"/>
    <w:rsid w:val="42047474"/>
    <w:rsid w:val="42B2EC62"/>
    <w:rsid w:val="42D6721A"/>
    <w:rsid w:val="441B755B"/>
    <w:rsid w:val="44847645"/>
    <w:rsid w:val="4581F8B3"/>
    <w:rsid w:val="465970E5"/>
    <w:rsid w:val="47493B2E"/>
    <w:rsid w:val="49E81B1A"/>
    <w:rsid w:val="4BA90361"/>
    <w:rsid w:val="520D6AC5"/>
    <w:rsid w:val="5540CE23"/>
    <w:rsid w:val="5EBBB628"/>
    <w:rsid w:val="6654A4DD"/>
    <w:rsid w:val="686412A3"/>
    <w:rsid w:val="70865854"/>
    <w:rsid w:val="77E679E2"/>
    <w:rsid w:val="7A452476"/>
    <w:rsid w:val="7E2DD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83581"/>
  <w15:chartTrackingRefBased/>
  <w15:docId w15:val="{84E5DFC6-7B72-45F4-82DA-47435FF6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D47"/>
  </w:style>
  <w:style w:type="paragraph" w:styleId="Heading2">
    <w:name w:val="heading 2"/>
    <w:basedOn w:val="Normal"/>
    <w:next w:val="Normal"/>
    <w:uiPriority w:val="9"/>
    <w:unhideWhenUsed/>
    <w:qFormat/>
    <w:rsid w:val="0C2B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C2B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C2B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C2B28F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C2B28FF"/>
    <w:rPr>
      <w:b/>
      <w:bCs/>
    </w:rPr>
  </w:style>
  <w:style w:type="character" w:styleId="Emphasis">
    <w:name w:val="Emphasis"/>
    <w:basedOn w:val="DefaultParagraphFont"/>
    <w:uiPriority w:val="20"/>
    <w:qFormat/>
    <w:rsid w:val="0C2B28FF"/>
    <w:rPr>
      <w:i/>
      <w:iCs/>
    </w:rPr>
  </w:style>
  <w:style w:type="character" w:styleId="Hyperlink">
    <w:name w:val="Hyperlink"/>
    <w:basedOn w:val="DefaultParagraphFont"/>
    <w:uiPriority w:val="99"/>
    <w:unhideWhenUsed/>
    <w:rsid w:val="0C2B28FF"/>
    <w:rPr>
      <w:color w:val="467886"/>
      <w:u w:val="single"/>
    </w:rPr>
  </w:style>
  <w:style w:type="paragraph" w:customStyle="1" w:styleId="a">
    <w:basedOn w:val="Normal"/>
    <w:next w:val="ListParagraph"/>
    <w:uiPriority w:val="34"/>
    <w:qFormat/>
    <w:rsid w:val="007E4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227-7390/12/21/3372" TargetMode="External"/><Relationship Id="rId13" Type="http://schemas.openxmlformats.org/officeDocument/2006/relationships/hyperlink" Target="https://www.researchgate.net/publication/385731018_The_Impact_of_Lead_Time_Variability_on_Supply_Chain_Managemen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mdpi.com/2227-7390/12/21/337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hyperlink" Target="https://f.hubspotusercontent30.net/hubfs/4865135/WeeklyBlast/047%20Metrics%20for%20Supply%20Chain%20Resilience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researchgate.net/publication/385731018_The_Impact_of_Lead_Time_Variability_on_Supply_Chain_Management" TargetMode="External"/><Relationship Id="rId14" Type="http://schemas.openxmlformats.org/officeDocument/2006/relationships/hyperlink" Target="https://f.hubspotusercontent30.net/hubfs/4865135/WeeklyBlast/047%20Metrics%20for%20Supply%20Chain%20Resilienc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20a1ad1bc4be9dc590fa6a255cf7dfdf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c54f64d43aae6aa60034539906605ef2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Props1.xml><?xml version="1.0" encoding="utf-8"?>
<ds:datastoreItem xmlns:ds="http://schemas.openxmlformats.org/officeDocument/2006/customXml" ds:itemID="{039EB07B-FF3F-4855-A325-5102328068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9C55E6-AA1E-47EF-A76B-32DC766E1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4f455-5125-4b45-9a28-22fa6022fed9"/>
    <ds:schemaRef ds:uri="23b7036e-3ac7-45f7-ad2f-75f2ff7ac4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FA550D-7A83-4B8F-A860-7D3CB865AEB7}">
  <ds:schemaRefs>
    <ds:schemaRef ds:uri="http://schemas.microsoft.com/office/2006/metadata/properties"/>
    <ds:schemaRef ds:uri="http://schemas.microsoft.com/office/infopath/2007/PartnerControls"/>
    <ds:schemaRef ds:uri="d164f455-5125-4b45-9a28-22fa6022fed9"/>
    <ds:schemaRef ds:uri="23b7036e-3ac7-45f7-ad2f-75f2ff7ac4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Erkol</dc:creator>
  <cp:keywords/>
  <dc:description/>
  <cp:lastModifiedBy>Semih Erkol</cp:lastModifiedBy>
  <cp:revision>60</cp:revision>
  <dcterms:created xsi:type="dcterms:W3CDTF">2025-06-19T20:36:00Z</dcterms:created>
  <dcterms:modified xsi:type="dcterms:W3CDTF">2025-07-04T18:11:00Z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  <property fmtid="{D5CDD505-2E9C-101B-9397-08002B2CF9AE}" pid="3" name="MediaServiceImageTags">
    <vt:lpwstr/>
  </property>
</Properties>
</file>