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left"/>
      </w:pPr>
      <w:r>
        <w:rPr>
          <w:rFonts w:ascii="Arial" w:cs="Arial" w:eastAsia="Arial" w:hAnsi="Arial"/>
          <w:b/>
          <w:bCs/>
          <w:color w:val="0F3B4C"/>
          <w:sz w:val="44"/>
          <w:szCs w:val="44"/>
        </w:rPr>
        <w:t xml:space="preserve">Blaze Member Signals</w:t>
      </w:r>
    </w:p>
    <w:p>
      <w:pPr>
        <w:spacing w:after="120" w:before="0"/>
      </w:pPr>
      <w:r>
        <w:rPr>
          <w:rFonts w:ascii="Arial" w:cs="Arial" w:eastAsia="Arial" w:hAnsi="Arial"/>
          <w:color w:val="555555"/>
          <w:sz w:val="28"/>
          <w:szCs w:val="28"/>
        </w:rPr>
        <w:t xml:space="preserve">Overview</w:t>
      </w:r>
    </w:p>
    <w:p>
      <w:pPr>
        <w:spacing w:after="240" w:before="0"/>
      </w:pPr>
      <w:r>
        <w:rPr>
          <w:rFonts w:ascii="Arial" w:cs="Arial" w:eastAsia="Arial" w:hAnsi="Arial"/>
          <w:i/>
          <w:iCs/>
          <w:color w:val="777777"/>
          <w:sz w:val="22"/>
          <w:szCs w:val="22"/>
        </w:rPr>
        <w:t xml:space="preserve">Prepared for Blaze Credit Union · EVP of Lending follow-up</w:t>
      </w:r>
    </w:p>
    <w:p>
      <w:pPr>
        <w:pBdr>
          <w:bottom w:val="single" w:color="2E75B6" w:sz="6" w:space="1"/>
        </w:pBdr>
        <w:spacing w:after="60" w:before="60"/>
      </w:pPr>
      <w:r>
        <w:rPr>
          <w:rFonts w:ascii="Arial" w:cs="Arial" w:eastAsia="Arial" w:hAnsi="Arial"/>
          <w:sz w:val="2"/>
          <w:szCs w:val="2"/>
        </w:rPr>
        <w:t xml:space="preserve"/>
      </w:r>
    </w:p>
    <w:p>
      <w:pPr>
        <w:pStyle w:val="Heading1"/>
        <w:spacing w:after="160" w:before="320"/>
      </w:pPr>
      <w:r>
        <w:rPr>
          <w:rFonts w:ascii="Arial" w:cs="Arial" w:eastAsia="Arial" w:hAnsi="Arial"/>
          <w:b/>
          <w:bCs/>
          <w:color w:val="0F3B4C"/>
          <w:sz w:val="32"/>
          <w:szCs w:val="32"/>
        </w:rPr>
        <w:t xml:space="preserve">Purpose</w:t>
      </w:r>
    </w:p>
    <w:p>
      <w:pPr>
        <w:spacing w:after="80" w:before="80"/>
        <w:jc w:val="left"/>
      </w:pPr>
      <w:r>
        <w:rPr>
          <w:rFonts w:ascii="Arial" w:cs="Arial" w:eastAsia="Arial" w:hAnsi="Arial"/>
          <w:b w:val="false"/>
          <w:bCs w:val="false"/>
          <w:i w:val="false"/>
          <w:iCs w:val="false"/>
          <w:color w:val="1A1A1A"/>
          <w:sz w:val="22"/>
          <w:szCs w:val="22"/>
        </w:rPr>
        <w:t xml:space="preserve">This is a brief orientation document. Its job is to help a reader understand what the Blaze Member Signals system is, why it exists, and where to look for further detail. It is intentionally short. The substantive design work lives in three companion documents: the Semantic Discipline document (the rules), the Data Framework document (the structure), and the Module and Data Flow document (the experience).</w:t>
      </w:r>
    </w:p>
    <w:p>
      <w:pPr>
        <w:spacing w:after="80" w:before="80"/>
        <w:jc w:val="left"/>
      </w:pPr>
      <w:r>
        <w:rPr>
          <w:rFonts w:ascii="Arial" w:cs="Arial" w:eastAsia="Arial" w:hAnsi="Arial"/>
          <w:b w:val="false"/>
          <w:bCs w:val="false"/>
          <w:i w:val="false"/>
          <w:iCs w:val="false"/>
          <w:color w:val="1A1A1A"/>
          <w:sz w:val="22"/>
          <w:szCs w:val="22"/>
        </w:rPr>
        <w:t xml:space="preserve">If you read only this document, you will know what the system is, what it offers, what scope is in for v1, and which companion document to consult next. If you read all four, you will have the complete design specification needed for engineering execution and stakeholder alignment.</w:t>
      </w:r>
    </w:p>
    <w:p>
      <w:pPr>
        <w:pStyle w:val="Heading1"/>
        <w:spacing w:after="160" w:before="320"/>
      </w:pPr>
      <w:r>
        <w:rPr>
          <w:rFonts w:ascii="Arial" w:cs="Arial" w:eastAsia="Arial" w:hAnsi="Arial"/>
          <w:b/>
          <w:bCs/>
          <w:color w:val="0F3B4C"/>
          <w:sz w:val="32"/>
          <w:szCs w:val="32"/>
        </w:rPr>
        <w:t xml:space="preserve">What the system is</w:t>
      </w:r>
    </w:p>
    <w:p>
      <w:pPr>
        <w:spacing w:after="80" w:before="80"/>
        <w:jc w:val="left"/>
      </w:pPr>
      <w:r>
        <w:rPr>
          <w:rFonts w:ascii="Arial" w:cs="Arial" w:eastAsia="Arial" w:hAnsi="Arial"/>
          <w:b w:val="false"/>
          <w:bCs w:val="false"/>
          <w:i w:val="false"/>
          <w:iCs w:val="false"/>
          <w:color w:val="1A1A1A"/>
          <w:sz w:val="22"/>
          <w:szCs w:val="22"/>
        </w:rPr>
        <w:t xml:space="preserve">Blaze Member Signals is a lightweight enablement layer that sits on top of HubSpot. It captures structured information from banker conversations with members, routes follow-up work across specialists automatically, and surfaces patterns across the member base that help bankers have more consultative conversations.</w:t>
      </w:r>
    </w:p>
    <w:p>
      <w:pPr>
        <w:spacing w:after="80" w:before="80"/>
        <w:jc w:val="left"/>
      </w:pPr>
      <w:r>
        <w:rPr>
          <w:rFonts w:ascii="Arial" w:cs="Arial" w:eastAsia="Arial" w:hAnsi="Arial"/>
          <w:b w:val="false"/>
          <w:bCs w:val="false"/>
          <w:i w:val="false"/>
          <w:iCs w:val="false"/>
          <w:color w:val="1A1A1A"/>
          <w:sz w:val="22"/>
          <w:szCs w:val="22"/>
        </w:rPr>
        <w:t xml:space="preserve">It is not a replacement for HubSpot, the loan origination system, or banker judgment. It is the connective tissue between member conversations and the lending products Blaze offers, designed to make the wisdom of senior relationship managers reproducible by every banker on the floor — including new tellers in their first month.</w:t>
      </w:r>
    </w:p>
    <w:p>
      <w:pPr>
        <w:spacing w:after="80" w:before="80"/>
        <w:jc w:val="left"/>
      </w:pPr>
      <w:r>
        <w:rPr>
          <w:rFonts w:ascii="Arial" w:cs="Arial" w:eastAsia="Arial" w:hAnsi="Arial"/>
          <w:b w:val="false"/>
          <w:bCs w:val="false"/>
          <w:i w:val="false"/>
          <w:iCs w:val="false"/>
          <w:color w:val="1A1A1A"/>
          <w:sz w:val="22"/>
          <w:szCs w:val="22"/>
        </w:rPr>
        <w:t xml:space="preserve">The system has three banker-facing surfaces: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Meeting recap</w:t>
      </w:r>
      <w:r>
        <w:rPr>
          <w:rFonts w:ascii="Arial" w:cs="Arial" w:eastAsia="Arial" w:hAnsi="Arial"/>
          <w:b w:val="false"/>
          <w:bCs w:val="false"/>
          <w:i w:val="false"/>
          <w:iCs w:val="false"/>
          <w:color w:val="1A1A1A"/>
          <w:sz w:val="22"/>
          <w:szCs w:val="22"/>
        </w:rPr>
        <w:t xml:space="preserve"> — under-60-second structured capture after every member conversation, with automatic routing of follow-up tasks to the right specialists.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Member profile</w:t>
      </w:r>
      <w:r>
        <w:rPr>
          <w:rFonts w:ascii="Arial" w:cs="Arial" w:eastAsia="Arial" w:hAnsi="Arial"/>
          <w:b w:val="false"/>
          <w:bCs w:val="false"/>
          <w:i w:val="false"/>
          <w:iCs w:val="false"/>
          <w:color w:val="1A1A1A"/>
          <w:sz w:val="22"/>
          <w:szCs w:val="22"/>
        </w:rPr>
        <w:t xml:space="preserve"> — a single page showing the synthesized state of one member, including active signals, open tasks, recent conversations, and suggested next steps.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Insight Engine</w:t>
      </w:r>
      <w:r>
        <w:rPr>
          <w:rFonts w:ascii="Arial" w:cs="Arial" w:eastAsia="Arial" w:hAnsi="Arial"/>
          <w:b w:val="false"/>
          <w:bCs w:val="false"/>
          <w:i w:val="false"/>
          <w:iCs w:val="false"/>
          <w:color w:val="1A1A1A"/>
          <w:sz w:val="22"/>
          <w:szCs w:val="22"/>
        </w:rPr>
        <w:t xml:space="preserve"> — cross-member pattern surface for browsing the playbook, finding similar members, reviewing performance trends, and identifying coverage gaps.</w:t>
      </w:r>
    </w:p>
    <w:p>
      <w:pPr>
        <w:pStyle w:val="Heading1"/>
        <w:spacing w:after="160" w:before="320"/>
      </w:pPr>
      <w:r>
        <w:rPr>
          <w:rFonts w:ascii="Arial" w:cs="Arial" w:eastAsia="Arial" w:hAnsi="Arial"/>
          <w:b/>
          <w:bCs/>
          <w:color w:val="0F3B4C"/>
          <w:sz w:val="32"/>
          <w:szCs w:val="32"/>
        </w:rPr>
        <w:t xml:space="preserve">Why it exists</w:t>
      </w:r>
    </w:p>
    <w:p>
      <w:pPr>
        <w:spacing w:after="80" w:before="80"/>
        <w:jc w:val="left"/>
      </w:pPr>
      <w:r>
        <w:rPr>
          <w:rFonts w:ascii="Arial" w:cs="Arial" w:eastAsia="Arial" w:hAnsi="Arial"/>
          <w:b w:val="false"/>
          <w:bCs w:val="false"/>
          <w:i w:val="false"/>
          <w:iCs w:val="false"/>
          <w:color w:val="1A1A1A"/>
          <w:sz w:val="22"/>
          <w:szCs w:val="22"/>
        </w:rPr>
        <w:t xml:space="preserve">Bankers have valuable conversations with members every day. Today, those conversations don't reliably convert into coordinated lending action, accumulating institutional knowledge, or pattern recognition across the book. The Member Signals system addresses this gap with three specific moves.</w:t>
      </w:r>
    </w:p>
    <w:p>
      <w:pPr>
        <w:spacing w:after="80" w:before="80"/>
        <w:jc w:val="left"/>
      </w:pPr>
      <w:r>
        <w:rPr>
          <w:rFonts w:ascii="Arial" w:cs="Arial" w:eastAsia="Arial" w:hAnsi="Arial"/>
          <w:b w:val="false"/>
          <w:bCs w:val="false"/>
          <w:i w:val="false"/>
          <w:iCs w:val="false"/>
          <w:color w:val="1A1A1A"/>
          <w:sz w:val="22"/>
          <w:szCs w:val="22"/>
        </w:rPr>
        <w:t xml:space="preserve">First, it makes structured information capture fast enough that bankers will actually do it — under 60 seconds per meeting. Without that constraint, capture rates degrade and downstream value collapses.</w:t>
      </w:r>
    </w:p>
    <w:p>
      <w:pPr>
        <w:spacing w:after="80" w:before="80"/>
        <w:jc w:val="left"/>
      </w:pPr>
      <w:r>
        <w:rPr>
          <w:rFonts w:ascii="Arial" w:cs="Arial" w:eastAsia="Arial" w:hAnsi="Arial"/>
          <w:b w:val="false"/>
          <w:bCs w:val="false"/>
          <w:i w:val="false"/>
          <w:iCs w:val="false"/>
          <w:color w:val="1A1A1A"/>
          <w:sz w:val="22"/>
          <w:szCs w:val="22"/>
        </w:rPr>
        <w:t xml:space="preserve">Second, it routes follow-up work automatically across specialists (CRE, SBA, treasury, cards, wealth) without losing the primary banker's relationship ownership. Today's handoffs depend on banker memory and informal notes; the system makes them tracked, time-bounded, and accountable.</w:t>
      </w:r>
    </w:p>
    <w:p>
      <w:pPr>
        <w:spacing w:after="80" w:before="80"/>
        <w:jc w:val="left"/>
      </w:pPr>
      <w:r>
        <w:rPr>
          <w:rFonts w:ascii="Arial" w:cs="Arial" w:eastAsia="Arial" w:hAnsi="Arial"/>
          <w:b w:val="false"/>
          <w:bCs w:val="false"/>
          <w:i w:val="false"/>
          <w:iCs w:val="false"/>
          <w:color w:val="1A1A1A"/>
          <w:sz w:val="22"/>
          <w:szCs w:val="22"/>
        </w:rPr>
        <w:t xml:space="preserve">Third, it captures and reuses senior relationship manager wisdom by encoding it in Growth tracks — short curated sequences of structured steps that any banker can follow. The wisdom flows through the work itself, not through training events.</w:t>
      </w:r>
    </w:p>
    <w:p>
      <w:pPr>
        <w:pStyle w:val="Heading1"/>
        <w:spacing w:after="160" w:before="320"/>
      </w:pPr>
      <w:r>
        <w:rPr>
          <w:rFonts w:ascii="Arial" w:cs="Arial" w:eastAsia="Arial" w:hAnsi="Arial"/>
          <w:b/>
          <w:bCs/>
          <w:color w:val="0F3B4C"/>
          <w:sz w:val="32"/>
          <w:szCs w:val="32"/>
        </w:rPr>
        <w:t xml:space="preserve">Scope for v1</w:t>
      </w:r>
    </w:p>
    <w:p>
      <w:pPr>
        <w:spacing w:after="80" w:before="80"/>
        <w:jc w:val="left"/>
      </w:pPr>
      <w:r>
        <w:rPr>
          <w:rFonts w:ascii="Arial" w:cs="Arial" w:eastAsia="Arial" w:hAnsi="Arial"/>
          <w:b w:val="false"/>
          <w:bCs w:val="false"/>
          <w:i w:val="false"/>
          <w:iCs w:val="false"/>
          <w:color w:val="1A1A1A"/>
          <w:sz w:val="22"/>
          <w:szCs w:val="22"/>
        </w:rPr>
        <w:t xml:space="preserve">V1 is deliberately thin. We have explicitly cut several capabilities that could distract from the core value proposition or add risk before we have proven adoption. Cut from v1: an off-meeting contribution feed, household relationship graphs, forward-horizon intent fields, the four-verb move taxonomy as a banker-facing concept, schema-on-read for everything, event sourcing as primary storage.</w:t>
      </w:r>
    </w:p>
    <w:p>
      <w:pPr>
        <w:spacing w:after="80" w:before="80"/>
        <w:jc w:val="left"/>
      </w:pPr>
      <w:r>
        <w:rPr>
          <w:rFonts w:ascii="Arial" w:cs="Arial" w:eastAsia="Arial" w:hAnsi="Arial"/>
          <w:b w:val="false"/>
          <w:bCs w:val="false"/>
          <w:i w:val="false"/>
          <w:iCs w:val="false"/>
          <w:color w:val="1A1A1A"/>
          <w:sz w:val="22"/>
          <w:szCs w:val="22"/>
        </w:rPr>
        <w:t xml:space="preserve">What is in scope: seven core data objects, three banker-facing modules, four to six fully-fleshed Member Type fixtures with Growth tracks, the AI-native ontology discipline, and a clean integration path with HubSpot when Blaze commits to a tier that supports UI Extensions and Custom Objects.</w:t>
      </w:r>
    </w:p>
    <w:p>
      <w:pPr>
        <w:pStyle w:val="Heading1"/>
        <w:spacing w:after="160" w:before="320"/>
      </w:pPr>
      <w:r>
        <w:rPr>
          <w:rFonts w:ascii="Arial" w:cs="Arial" w:eastAsia="Arial" w:hAnsi="Arial"/>
          <w:b/>
          <w:bCs/>
          <w:color w:val="0F3B4C"/>
          <w:sz w:val="32"/>
          <w:szCs w:val="32"/>
        </w:rPr>
        <w:t xml:space="preserve">The four documents in this set</w:t>
      </w:r>
    </w:p>
    <w:p>
      <w:pPr>
        <w:pStyle w:val="Heading3"/>
        <w:spacing w:after="80" w:before="180"/>
      </w:pPr>
      <w:r>
        <w:rPr>
          <w:rFonts w:ascii="Arial" w:cs="Arial" w:eastAsia="Arial" w:hAnsi="Arial"/>
          <w:b/>
          <w:bCs/>
          <w:color w:val="333333"/>
          <w:sz w:val="22"/>
          <w:szCs w:val="22"/>
        </w:rPr>
        <w:t xml:space="preserve">This document — Overview</w:t>
      </w:r>
    </w:p>
    <w:p>
      <w:pPr>
        <w:spacing w:after="80" w:before="80"/>
        <w:jc w:val="left"/>
      </w:pPr>
      <w:r>
        <w:rPr>
          <w:rFonts w:ascii="Arial" w:cs="Arial" w:eastAsia="Arial" w:hAnsi="Arial"/>
          <w:b w:val="false"/>
          <w:bCs w:val="false"/>
          <w:i w:val="false"/>
          <w:iCs w:val="false"/>
          <w:color w:val="1A1A1A"/>
          <w:sz w:val="22"/>
          <w:szCs w:val="22"/>
        </w:rPr>
        <w:t xml:space="preserve">Brief orientation. Read this first if you are new to the project. Read it again if you need to remember which companion document covers which topic.</w:t>
      </w:r>
    </w:p>
    <w:p>
      <w:pPr>
        <w:pStyle w:val="Heading3"/>
        <w:spacing w:after="80" w:before="180"/>
      </w:pPr>
      <w:r>
        <w:rPr>
          <w:rFonts w:ascii="Arial" w:cs="Arial" w:eastAsia="Arial" w:hAnsi="Arial"/>
          <w:b/>
          <w:bCs/>
          <w:color w:val="333333"/>
          <w:sz w:val="22"/>
          <w:szCs w:val="22"/>
        </w:rPr>
        <w:t xml:space="preserve">Semantic Discipline</w:t>
      </w:r>
    </w:p>
    <w:p>
      <w:pPr>
        <w:spacing w:after="80" w:before="80"/>
        <w:jc w:val="left"/>
      </w:pPr>
      <w:r>
        <w:rPr>
          <w:rFonts w:ascii="Arial" w:cs="Arial" w:eastAsia="Arial" w:hAnsi="Arial"/>
          <w:b w:val="false"/>
          <w:bCs w:val="false"/>
          <w:i w:val="false"/>
          <w:iCs w:val="false"/>
          <w:color w:val="1A1A1A"/>
          <w:sz w:val="22"/>
          <w:szCs w:val="22"/>
        </w:rPr>
        <w:t xml:space="preserve">The rules. Establishes the AI-native ontology principles that every other artifact follows: required descriptions on reference entities, named relationships, human-readable enum values, and a faithful summary capability. Short and prescriptive. Read this before authoring or reviewing any system content.</w:t>
      </w:r>
    </w:p>
    <w:p>
      <w:pPr>
        <w:pStyle w:val="Heading3"/>
        <w:spacing w:after="80" w:before="180"/>
      </w:pPr>
      <w:r>
        <w:rPr>
          <w:rFonts w:ascii="Arial" w:cs="Arial" w:eastAsia="Arial" w:hAnsi="Arial"/>
          <w:b/>
          <w:bCs/>
          <w:color w:val="333333"/>
          <w:sz w:val="22"/>
          <w:szCs w:val="22"/>
        </w:rPr>
        <w:t xml:space="preserve">Data Framework</w:t>
      </w:r>
    </w:p>
    <w:p>
      <w:pPr>
        <w:spacing w:after="80" w:before="80"/>
        <w:jc w:val="left"/>
      </w:pPr>
      <w:r>
        <w:rPr>
          <w:rFonts w:ascii="Arial" w:cs="Arial" w:eastAsia="Arial" w:hAnsi="Arial"/>
          <w:b w:val="false"/>
          <w:bCs w:val="false"/>
          <w:i w:val="false"/>
          <w:iCs w:val="false"/>
          <w:color w:val="1A1A1A"/>
          <w:sz w:val="22"/>
          <w:szCs w:val="22"/>
        </w:rPr>
        <w:t xml:space="preserve">The structure. Technical specification of all eight objects, the six Growth step shapes, every field with its type and required-ness, the relationships between objects with their semantic names, and the reference data that frames everything. This is the document Claude Code reads to generate types, schemas, and database structure. Most precise of the four; longest by word count.</w:t>
      </w:r>
    </w:p>
    <w:p>
      <w:pPr>
        <w:pStyle w:val="Heading3"/>
        <w:spacing w:after="80" w:before="180"/>
      </w:pPr>
      <w:r>
        <w:rPr>
          <w:rFonts w:ascii="Arial" w:cs="Arial" w:eastAsia="Arial" w:hAnsi="Arial"/>
          <w:b/>
          <w:bCs/>
          <w:color w:val="333333"/>
          <w:sz w:val="22"/>
          <w:szCs w:val="22"/>
        </w:rPr>
        <w:t xml:space="preserve">Module and Data Flow</w:t>
      </w:r>
    </w:p>
    <w:p>
      <w:pPr>
        <w:spacing w:after="80" w:before="80"/>
        <w:jc w:val="left"/>
      </w:pPr>
      <w:r>
        <w:rPr>
          <w:rFonts w:ascii="Arial" w:cs="Arial" w:eastAsia="Arial" w:hAnsi="Arial"/>
          <w:b w:val="false"/>
          <w:bCs w:val="false"/>
          <w:i w:val="false"/>
          <w:iCs w:val="false"/>
          <w:color w:val="1A1A1A"/>
          <w:sz w:val="22"/>
          <w:szCs w:val="22"/>
        </w:rPr>
        <w:t xml:space="preserve">The experience. Shows how the data framework manifests in the three banker-facing modules: what fields appear where, how data flows between modules, the clustering of objects, and the business logic that distinguishes system automation from banker judgment. Includes the worked example walking through a complete member interaction. This is what designers and stakeholders read most.</w:t>
      </w:r>
    </w:p>
    <w:p>
      <w:pPr>
        <w:pStyle w:val="Heading1"/>
        <w:spacing w:after="160" w:before="320"/>
      </w:pPr>
      <w:r>
        <w:rPr>
          <w:rFonts w:ascii="Arial" w:cs="Arial" w:eastAsia="Arial" w:hAnsi="Arial"/>
          <w:b/>
          <w:bCs/>
          <w:color w:val="0F3B4C"/>
          <w:sz w:val="32"/>
          <w:szCs w:val="32"/>
        </w:rPr>
        <w:t xml:space="preserve">How to use these documents</w:t>
      </w:r>
    </w:p>
    <w:p>
      <w:pPr>
        <w:pStyle w:val="Heading3"/>
        <w:spacing w:after="80" w:before="180"/>
      </w:pPr>
      <w:r>
        <w:rPr>
          <w:rFonts w:ascii="Arial" w:cs="Arial" w:eastAsia="Arial" w:hAnsi="Arial"/>
          <w:b/>
          <w:bCs/>
          <w:color w:val="333333"/>
          <w:sz w:val="22"/>
          <w:szCs w:val="22"/>
        </w:rPr>
        <w:t xml:space="preserve">If you are an engineer building this with Claude Code</w:t>
      </w:r>
    </w:p>
    <w:p>
      <w:pPr>
        <w:spacing w:after="80" w:before="80"/>
        <w:jc w:val="left"/>
      </w:pPr>
      <w:r>
        <w:rPr>
          <w:rFonts w:ascii="Arial" w:cs="Arial" w:eastAsia="Arial" w:hAnsi="Arial"/>
          <w:b w:val="false"/>
          <w:bCs w:val="false"/>
          <w:i w:val="false"/>
          <w:iCs w:val="false"/>
          <w:color w:val="1A1A1A"/>
          <w:sz w:val="22"/>
          <w:szCs w:val="22"/>
        </w:rPr>
        <w:t xml:space="preserve">Start with this Overview. Read Semantic Discipline next — it sets the rules everything else assumes. Then read the Data Framework end to end. Reference the Module and Data Flow document when you need to understand how a data shape becomes a user surface.</w:t>
      </w:r>
    </w:p>
    <w:p>
      <w:pPr>
        <w:pStyle w:val="Heading3"/>
        <w:spacing w:after="80" w:before="180"/>
      </w:pPr>
      <w:r>
        <w:rPr>
          <w:rFonts w:ascii="Arial" w:cs="Arial" w:eastAsia="Arial" w:hAnsi="Arial"/>
          <w:b/>
          <w:bCs/>
          <w:color w:val="333333"/>
          <w:sz w:val="22"/>
          <w:szCs w:val="22"/>
        </w:rPr>
        <w:t xml:space="preserve">If you are designing the user experience</w:t>
      </w:r>
    </w:p>
    <w:p>
      <w:pPr>
        <w:spacing w:after="80" w:before="80"/>
        <w:jc w:val="left"/>
      </w:pPr>
      <w:r>
        <w:rPr>
          <w:rFonts w:ascii="Arial" w:cs="Arial" w:eastAsia="Arial" w:hAnsi="Arial"/>
          <w:b w:val="false"/>
          <w:bCs w:val="false"/>
          <w:i w:val="false"/>
          <w:iCs w:val="false"/>
          <w:color w:val="1A1A1A"/>
          <w:sz w:val="22"/>
          <w:szCs w:val="22"/>
        </w:rPr>
        <w:t xml:space="preserve">Read this Overview, then Module and Data Flow. Reference the Data Framework when you need to know what data is available to surface; reference Semantic Discipline when writing copy or naming UI elements.</w:t>
      </w:r>
    </w:p>
    <w:p>
      <w:pPr>
        <w:pStyle w:val="Heading3"/>
        <w:spacing w:after="80" w:before="180"/>
      </w:pPr>
      <w:r>
        <w:rPr>
          <w:rFonts w:ascii="Arial" w:cs="Arial" w:eastAsia="Arial" w:hAnsi="Arial"/>
          <w:b/>
          <w:bCs/>
          <w:color w:val="333333"/>
          <w:sz w:val="22"/>
          <w:szCs w:val="22"/>
        </w:rPr>
        <w:t xml:space="preserve">If you are reviewing this for executive sign-off</w:t>
      </w:r>
    </w:p>
    <w:p>
      <w:pPr>
        <w:spacing w:after="80" w:before="80"/>
        <w:jc w:val="left"/>
      </w:pPr>
      <w:r>
        <w:rPr>
          <w:rFonts w:ascii="Arial" w:cs="Arial" w:eastAsia="Arial" w:hAnsi="Arial"/>
          <w:b w:val="false"/>
          <w:bCs w:val="false"/>
          <w:i w:val="false"/>
          <w:iCs w:val="false"/>
          <w:color w:val="1A1A1A"/>
          <w:sz w:val="22"/>
          <w:szCs w:val="22"/>
        </w:rPr>
        <w:t xml:space="preserve">This Overview gives you the full strategic story. The worked example in Module and Data Flow gives you a tangible illustration. Semantic Discipline is worth a quick read for the compliance and audit angle. The Data Framework is reference material — skim section headers; no need to read in full unless your role is technical.</w:t>
      </w:r>
    </w:p>
    <w:p>
      <w:pPr>
        <w:pStyle w:val="Heading3"/>
        <w:spacing w:after="80" w:before="180"/>
      </w:pPr>
      <w:r>
        <w:rPr>
          <w:rFonts w:ascii="Arial" w:cs="Arial" w:eastAsia="Arial" w:hAnsi="Arial"/>
          <w:b/>
          <w:bCs/>
          <w:color w:val="333333"/>
          <w:sz w:val="22"/>
          <w:szCs w:val="22"/>
        </w:rPr>
        <w:t xml:space="preserve">If you are the Growth lead authoring system content</w:t>
      </w:r>
    </w:p>
    <w:p>
      <w:pPr>
        <w:spacing w:after="80" w:before="80"/>
        <w:jc w:val="left"/>
      </w:pPr>
      <w:r>
        <w:rPr>
          <w:rFonts w:ascii="Arial" w:cs="Arial" w:eastAsia="Arial" w:hAnsi="Arial"/>
          <w:b w:val="false"/>
          <w:bCs w:val="false"/>
          <w:i w:val="false"/>
          <w:iCs w:val="false"/>
          <w:color w:val="1A1A1A"/>
          <w:sz w:val="22"/>
          <w:szCs w:val="22"/>
        </w:rPr>
        <w:t xml:space="preserve">Semantic Discipline first — it defines the quality bar for descriptions, naming, and reviewable artifacts. The Member Type and Growth track sections of the Data Framework are your authoring reference. Module and Data Flow shows how your work manifests for bankers and the EVP.</w:t>
      </w:r>
    </w:p>
    <w:p>
      <w:pPr>
        <w:pStyle w:val="Heading1"/>
        <w:spacing w:after="160" w:before="320"/>
      </w:pPr>
      <w:r>
        <w:rPr>
          <w:rFonts w:ascii="Arial" w:cs="Arial" w:eastAsia="Arial" w:hAnsi="Arial"/>
          <w:b/>
          <w:bCs/>
          <w:color w:val="0F3B4C"/>
          <w:sz w:val="32"/>
          <w:szCs w:val="32"/>
        </w:rPr>
        <w:t xml:space="preserve">Status and what comes next</w:t>
      </w:r>
    </w:p>
    <w:p>
      <w:pPr>
        <w:spacing w:after="80" w:before="80"/>
        <w:jc w:val="left"/>
      </w:pPr>
      <w:r>
        <w:rPr>
          <w:rFonts w:ascii="Arial" w:cs="Arial" w:eastAsia="Arial" w:hAnsi="Arial"/>
          <w:b w:val="false"/>
          <w:bCs w:val="false"/>
          <w:i w:val="false"/>
          <w:iCs w:val="false"/>
          <w:color w:val="1A1A1A"/>
          <w:sz w:val="22"/>
          <w:szCs w:val="22"/>
        </w:rPr>
        <w:t xml:space="preserve">These four documents represent the design baseline as of the EVP follow-up. The next concrete artifact is a fully-built fixture for the Jenny's Catering example — a real Member with real Conversations, Signals, ActionCards, and a Growth track running end to end — which will become the seed data for the Claude Code demo of the three modules.</w:t>
      </w:r>
    </w:p>
    <w:p>
      <w:pPr>
        <w:spacing w:after="80" w:before="80"/>
        <w:jc w:val="left"/>
      </w:pPr>
      <w:r>
        <w:rPr>
          <w:rFonts w:ascii="Arial" w:cs="Arial" w:eastAsia="Arial" w:hAnsi="Arial"/>
          <w:b w:val="false"/>
          <w:bCs w:val="false"/>
          <w:i w:val="false"/>
          <w:iCs w:val="false"/>
          <w:color w:val="1A1A1A"/>
          <w:sz w:val="22"/>
          <w:szCs w:val="22"/>
        </w:rPr>
        <w:t xml:space="preserve">Several questions remain open and are flagged in the companion documents: HubSpot tier commitment, Growth lead role staffing model, incentive alignment for senior RM contribution, core system integration path, and the four-Member-Type buildout selection for v1. None of these block the data framework or the demo build, but each affects deployment timing and operating model.</w:t>
      </w:r>
    </w:p>
    <w:p>
      <w:pPr>
        <w:pStyle w:val="Heading1"/>
        <w:spacing w:after="160" w:before="320"/>
      </w:pPr>
      <w:r>
        <w:rPr>
          <w:rFonts w:ascii="Arial" w:cs="Arial" w:eastAsia="Arial" w:hAnsi="Arial"/>
          <w:b/>
          <w:bCs/>
          <w:color w:val="0F3B4C"/>
          <w:sz w:val="32"/>
          <w:szCs w:val="32"/>
        </w:rPr>
        <w:t xml:space="preserve">A note on naming</w:t>
      </w:r>
    </w:p>
    <w:p>
      <w:pPr>
        <w:spacing w:after="80" w:before="80"/>
        <w:jc w:val="left"/>
      </w:pPr>
      <w:r>
        <w:rPr>
          <w:rFonts w:ascii="Arial" w:cs="Arial" w:eastAsia="Arial" w:hAnsi="Arial"/>
          <w:b w:val="false"/>
          <w:bCs w:val="false"/>
          <w:i w:val="false"/>
          <w:iCs w:val="false"/>
          <w:color w:val="1A1A1A"/>
          <w:sz w:val="22"/>
          <w:szCs w:val="22"/>
        </w:rPr>
        <w:t xml:space="preserve">The vocabulary in this design has been deliberately pulled toward credit-union-natural language and away from software or consulting registers. Member Type rather than PersonaCell. Growth track rather than Track. Growth step rather than Move or Play. Growth lead rather than playbook editor. Meeting recap rather than Onboarding &amp; Routing. Member profile rather than Member Dashboard. The intent is for a banker reading any banker-facing surface to recognize the words as what they would naturally say themselves about their work.</w:t>
      </w:r>
    </w:p>
    <w:p>
      <w:pPr>
        <w:spacing w:after="80" w:before="80"/>
        <w:jc w:val="left"/>
      </w:pPr>
      <w:r>
        <w:rPr>
          <w:rFonts w:ascii="Arial" w:cs="Arial" w:eastAsia="Arial" w:hAnsi="Arial"/>
          <w:b w:val="false"/>
          <w:bCs w:val="false"/>
          <w:i w:val="false"/>
          <w:iCs w:val="false"/>
          <w:color w:val="1A1A1A"/>
          <w:sz w:val="22"/>
          <w:szCs w:val="22"/>
        </w:rPr>
        <w:t xml:space="preserve">A small set of words — Signal, ActionCard, Artifact, Insight Engine — are kept in their more technical form because they are also internal design vocabulary or because the alternatives we considered created collisions or lost meaning. The design discipline is honest about which words live where: schema field names can be technical, banker-facing labels must be plain, and internal team vocabulary can be either as long as it is not surfaced to bankers.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8"/>
        <w:szCs w:val="18"/>
      </w:rPr>
      <w:t xml:space="preserve">Blaze Member Signals ·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3B4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3B4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Blaze Member Signals · Overview</dc:title>
  <dc:creator>Blaze Member Signals design</dc:creator>
  <dc:description>Blaze Member Signals design documentation.</dc:description>
  <cp:lastModifiedBy>Un-named</cp:lastModifiedBy>
  <cp:revision>1</cp:revision>
  <dcterms:created xsi:type="dcterms:W3CDTF">2026-04-25T00:37:04.438Z</dcterms:created>
  <dcterms:modified xsi:type="dcterms:W3CDTF">2026-04-25T00:37:04.439Z</dcterms:modified>
</cp:coreProperties>
</file>

<file path=docProps/custom.xml><?xml version="1.0" encoding="utf-8"?>
<Properties xmlns="http://schemas.openxmlformats.org/officeDocument/2006/custom-properties" xmlns:vt="http://schemas.openxmlformats.org/officeDocument/2006/docPropsVTypes"/>
</file>