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3B4C"/>
          <w:sz w:val="44"/>
          <w:szCs w:val="44"/>
        </w:rPr>
        <w:t xml:space="preserve">Semantic Discipline</w:t>
      </w:r>
    </w:p>
    <w:p>
      <w:pPr>
        <w:spacing w:after="120" w:before="0"/>
      </w:pPr>
      <w:r>
        <w:rPr>
          <w:rFonts w:ascii="Arial" w:cs="Arial" w:eastAsia="Arial" w:hAnsi="Arial"/>
          <w:color w:val="555555"/>
          <w:sz w:val="28"/>
          <w:szCs w:val="28"/>
        </w:rPr>
        <w:t xml:space="preserve">AI-native ontology rules for Blaze Member Signals</w:t>
      </w:r>
    </w:p>
    <w:p>
      <w:pPr>
        <w:spacing w:after="240" w:before="0"/>
      </w:pPr>
      <w:r>
        <w:rPr>
          <w:rFonts w:ascii="Arial" w:cs="Arial" w:eastAsia="Arial" w:hAnsi="Arial"/>
          <w:i/>
          <w:iCs/>
          <w:color w:val="777777"/>
          <w:sz w:val="22"/>
          <w:szCs w:val="22"/>
        </w:rPr>
        <w:t xml:space="preserve">Document 2 of 4 in the design set</w:t>
      </w:r>
    </w:p>
    <w:p>
      <w:pPr>
        <w:pBdr>
          <w:bottom w:val="single" w:color="2E75B6" w:sz="6" w:space="1"/>
        </w:pBdr>
        <w:spacing w:after="60" w:before="60"/>
      </w:pPr>
      <w:r>
        <w:rPr>
          <w:rFonts w:ascii="Arial" w:cs="Arial" w:eastAsia="Arial" w:hAnsi="Arial"/>
          <w:sz w:val="2"/>
          <w:szCs w:val="2"/>
        </w:rPr>
        <w:t xml:space="preserve"/>
      </w:r>
    </w:p>
    <w:p>
      <w:pPr>
        <w:pStyle w:val="Heading1"/>
        <w:spacing w:after="160" w:before="320"/>
      </w:pPr>
      <w:r>
        <w:rPr>
          <w:rFonts w:ascii="Arial" w:cs="Arial" w:eastAsia="Arial" w:hAnsi="Arial"/>
          <w:b/>
          <w:bCs/>
          <w:color w:val="0F3B4C"/>
          <w:sz w:val="32"/>
          <w:szCs w:val="32"/>
        </w:rPr>
        <w:t xml:space="preserve">1. Purpose</w:t>
      </w:r>
    </w:p>
    <w:p>
      <w:pPr>
        <w:spacing w:after="80" w:before="80"/>
        <w:jc w:val="left"/>
      </w:pPr>
      <w:r>
        <w:rPr>
          <w:rFonts w:ascii="Arial" w:cs="Arial" w:eastAsia="Arial" w:hAnsi="Arial"/>
          <w:b w:val="false"/>
          <w:bCs w:val="false"/>
          <w:i w:val="false"/>
          <w:iCs w:val="false"/>
          <w:color w:val="1A1A1A"/>
          <w:sz w:val="22"/>
          <w:szCs w:val="22"/>
        </w:rPr>
        <w:t xml:space="preserve">This document establishes the rules that every other artifact in the Blaze Member Signals system follows. The rules are deliberately small in number, precise in formulation, and protective of two things at once: clarity for human readers and machine-readability for the AI capabilities Blaze will want to add over time.</w:t>
      </w:r>
    </w:p>
    <w:p>
      <w:pPr>
        <w:spacing w:after="80" w:before="80"/>
        <w:jc w:val="left"/>
      </w:pPr>
      <w:r>
        <w:rPr>
          <w:rFonts w:ascii="Arial" w:cs="Arial" w:eastAsia="Arial" w:hAnsi="Arial"/>
          <w:b w:val="false"/>
          <w:bCs w:val="false"/>
          <w:i w:val="false"/>
          <w:iCs w:val="false"/>
          <w:color w:val="1A1A1A"/>
          <w:sz w:val="22"/>
          <w:szCs w:val="22"/>
        </w:rPr>
        <w:t xml:space="preserve">These rules are non-negotiable for canonical content. Draft content can be incomplete; canonical content cannot. The Growth lead enforces these rules at the promotion gate — drafts that do not meet them get sent back, not waved through.</w:t>
      </w:r>
    </w:p>
    <w:p>
      <w:pPr>
        <w:pStyle w:val="Heading1"/>
        <w:spacing w:after="160" w:before="320"/>
      </w:pPr>
      <w:r>
        <w:rPr>
          <w:rFonts w:ascii="Arial" w:cs="Arial" w:eastAsia="Arial" w:hAnsi="Arial"/>
          <w:b/>
          <w:bCs/>
          <w:color w:val="0F3B4C"/>
          <w:sz w:val="32"/>
          <w:szCs w:val="32"/>
        </w:rPr>
        <w:t xml:space="preserve">2. Why we are doing this</w:t>
      </w:r>
    </w:p>
    <w:p>
      <w:pPr>
        <w:spacing w:after="80" w:before="80"/>
        <w:jc w:val="left"/>
      </w:pPr>
      <w:r>
        <w:rPr>
          <w:rFonts w:ascii="Arial" w:cs="Arial" w:eastAsia="Arial" w:hAnsi="Arial"/>
          <w:b w:val="false"/>
          <w:bCs w:val="false"/>
          <w:i w:val="false"/>
          <w:iCs w:val="false"/>
          <w:color w:val="1A1A1A"/>
          <w:sz w:val="22"/>
          <w:szCs w:val="22"/>
        </w:rPr>
        <w:t xml:space="preserve">Three reasons, in order of immediate value.</w:t>
      </w:r>
    </w:p>
    <w:p>
      <w:pPr>
        <w:pStyle w:val="Heading3"/>
        <w:spacing w:after="80" w:before="180"/>
      </w:pPr>
      <w:r>
        <w:rPr>
          <w:rFonts w:ascii="Arial" w:cs="Arial" w:eastAsia="Arial" w:hAnsi="Arial"/>
          <w:b/>
          <w:bCs/>
          <w:color w:val="333333"/>
          <w:sz w:val="22"/>
          <w:szCs w:val="22"/>
        </w:rPr>
        <w:t xml:space="preserve">Audit defensibility by construction</w:t>
      </w:r>
    </w:p>
    <w:p>
      <w:pPr>
        <w:spacing w:after="80" w:before="80"/>
        <w:jc w:val="left"/>
      </w:pPr>
      <w:r>
        <w:rPr>
          <w:rFonts w:ascii="Arial" w:cs="Arial" w:eastAsia="Arial" w:hAnsi="Arial"/>
          <w:b w:val="false"/>
          <w:bCs w:val="false"/>
          <w:i w:val="false"/>
          <w:iCs w:val="false"/>
          <w:color w:val="1A1A1A"/>
          <w:sz w:val="22"/>
          <w:szCs w:val="22"/>
        </w:rPr>
        <w:t xml:space="preserve">When a regulator, internal auditor, or curious member asks why a specific recommendation was made to a specific person, the answer should be readable in plain English without requiring an engineer to translate codes. Every link in the provenance chain — Signal, Rule, Growth step, Growth track, ActionCard, outcome — carries a human-readable description. The trail is examiner-ready as a side effect of how the system is built, not as a separate compliance feature bolted on later.</w:t>
      </w:r>
    </w:p>
    <w:p>
      <w:pPr>
        <w:pStyle w:val="Heading3"/>
        <w:spacing w:after="80" w:before="180"/>
      </w:pPr>
      <w:r>
        <w:rPr>
          <w:rFonts w:ascii="Arial" w:cs="Arial" w:eastAsia="Arial" w:hAnsi="Arial"/>
          <w:b/>
          <w:bCs/>
          <w:color w:val="333333"/>
          <w:sz w:val="22"/>
          <w:szCs w:val="22"/>
        </w:rPr>
        <w:t xml:space="preserve">System content is its own training material</w:t>
      </w:r>
    </w:p>
    <w:p>
      <w:pPr>
        <w:spacing w:after="80" w:before="80"/>
        <w:jc w:val="left"/>
      </w:pPr>
      <w:r>
        <w:rPr>
          <w:rFonts w:ascii="Arial" w:cs="Arial" w:eastAsia="Arial" w:hAnsi="Arial"/>
          <w:b w:val="false"/>
          <w:bCs w:val="false"/>
          <w:i w:val="false"/>
          <w:iCs w:val="false"/>
          <w:color w:val="1A1A1A"/>
          <w:sz w:val="22"/>
          <w:szCs w:val="22"/>
        </w:rPr>
        <w:t xml:space="preserve">When every Growth step has a clear purpose statement, every Member Type has a description of who it covers, and every Artifact has a plain-English explanation of what it shows and why — the Growth track library doubles as onboarding material. Junior bankers and lateral hires can learn how Blaze does consultative lending by reading the system itself. The cost of separate training documentation drops materially.</w:t>
      </w:r>
    </w:p>
    <w:p>
      <w:pPr>
        <w:pStyle w:val="Heading3"/>
        <w:spacing w:after="80" w:before="180"/>
      </w:pPr>
      <w:r>
        <w:rPr>
          <w:rFonts w:ascii="Arial" w:cs="Arial" w:eastAsia="Arial" w:hAnsi="Arial"/>
          <w:b/>
          <w:bCs/>
          <w:color w:val="333333"/>
          <w:sz w:val="22"/>
          <w:szCs w:val="22"/>
        </w:rPr>
        <w:t xml:space="preserve">Future LLM capability without rebuild</w:t>
      </w:r>
    </w:p>
    <w:p>
      <w:pPr>
        <w:spacing w:after="80" w:before="80"/>
        <w:jc w:val="left"/>
      </w:pPr>
      <w:r>
        <w:rPr>
          <w:rFonts w:ascii="Arial" w:cs="Arial" w:eastAsia="Arial" w:hAnsi="Arial"/>
          <w:b w:val="false"/>
          <w:bCs w:val="false"/>
          <w:i w:val="false"/>
          <w:iCs w:val="false"/>
          <w:color w:val="1A1A1A"/>
          <w:sz w:val="22"/>
          <w:szCs w:val="22"/>
        </w:rPr>
        <w:t xml:space="preserve">The likely next capability after this v1 ships is some form of natural-language interface — an executive asking the system a question in English, a banker getting a member-summary briefing before a meeting, a Growth lead asking which Tracks need attention. Building those capabilities later requires the underlying data to already be richly described. If we capture only structured codes now, we have to retroactively annotate everything before any LLM layer can be useful. If we capture descriptions from day one, the LLM layer becomes a small additional investment rather than a major rebuild.</w:t>
      </w:r>
    </w:p>
    <w:p>
      <w:pPr>
        <w:pStyle w:val="Heading1"/>
        <w:spacing w:after="160" w:before="320"/>
      </w:pPr>
      <w:r>
        <w:rPr>
          <w:rFonts w:ascii="Arial" w:cs="Arial" w:eastAsia="Arial" w:hAnsi="Arial"/>
          <w:b/>
          <w:bCs/>
          <w:color w:val="0F3B4C"/>
          <w:sz w:val="32"/>
          <w:szCs w:val="32"/>
        </w:rPr>
        <w:t xml:space="preserve">3. The four principles</w:t>
      </w:r>
    </w:p>
    <w:p>
      <w:pPr>
        <w:pStyle w:val="Heading2"/>
        <w:spacing w:after="120" w:before="240"/>
      </w:pPr>
      <w:r>
        <w:rPr>
          <w:rFonts w:ascii="Arial" w:cs="Arial" w:eastAsia="Arial" w:hAnsi="Arial"/>
          <w:b/>
          <w:bCs/>
          <w:color w:val="0F3B4C"/>
          <w:sz w:val="26"/>
          <w:szCs w:val="26"/>
        </w:rPr>
        <w:t xml:space="preserve">3.1 Principle one — required descriptions on reference entities</w:t>
      </w:r>
    </w:p>
    <w:p>
      <w:pPr>
        <w:spacing w:after="80" w:before="80"/>
        <w:jc w:val="left"/>
      </w:pPr>
      <w:r>
        <w:rPr>
          <w:rFonts w:ascii="Arial" w:cs="Arial" w:eastAsia="Arial" w:hAnsi="Arial"/>
          <w:b w:val="false"/>
          <w:bCs w:val="false"/>
          <w:i w:val="false"/>
          <w:iCs w:val="false"/>
          <w:color w:val="1A1A1A"/>
          <w:sz w:val="22"/>
          <w:szCs w:val="22"/>
        </w:rPr>
        <w:t xml:space="preserve">Every entity that aggregates, recommends, or audits carries a `description` field as a required column. The description must be one to two sentences, written so that someone outside the lending team would understand it without further context. Drafting a description is the first quality gate; an entity without a description cannot be promoted to canonical.</w:t>
      </w:r>
    </w:p>
    <w:p>
      <w:pPr>
        <w:spacing w:after="80" w:before="80"/>
        <w:jc w:val="left"/>
      </w:pPr>
      <w:r>
        <w:rPr>
          <w:rFonts w:ascii="Arial" w:cs="Arial" w:eastAsia="Arial" w:hAnsi="Arial"/>
          <w:b w:val="false"/>
          <w:bCs w:val="false"/>
          <w:i w:val="false"/>
          <w:iCs w:val="false"/>
          <w:color w:val="1A1A1A"/>
          <w:sz w:val="22"/>
          <w:szCs w:val="22"/>
        </w:rPr>
        <w:t xml:space="preserve">This requirement applies to:</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Member Type</w:t>
      </w:r>
      <w:r>
        <w:rPr>
          <w:rFonts w:ascii="Arial" w:cs="Arial" w:eastAsia="Arial" w:hAnsi="Arial"/>
          <w:b w:val="false"/>
          <w:bCs w:val="false"/>
          <w:i w:val="false"/>
          <w:iCs w:val="false"/>
          <w:color w:val="1A1A1A"/>
          <w:sz w:val="22"/>
          <w:szCs w:val="22"/>
        </w:rPr>
        <w:t xml:space="preserve"> — describes who is in this type and what their cash flow shape and capital bottlenecks are.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Topic taxonomy entries</w:t>
      </w:r>
      <w:r>
        <w:rPr>
          <w:rFonts w:ascii="Arial" w:cs="Arial" w:eastAsia="Arial" w:hAnsi="Arial"/>
          <w:b w:val="false"/>
          <w:bCs w:val="false"/>
          <w:i w:val="false"/>
          <w:iCs w:val="false"/>
          <w:color w:val="1A1A1A"/>
          <w:sz w:val="22"/>
          <w:szCs w:val="22"/>
        </w:rPr>
        <w:t xml:space="preserve"> — every canonical tag for goal, blocker, trigger, and indecision types.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Growth step</w:t>
      </w:r>
      <w:r>
        <w:rPr>
          <w:rFonts w:ascii="Arial" w:cs="Arial" w:eastAsia="Arial" w:hAnsi="Arial"/>
          <w:b w:val="false"/>
          <w:bCs w:val="false"/>
          <w:i w:val="false"/>
          <w:iCs w:val="false"/>
          <w:color w:val="1A1A1A"/>
          <w:sz w:val="22"/>
          <w:szCs w:val="22"/>
        </w:rPr>
        <w:t xml:space="preserve"> — what the step accomplishes and when in a Growth track it is typically used.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Growth track</w:t>
      </w:r>
      <w:r>
        <w:rPr>
          <w:rFonts w:ascii="Arial" w:cs="Arial" w:eastAsia="Arial" w:hAnsi="Arial"/>
          <w:b w:val="false"/>
          <w:bCs w:val="false"/>
          <w:i w:val="false"/>
          <w:iCs w:val="false"/>
          <w:color w:val="1A1A1A"/>
          <w:sz w:val="22"/>
          <w:szCs w:val="22"/>
        </w:rPr>
        <w:t xml:space="preserve"> — what the track is for and what kind of member it serves.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Artifact</w:t>
      </w:r>
      <w:r>
        <w:rPr>
          <w:rFonts w:ascii="Arial" w:cs="Arial" w:eastAsia="Arial" w:hAnsi="Arial"/>
          <w:b w:val="false"/>
          <w:bCs w:val="false"/>
          <w:i w:val="false"/>
          <w:iCs w:val="false"/>
          <w:color w:val="1A1A1A"/>
          <w:sz w:val="22"/>
          <w:szCs w:val="22"/>
        </w:rPr>
        <w:t xml:space="preserve"> — what the artifact shows, the reframe it supports, and why it is designed the way it is.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Rule</w:t>
      </w:r>
      <w:r>
        <w:rPr>
          <w:rFonts w:ascii="Arial" w:cs="Arial" w:eastAsia="Arial" w:hAnsi="Arial"/>
          <w:b w:val="false"/>
          <w:bCs w:val="false"/>
          <w:i w:val="false"/>
          <w:iCs w:val="false"/>
          <w:color w:val="1A1A1A"/>
          <w:sz w:val="22"/>
          <w:szCs w:val="22"/>
        </w:rPr>
        <w:t xml:space="preserve"> — when this rule fires and what it surfaces, in plain language.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Product entry</w:t>
      </w:r>
      <w:r>
        <w:rPr>
          <w:rFonts w:ascii="Arial" w:cs="Arial" w:eastAsia="Arial" w:hAnsi="Arial"/>
          <w:b w:val="false"/>
          <w:bCs w:val="false"/>
          <w:i w:val="false"/>
          <w:iCs w:val="false"/>
          <w:color w:val="1A1A1A"/>
          <w:sz w:val="22"/>
          <w:szCs w:val="22"/>
        </w:rPr>
        <w:t xml:space="preserve"> — plain-language description of the product's purpose and typical use case, separate from its specifications.</w:t>
      </w:r>
    </w:p>
    <w:p>
      <w:pPr>
        <w:pStyle w:val="Heading3"/>
        <w:spacing w:after="80" w:before="180"/>
      </w:pPr>
      <w:r>
        <w:rPr>
          <w:rFonts w:ascii="Arial" w:cs="Arial" w:eastAsia="Arial" w:hAnsi="Arial"/>
          <w:b/>
          <w:bCs/>
          <w:color w:val="333333"/>
          <w:sz w:val="22"/>
          <w:szCs w:val="22"/>
        </w:rPr>
        <w:t xml:space="preserve">Description quality bar</w:t>
      </w:r>
    </w:p>
    <w:p>
      <w:pPr>
        <w:spacing w:after="80" w:before="80"/>
        <w:jc w:val="left"/>
      </w:pPr>
      <w:r>
        <w:rPr>
          <w:rFonts w:ascii="Arial" w:cs="Arial" w:eastAsia="Arial" w:hAnsi="Arial"/>
          <w:b w:val="false"/>
          <w:bCs w:val="false"/>
          <w:i w:val="false"/>
          <w:iCs w:val="false"/>
          <w:color w:val="1A1A1A"/>
          <w:sz w:val="22"/>
          <w:szCs w:val="22"/>
        </w:rPr>
        <w:t xml:space="preserve">Descriptions are not marketing copy and not internal jargon. They are operational definitions written for a reader who is generally informed but not steeped in this specific system. The test: a banker hired last week should be able to read a description and understand what the entity is for and when it applies.</w:t>
      </w:r>
    </w:p>
    <w:p>
      <w:pPr>
        <w:pStyle w:val="Heading3"/>
        <w:spacing w:after="80" w:before="180"/>
      </w:pPr>
      <w:r>
        <w:rPr>
          <w:rFonts w:ascii="Arial" w:cs="Arial" w:eastAsia="Arial" w:hAnsi="Arial"/>
          <w:b/>
          <w:bCs/>
          <w:color w:val="333333"/>
          <w:sz w:val="22"/>
          <w:szCs w:val="22"/>
        </w:rPr>
        <w:t xml:space="preserve">Examples of acceptable and unacceptable descriptions</w:t>
      </w:r>
    </w:p>
    <w:p>
      <w:pPr>
        <w:spacing w:after="80" w:before="80"/>
        <w:jc w:val="left"/>
      </w:pPr>
      <w:r>
        <w:rPr>
          <w:rFonts w:ascii="Arial" w:cs="Arial" w:eastAsia="Arial" w:hAnsi="Arial"/>
          <w:b w:val="false"/>
          <w:bCs w:val="false"/>
          <w:i/>
          <w:iCs/>
          <w:color w:val="1A1A1A"/>
          <w:sz w:val="22"/>
          <w:szCs w:val="22"/>
        </w:rPr>
        <w:t xml:space="preserve">Member Type — Small Caterer · Starting:</w:t>
      </w:r>
    </w:p>
    <w:p>
      <w:pPr>
        <w:spacing w:after="80" w:before="80"/>
        <w:jc w:val="left"/>
      </w:pPr>
      <w:r>
        <w:rPr>
          <w:rFonts w:ascii="Arial" w:cs="Arial" w:eastAsia="Arial" w:hAnsi="Arial"/>
          <w:b w:val="false"/>
          <w:bCs w:val="false"/>
          <w:i w:val="false"/>
          <w:iCs w:val="false"/>
          <w:color w:val="1A1A1A"/>
          <w:sz w:val="22"/>
          <w:szCs w:val="22"/>
        </w:rPr>
        <w:t xml:space="preserve">Acceptable: "Small event-driven catering businesses in their first three years of operations, typically with one to ten employees and revenue under $1.5M. These members face lumpy event-based revenue, perishable inventory risk, surge labor needs, and chronic working capital strain during slow seasons. They are typically owner-operated with the principal personally guaranteeing most credit decisions."</w:t>
      </w:r>
    </w:p>
    <w:p>
      <w:pPr>
        <w:spacing w:after="80" w:before="80"/>
        <w:jc w:val="left"/>
      </w:pPr>
      <w:r>
        <w:rPr>
          <w:rFonts w:ascii="Arial" w:cs="Arial" w:eastAsia="Arial" w:hAnsi="Arial"/>
          <w:b w:val="false"/>
          <w:bCs w:val="false"/>
          <w:i w:val="false"/>
          <w:iCs w:val="false"/>
          <w:color w:val="1A1A1A"/>
          <w:sz w:val="22"/>
          <w:szCs w:val="22"/>
        </w:rPr>
        <w:t xml:space="preserve">Unacceptable: "Small caterer in early growth stage." (Too short, no operational substance.)</w:t>
      </w:r>
    </w:p>
    <w:p>
      <w:pPr>
        <w:spacing w:after="80" w:before="80"/>
        <w:jc w:val="left"/>
      </w:pPr>
      <w:r>
        <w:rPr>
          <w:rFonts w:ascii="Arial" w:cs="Arial" w:eastAsia="Arial" w:hAnsi="Arial"/>
          <w:b w:val="false"/>
          <w:bCs w:val="false"/>
          <w:i w:val="false"/>
          <w:iCs w:val="false"/>
          <w:color w:val="1A1A1A"/>
          <w:sz w:val="22"/>
          <w:szCs w:val="22"/>
        </w:rPr>
        <w:t xml:space="preserve">Unacceptable: "Local catering enterprises with eligible business profiles for working capital instruments and event-driven revenue cyclicality..." (Jargon obscures meaning.)</w:t>
      </w:r>
    </w:p>
    <w:p>
      <w:pPr>
        <w:spacing w:after="80" w:before="80"/>
        <w:jc w:val="left"/>
      </w:pPr>
      <w:r>
        <w:rPr>
          <w:rFonts w:ascii="Arial" w:cs="Arial" w:eastAsia="Arial" w:hAnsi="Arial"/>
          <w:b w:val="false"/>
          <w:bCs w:val="false"/>
          <w:i/>
          <w:iCs/>
          <w:color w:val="1A1A1A"/>
          <w:sz w:val="22"/>
          <w:szCs w:val="22"/>
        </w:rPr>
        <w:t xml:space="preserve">Topic — blocker.cash_flow_seasonal:</w:t>
      </w:r>
    </w:p>
    <w:p>
      <w:pPr>
        <w:spacing w:after="80" w:before="80"/>
        <w:jc w:val="left"/>
      </w:pPr>
      <w:r>
        <w:rPr>
          <w:rFonts w:ascii="Arial" w:cs="Arial" w:eastAsia="Arial" w:hAnsi="Arial"/>
          <w:b w:val="false"/>
          <w:bCs w:val="false"/>
          <w:i w:val="false"/>
          <w:iCs w:val="false"/>
          <w:color w:val="1A1A1A"/>
          <w:sz w:val="22"/>
          <w:szCs w:val="22"/>
        </w:rPr>
        <w:t xml:space="preserve">Acceptable: "Cash flow seasonal: revenue follows a predictable annual peak-and-trough pattern, with intervening periods where operating costs continue but income is significantly reduced. Distinct from cash flow receivables (timing-driven) and cash flow growth (expansion-driven)."</w:t>
      </w:r>
    </w:p>
    <w:p>
      <w:pPr>
        <w:spacing w:after="80" w:before="80"/>
        <w:jc w:val="left"/>
      </w:pPr>
      <w:r>
        <w:rPr>
          <w:rFonts w:ascii="Arial" w:cs="Arial" w:eastAsia="Arial" w:hAnsi="Arial"/>
          <w:b w:val="false"/>
          <w:bCs w:val="false"/>
          <w:i w:val="false"/>
          <w:iCs w:val="false"/>
          <w:color w:val="1A1A1A"/>
          <w:sz w:val="22"/>
          <w:szCs w:val="22"/>
        </w:rPr>
        <w:t xml:space="preserve">Unacceptable: "Seasonal cash flow issue." (Doesn't distinguish from related topics.)</w:t>
      </w:r>
    </w:p>
    <w:p>
      <w:pPr>
        <w:pStyle w:val="Heading2"/>
        <w:spacing w:after="120" w:before="240"/>
      </w:pPr>
      <w:r>
        <w:rPr>
          <w:rFonts w:ascii="Arial" w:cs="Arial" w:eastAsia="Arial" w:hAnsi="Arial"/>
          <w:b/>
          <w:bCs/>
          <w:color w:val="0F3B4C"/>
          <w:sz w:val="26"/>
          <w:szCs w:val="26"/>
        </w:rPr>
        <w:t xml:space="preserve">3.2 Principle two — named relationships</w:t>
      </w:r>
    </w:p>
    <w:p>
      <w:pPr>
        <w:spacing w:after="80" w:before="80"/>
        <w:jc w:val="left"/>
      </w:pPr>
      <w:r>
        <w:rPr>
          <w:rFonts w:ascii="Arial" w:cs="Arial" w:eastAsia="Arial" w:hAnsi="Arial"/>
          <w:b w:val="false"/>
          <w:bCs w:val="false"/>
          <w:i w:val="false"/>
          <w:iCs w:val="false"/>
          <w:color w:val="1A1A1A"/>
          <w:sz w:val="22"/>
          <w:szCs w:val="22"/>
        </w:rPr>
        <w:t xml:space="preserve">Every relationship between two entities carries a semantic name in the data model documentation, in addition to the foreign key column it uses in storage. Foreign keys are for joining; semantic names are for meaning.</w:t>
      </w:r>
    </w:p>
    <w:p>
      <w:pPr>
        <w:spacing w:after="80" w:before="80"/>
        <w:jc w:val="left"/>
      </w:pPr>
      <w:r>
        <w:rPr>
          <w:rFonts w:ascii="Arial" w:cs="Arial" w:eastAsia="Arial" w:hAnsi="Arial"/>
          <w:b w:val="false"/>
          <w:bCs w:val="false"/>
          <w:i w:val="false"/>
          <w:iCs w:val="false"/>
          <w:color w:val="1A1A1A"/>
          <w:sz w:val="22"/>
          <w:szCs w:val="22"/>
        </w:rPr>
        <w:t xml:space="preserve">The convention is to express the relationship as a verb phrase from the perspective of the source entity.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Source</w:t>
            </w:r>
          </w:p>
        </w:tc>
        <w:tc>
          <w:tcPr>
            <w:tcW w:type="dxa" w:w="3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Relationship name</w:t>
            </w:r>
          </w:p>
        </w:tc>
        <w:tc>
          <w:tcPr>
            <w:tcW w:type="dxa" w:w="3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Target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Conversation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held_with</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Conversation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led_by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Banker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Conversation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executed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 (ordered)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produced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Signal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surfaced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Recommendation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spawned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ActionCard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shows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Artifact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ActionCard</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assigned_to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Banker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ActionCard</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originated_from</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Conversation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track</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applies_to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 Type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track</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responds_to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Topic (blocker)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fits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 Type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holds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Product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Artifact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shared_with</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w:t>
            </w:r>
          </w:p>
        </w:tc>
      </w:tr>
    </w:tbl>
    <w:p>
      <w:pPr>
        <w:spacing w:after="80" w:before="80"/>
        <w:jc w:val="left"/>
      </w:pPr>
      <w:r>
        <w:rPr>
          <w:rFonts w:ascii="Arial" w:cs="Arial" w:eastAsia="Arial" w:hAnsi="Arial"/>
          <w:b w:val="false"/>
          <w:bCs w:val="false"/>
          <w:i w:val="false"/>
          <w:iCs w:val="false"/>
          <w:color w:val="1A1A1A"/>
          <w:sz w:val="22"/>
          <w:szCs w:val="22"/>
        </w:rPr>
        <w:t xml:space="preserve">These names appear in three places: the data framework documentation, the LLM-facing schema description (used when generating natural-language summaries), and any public API documentation. They do not appear as column names in the database; the storage layer uses standard foreign key conventions.</w:t>
      </w:r>
    </w:p>
    <w:p>
      <w:pPr>
        <w:pStyle w:val="Heading2"/>
        <w:spacing w:after="120" w:before="240"/>
      </w:pPr>
      <w:r>
        <w:rPr>
          <w:rFonts w:ascii="Arial" w:cs="Arial" w:eastAsia="Arial" w:hAnsi="Arial"/>
          <w:b/>
          <w:bCs/>
          <w:color w:val="0F3B4C"/>
          <w:sz w:val="26"/>
          <w:szCs w:val="26"/>
        </w:rPr>
        <w:t xml:space="preserve">3.3 Principle three — human-readable enum values</w:t>
      </w:r>
    </w:p>
    <w:p>
      <w:pPr>
        <w:spacing w:after="80" w:before="80"/>
        <w:jc w:val="left"/>
      </w:pPr>
      <w:r>
        <w:rPr>
          <w:rFonts w:ascii="Arial" w:cs="Arial" w:eastAsia="Arial" w:hAnsi="Arial"/>
          <w:b w:val="false"/>
          <w:bCs w:val="false"/>
          <w:i w:val="false"/>
          <w:iCs w:val="false"/>
          <w:color w:val="1A1A1A"/>
          <w:sz w:val="22"/>
          <w:szCs w:val="22"/>
        </w:rPr>
        <w:t xml:space="preserve">No integer-coded statuses, no opaque reason codes, no enums whose values require a lookup table to interpret. Every enumerated field uses words a human can read.</w:t>
      </w:r>
    </w:p>
    <w:p>
      <w:pPr>
        <w:spacing w:after="80" w:before="80"/>
        <w:jc w:val="left"/>
      </w:pPr>
      <w:r>
        <w:rPr>
          <w:rFonts w:ascii="Arial" w:cs="Arial" w:eastAsia="Arial" w:hAnsi="Arial"/>
          <w:b w:val="false"/>
          <w:bCs w:val="false"/>
          <w:i w:val="false"/>
          <w:iCs w:val="false"/>
          <w:color w:val="1A1A1A"/>
          <w:sz w:val="22"/>
          <w:szCs w:val="22"/>
        </w:rPr>
        <w:t xml:space="preserve">Examples of compliant enum values:</w:t>
      </w:r>
    </w:p>
    <w:p>
      <w:pPr>
        <w:spacing w:after="0" w:before="0"/>
        <w:ind w:left="360"/>
      </w:pPr>
      <w:r>
        <w:rPr>
          <w:rFonts w:ascii="Consolas" w:cs="Consolas" w:eastAsia="Consolas" w:hAnsi="Consolas"/>
          <w:color w:val="1A1A1A"/>
          <w:sz w:val="20"/>
          <w:szCs w:val="20"/>
        </w:rPr>
        <w:t xml:space="preserve">ActionCard.status: open | in_progress | completed | declined | deferred | superseded</w:t>
      </w:r>
    </w:p>
    <w:p>
      <w:pPr>
        <w:spacing w:after="0" w:before="0"/>
        <w:ind w:left="360"/>
      </w:pPr>
      <w:r>
        <w:rPr>
          <w:rFonts w:ascii="Consolas" w:cs="Consolas" w:eastAsia="Consolas" w:hAnsi="Consolas"/>
          <w:color w:val="1A1A1A"/>
          <w:sz w:val="20"/>
          <w:szCs w:val="20"/>
        </w:rPr>
        <w:t xml:space="preserve">Conversation.sentiment: receptive | cautious | uncertain | tense</w:t>
      </w:r>
    </w:p>
    <w:p>
      <w:pPr>
        <w:spacing w:after="0" w:before="0"/>
        <w:ind w:left="360"/>
      </w:pPr>
      <w:r>
        <w:rPr>
          <w:rFonts w:ascii="Consolas" w:cs="Consolas" w:eastAsia="Consolas" w:hAnsi="Consolas"/>
          <w:color w:val="1A1A1A"/>
          <w:sz w:val="20"/>
          <w:szCs w:val="20"/>
        </w:rPr>
        <w:t xml:space="preserve">Resolve.indecision_type: valuation | information | outcome_uncertainty | authority</w:t>
      </w:r>
    </w:p>
    <w:p>
      <w:pPr>
        <w:spacing w:after="0" w:before="0"/>
        <w:ind w:left="360"/>
      </w:pPr>
      <w:r>
        <w:rPr>
          <w:rFonts w:ascii="Consolas" w:cs="Consolas" w:eastAsia="Consolas" w:hAnsi="Consolas"/>
          <w:color w:val="1A1A1A"/>
          <w:sz w:val="20"/>
          <w:szCs w:val="20"/>
        </w:rPr>
        <w:t xml:space="preserve">Signal.severity: manageable | painful | threatening</w:t>
      </w:r>
    </w:p>
    <w:p>
      <w:pPr>
        <w:spacing w:after="0" w:before="0"/>
        <w:ind w:left="360"/>
      </w:pPr>
      <w:r>
        <w:rPr>
          <w:rFonts w:ascii="Consolas" w:cs="Consolas" w:eastAsia="Consolas" w:hAnsi="Consolas"/>
          <w:color w:val="1A1A1A"/>
          <w:sz w:val="20"/>
          <w:szCs w:val="20"/>
        </w:rPr>
        <w:t xml:space="preserve">Member Type.stage: starting | growing | established | transitional</w:t>
      </w:r>
    </w:p>
    <w:p>
      <w:pPr>
        <w:spacing w:after="80" w:before="80"/>
        <w:jc w:val="left"/>
      </w:pPr>
      <w:r>
        <w:rPr>
          <w:rFonts w:ascii="Arial" w:cs="Arial" w:eastAsia="Arial" w:hAnsi="Arial"/>
          <w:b w:val="false"/>
          <w:bCs w:val="false"/>
          <w:i w:val="false"/>
          <w:iCs w:val="false"/>
          <w:color w:val="1A1A1A"/>
          <w:sz w:val="22"/>
          <w:szCs w:val="22"/>
        </w:rPr>
        <w:t xml:space="preserve">Examples of non-compliant patterns to avoid:</w:t>
      </w:r>
    </w:p>
    <w:p>
      <w:pPr>
        <w:spacing w:after="0" w:before="0"/>
        <w:ind w:left="360"/>
      </w:pPr>
      <w:r>
        <w:rPr>
          <w:rFonts w:ascii="Consolas" w:cs="Consolas" w:eastAsia="Consolas" w:hAnsi="Consolas"/>
          <w:color w:val="1A1A1A"/>
          <w:sz w:val="20"/>
          <w:szCs w:val="20"/>
        </w:rPr>
        <w:t xml:space="preserve">ActionCard.status_code: 1 | 2 | 3 | 4 | 5</w:t>
      </w:r>
    </w:p>
    <w:p>
      <w:pPr>
        <w:spacing w:after="0" w:before="0"/>
        <w:ind w:left="360"/>
      </w:pPr>
      <w:r>
        <w:rPr>
          <w:rFonts w:ascii="Consolas" w:cs="Consolas" w:eastAsia="Consolas" w:hAnsi="Consolas"/>
          <w:color w:val="1A1A1A"/>
          <w:sz w:val="20"/>
          <w:szCs w:val="20"/>
        </w:rPr>
        <w:t xml:space="preserve">Conversation.sentiment_id: 0x01 | 0x02 | 0x03 | 0x04</w:t>
      </w:r>
    </w:p>
    <w:p>
      <w:pPr>
        <w:spacing w:after="0" w:before="0"/>
        <w:ind w:left="360"/>
      </w:pPr>
      <w:r>
        <w:rPr>
          <w:rFonts w:ascii="Consolas" w:cs="Consolas" w:eastAsia="Consolas" w:hAnsi="Consolas"/>
          <w:color w:val="1A1A1A"/>
          <w:sz w:val="20"/>
          <w:szCs w:val="20"/>
        </w:rPr>
        <w:t xml:space="preserve">Member.stage_band: A | B | C | D</w:t>
      </w:r>
    </w:p>
    <w:p>
      <w:pPr>
        <w:spacing w:after="80" w:before="80"/>
        <w:jc w:val="left"/>
      </w:pPr>
      <w:r>
        <w:rPr>
          <w:rFonts w:ascii="Arial" w:cs="Arial" w:eastAsia="Arial" w:hAnsi="Arial"/>
          <w:b w:val="false"/>
          <w:bCs w:val="false"/>
          <w:i w:val="false"/>
          <w:iCs w:val="false"/>
          <w:color w:val="1A1A1A"/>
          <w:sz w:val="22"/>
          <w:szCs w:val="22"/>
        </w:rPr>
        <w:t xml:space="preserve">When an enum value is captured, log the change with a human-readable reason where the underlying logic involves a meaningful state shift. "Member declined: reason = 'wants to discuss with spouse before deciding'" is more useful than "status: declined, reason_code: 17." The reason field is itself enumerated where possible (with values like spouse_discussion, cpa_review, timing, rate_concern, etc.) but follows the same readability rule.</w:t>
      </w:r>
    </w:p>
    <w:p>
      <w:pPr>
        <w:pStyle w:val="Heading2"/>
        <w:spacing w:after="120" w:before="240"/>
      </w:pPr>
      <w:r>
        <w:rPr>
          <w:rFonts w:ascii="Arial" w:cs="Arial" w:eastAsia="Arial" w:hAnsi="Arial"/>
          <w:b/>
          <w:bCs/>
          <w:color w:val="0F3B4C"/>
          <w:sz w:val="26"/>
          <w:szCs w:val="26"/>
        </w:rPr>
        <w:t xml:space="preserve">3.4 Principle four — faithful summary as a system primitive</w:t>
      </w:r>
    </w:p>
    <w:p>
      <w:pPr>
        <w:spacing w:after="80" w:before="80"/>
        <w:jc w:val="left"/>
      </w:pPr>
      <w:r>
        <w:rPr>
          <w:rFonts w:ascii="Arial" w:cs="Arial" w:eastAsia="Arial" w:hAnsi="Arial"/>
          <w:b w:val="false"/>
          <w:bCs w:val="false"/>
          <w:i w:val="false"/>
          <w:iCs w:val="false"/>
          <w:color w:val="1A1A1A"/>
          <w:sz w:val="22"/>
          <w:szCs w:val="22"/>
        </w:rPr>
        <w:t xml:space="preserve">Every entity that has interesting state must be summarizable in plain English. For v1 this is template-driven; the templates use the description fields and human-readable enums established in the prior three principles. Later, the same descriptions and enums become the substrate for LLM-generated summaries — but the v1 templates establish the format and prove the data is sufficient.</w:t>
      </w:r>
    </w:p>
    <w:p>
      <w:pPr>
        <w:pStyle w:val="Heading3"/>
        <w:spacing w:after="80" w:before="180"/>
      </w:pPr>
      <w:r>
        <w:rPr>
          <w:rFonts w:ascii="Arial" w:cs="Arial" w:eastAsia="Arial" w:hAnsi="Arial"/>
          <w:b/>
          <w:bCs/>
          <w:color w:val="333333"/>
          <w:sz w:val="22"/>
          <w:szCs w:val="22"/>
        </w:rPr>
        <w:t xml:space="preserve">Member summary template</w:t>
      </w:r>
    </w:p>
    <w:p>
      <w:pPr>
        <w:spacing w:after="80" w:before="80"/>
        <w:jc w:val="left"/>
      </w:pPr>
      <w:r>
        <w:rPr>
          <w:rFonts w:ascii="Arial" w:cs="Arial" w:eastAsia="Arial" w:hAnsi="Arial"/>
          <w:b w:val="false"/>
          <w:bCs w:val="false"/>
          <w:i w:val="false"/>
          <w:iCs w:val="false"/>
          <w:color w:val="1A1A1A"/>
          <w:sz w:val="22"/>
          <w:szCs w:val="22"/>
        </w:rPr>
        <w:t xml:space="preserve">Format: business identity + tenure + Member Type + active state + open work + last touch.</w:t>
      </w:r>
    </w:p>
    <w:p>
      <w:pPr>
        <w:spacing w:after="80" w:before="80"/>
        <w:jc w:val="left"/>
      </w:pPr>
      <w:r>
        <w:rPr>
          <w:rFonts w:ascii="Arial" w:cs="Arial" w:eastAsia="Arial" w:hAnsi="Arial"/>
          <w:b w:val="false"/>
          <w:bCs w:val="false"/>
          <w:i/>
          <w:iCs/>
          <w:color w:val="1A1A1A"/>
          <w:sz w:val="22"/>
          <w:szCs w:val="22"/>
        </w:rPr>
        <w:t xml:space="preserve">Example output: "Jenny's Catering, a small event-driven service business in its third year of operations. Member since 2023, primary banker is Sarah Chen. Currently holds Business Checking and a Business Visa. Active signals: seasonal cash flow stress (severity: painful, quantified at approximately $40K annually in declined opportunities), receivables timing stress (severity: manageable). Active proposal: $75K revolving line of credit, member responded 'leaning yes' with primary concern of needing to discuss with her spouse. Last conversation 12 days ago; one open ActionCard for de-risking follow-up due in 2 days."</w:t>
      </w:r>
    </w:p>
    <w:p>
      <w:pPr>
        <w:pStyle w:val="Heading3"/>
        <w:spacing w:after="80" w:before="180"/>
      </w:pPr>
      <w:r>
        <w:rPr>
          <w:rFonts w:ascii="Arial" w:cs="Arial" w:eastAsia="Arial" w:hAnsi="Arial"/>
          <w:b/>
          <w:bCs/>
          <w:color w:val="333333"/>
          <w:sz w:val="22"/>
          <w:szCs w:val="22"/>
        </w:rPr>
        <w:t xml:space="preserve">Growth track summary template</w:t>
      </w:r>
    </w:p>
    <w:p>
      <w:pPr>
        <w:spacing w:after="80" w:before="80"/>
        <w:jc w:val="left"/>
      </w:pPr>
      <w:r>
        <w:rPr>
          <w:rFonts w:ascii="Arial" w:cs="Arial" w:eastAsia="Arial" w:hAnsi="Arial"/>
          <w:b w:val="false"/>
          <w:bCs w:val="false"/>
          <w:i w:val="false"/>
          <w:iCs w:val="false"/>
          <w:color w:val="1A1A1A"/>
          <w:sz w:val="22"/>
          <w:szCs w:val="22"/>
        </w:rPr>
        <w:t xml:space="preserve">Format: name + purpose + applicability + run count + outcome distribution + notable observations.</w:t>
      </w:r>
    </w:p>
    <w:p>
      <w:pPr>
        <w:spacing w:after="80" w:before="80"/>
        <w:jc w:val="left"/>
      </w:pPr>
      <w:r>
        <w:rPr>
          <w:rFonts w:ascii="Arial" w:cs="Arial" w:eastAsia="Arial" w:hAnsi="Arial"/>
          <w:b w:val="false"/>
          <w:bCs w:val="false"/>
          <w:i/>
          <w:iCs/>
          <w:color w:val="1A1A1A"/>
          <w:sz w:val="22"/>
          <w:szCs w:val="22"/>
        </w:rPr>
        <w:t xml:space="preserve">Example output: "Smooth seasonal cash flow with LOC for small caterers. Used 47 times in the past quarter across the Small Caterer · Starting Member Type. Resulted in funded outcomes 23 times; 12 outcomes were 'leaning yes — needs discussion with partner/spouse'; 8 declined; 4 still open. Average days from first run to funded: 18. Indecision rate (12/47 = 26%) is meaningfully higher than the cell average of 18%, suggesting the proposal is landing well but the close needs strengthening."</w:t>
      </w:r>
    </w:p>
    <w:p>
      <w:pPr>
        <w:pStyle w:val="Heading3"/>
        <w:spacing w:after="80" w:before="180"/>
      </w:pPr>
      <w:r>
        <w:rPr>
          <w:rFonts w:ascii="Arial" w:cs="Arial" w:eastAsia="Arial" w:hAnsi="Arial"/>
          <w:b/>
          <w:bCs/>
          <w:color w:val="333333"/>
          <w:sz w:val="22"/>
          <w:szCs w:val="22"/>
        </w:rPr>
        <w:t xml:space="preserve">Implementation note for v1</w:t>
      </w:r>
    </w:p>
    <w:p>
      <w:pPr>
        <w:spacing w:after="80" w:before="80"/>
        <w:jc w:val="left"/>
      </w:pPr>
      <w:r>
        <w:rPr>
          <w:rFonts w:ascii="Arial" w:cs="Arial" w:eastAsia="Arial" w:hAnsi="Arial"/>
          <w:b w:val="false"/>
          <w:bCs w:val="false"/>
          <w:i w:val="false"/>
          <w:iCs w:val="false"/>
          <w:color w:val="1A1A1A"/>
          <w:sz w:val="22"/>
          <w:szCs w:val="22"/>
        </w:rPr>
        <w:t xml:space="preserve">Summaries are generated on demand, not stored. The template is a function over the entity's current state plus reference data lookups. This keeps the summaries fresh and avoids stale-summary bugs. When LLM-generated summaries replace templated ones, the function signature stays the same and the surface that called it does not change.</w:t>
      </w:r>
    </w:p>
    <w:p>
      <w:pPr>
        <w:pStyle w:val="Heading1"/>
        <w:spacing w:after="160" w:before="320"/>
      </w:pPr>
      <w:r>
        <w:rPr>
          <w:rFonts w:ascii="Arial" w:cs="Arial" w:eastAsia="Arial" w:hAnsi="Arial"/>
          <w:b/>
          <w:bCs/>
          <w:color w:val="0F3B4C"/>
          <w:sz w:val="32"/>
          <w:szCs w:val="32"/>
        </w:rPr>
        <w:t xml:space="preserve">4. Discipline at the promotion gate</w:t>
      </w:r>
    </w:p>
    <w:p>
      <w:pPr>
        <w:spacing w:after="80" w:before="80"/>
        <w:jc w:val="left"/>
      </w:pPr>
      <w:r>
        <w:rPr>
          <w:rFonts w:ascii="Arial" w:cs="Arial" w:eastAsia="Arial" w:hAnsi="Arial"/>
          <w:b w:val="false"/>
          <w:bCs w:val="false"/>
          <w:i w:val="false"/>
          <w:iCs w:val="false"/>
          <w:color w:val="1A1A1A"/>
          <w:sz w:val="22"/>
          <w:szCs w:val="22"/>
        </w:rPr>
        <w:t xml:space="preserve">The Growth lead's role at the promotion gate (where draft content becomes canonical) includes a description-quality check. This is not a rubber stamp. The four checks below are mandatory; failing any one blocks promotion.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Description present and substantive</w:t>
      </w:r>
      <w:r>
        <w:rPr>
          <w:rFonts w:ascii="Arial" w:cs="Arial" w:eastAsia="Arial" w:hAnsi="Arial"/>
          <w:b w:val="false"/>
          <w:bCs w:val="false"/>
          <w:i w:val="false"/>
          <w:iCs w:val="false"/>
          <w:color w:val="1A1A1A"/>
          <w:sz w:val="22"/>
          <w:szCs w:val="22"/>
        </w:rPr>
        <w:t xml:space="preserve"> — at least one full sentence, ideally two; written for an outside reader; specific enough to distinguish this entity from others in its category.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Relationships named</w:t>
      </w:r>
      <w:r>
        <w:rPr>
          <w:rFonts w:ascii="Arial" w:cs="Arial" w:eastAsia="Arial" w:hAnsi="Arial"/>
          <w:b w:val="false"/>
          <w:bCs w:val="false"/>
          <w:i w:val="false"/>
          <w:iCs w:val="false"/>
          <w:color w:val="1A1A1A"/>
          <w:sz w:val="22"/>
          <w:szCs w:val="22"/>
        </w:rPr>
        <w:t xml:space="preserve"> — every relationship this entity participates in has its semantic name documented, not just the foreign key.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Enum values readable</w:t>
      </w:r>
      <w:r>
        <w:rPr>
          <w:rFonts w:ascii="Arial" w:cs="Arial" w:eastAsia="Arial" w:hAnsi="Arial"/>
          <w:b w:val="false"/>
          <w:bCs w:val="false"/>
          <w:i w:val="false"/>
          <w:iCs w:val="false"/>
          <w:color w:val="1A1A1A"/>
          <w:sz w:val="22"/>
          <w:szCs w:val="22"/>
        </w:rPr>
        <w:t xml:space="preserve"> — no codes, no IDs, no opaque tokens in any banker-facing or auditor-facing field.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Summary template renders correctly</w:t>
      </w:r>
      <w:r>
        <w:rPr>
          <w:rFonts w:ascii="Arial" w:cs="Arial" w:eastAsia="Arial" w:hAnsi="Arial"/>
          <w:b w:val="false"/>
          <w:bCs w:val="false"/>
          <w:i w:val="false"/>
          <w:iCs w:val="false"/>
          <w:color w:val="1A1A1A"/>
          <w:sz w:val="22"/>
          <w:szCs w:val="22"/>
        </w:rPr>
        <w:t xml:space="preserve"> — the entity can be passed to its summary template and produce a coherent paragraph that accurately represents its current state.</w:t>
      </w:r>
    </w:p>
    <w:p>
      <w:pPr>
        <w:pStyle w:val="Heading1"/>
        <w:spacing w:after="160" w:before="320"/>
      </w:pPr>
      <w:r>
        <w:rPr>
          <w:rFonts w:ascii="Arial" w:cs="Arial" w:eastAsia="Arial" w:hAnsi="Arial"/>
          <w:b/>
          <w:bCs/>
          <w:color w:val="0F3B4C"/>
          <w:sz w:val="32"/>
          <w:szCs w:val="32"/>
        </w:rPr>
        <w:t xml:space="preserve">5. Discipline against drift</w:t>
      </w:r>
    </w:p>
    <w:p>
      <w:pPr>
        <w:spacing w:after="80" w:before="80"/>
        <w:jc w:val="left"/>
      </w:pPr>
      <w:r>
        <w:rPr>
          <w:rFonts w:ascii="Arial" w:cs="Arial" w:eastAsia="Arial" w:hAnsi="Arial"/>
          <w:b w:val="false"/>
          <w:bCs w:val="false"/>
          <w:i w:val="false"/>
          <w:iCs w:val="false"/>
          <w:color w:val="1A1A1A"/>
          <w:sz w:val="22"/>
          <w:szCs w:val="22"/>
        </w:rPr>
        <w:t xml:space="preserve">Descriptions written at creation time can become misleading as content evolves. The review_due cadence we set on Growth tracks, Growth steps, Artifacts, and Member Types includes an explicit description-accuracy check. The reviewer asks, "Does this description still accurately represent what this entity does and who it serves?" If no, the description is updated and the review_due date resets.</w:t>
      </w:r>
    </w:p>
    <w:p>
      <w:pPr>
        <w:spacing w:after="80" w:before="80"/>
        <w:jc w:val="left"/>
      </w:pPr>
      <w:r>
        <w:rPr>
          <w:rFonts w:ascii="Arial" w:cs="Arial" w:eastAsia="Arial" w:hAnsi="Arial"/>
          <w:b w:val="false"/>
          <w:bCs w:val="false"/>
          <w:i w:val="false"/>
          <w:iCs w:val="false"/>
          <w:color w:val="1A1A1A"/>
          <w:sz w:val="22"/>
          <w:szCs w:val="22"/>
        </w:rPr>
        <w:t xml:space="preserve">Drift is the single most common failure mode for ontology-driven systems. The defense is procedural, not technical. The Growth lead's quarterly review block is when drift gets caught and corrected; if that review slips, descriptions degrade silently. This is one reason the Growth lead role needs protected time, not just title.</w:t>
      </w:r>
    </w:p>
    <w:p>
      <w:pPr>
        <w:pStyle w:val="Heading1"/>
        <w:spacing w:after="160" w:before="320"/>
      </w:pPr>
      <w:r>
        <w:rPr>
          <w:rFonts w:ascii="Arial" w:cs="Arial" w:eastAsia="Arial" w:hAnsi="Arial"/>
          <w:b/>
          <w:bCs/>
          <w:color w:val="0F3B4C"/>
          <w:sz w:val="32"/>
          <w:szCs w:val="32"/>
        </w:rPr>
        <w:t xml:space="preserve">6. What the discipline does not do</w:t>
      </w:r>
    </w:p>
    <w:p>
      <w:pPr>
        <w:spacing w:after="80" w:before="80"/>
        <w:jc w:val="left"/>
      </w:pPr>
      <w:r>
        <w:rPr>
          <w:rFonts w:ascii="Arial" w:cs="Arial" w:eastAsia="Arial" w:hAnsi="Arial"/>
          <w:b w:val="false"/>
          <w:bCs w:val="false"/>
          <w:i w:val="false"/>
          <w:iCs w:val="false"/>
          <w:color w:val="1A1A1A"/>
          <w:sz w:val="22"/>
          <w:szCs w:val="22"/>
        </w:rPr>
        <w:t xml:space="preserve">Three honest limits worth naming.</w:t>
      </w:r>
    </w:p>
    <w:p>
      <w:pPr>
        <w:spacing w:after="80" w:before="80"/>
        <w:jc w:val="left"/>
      </w:pPr>
      <w:r>
        <w:rPr>
          <w:rFonts w:ascii="Arial" w:cs="Arial" w:eastAsia="Arial" w:hAnsi="Arial"/>
          <w:b w:val="false"/>
          <w:bCs w:val="false"/>
          <w:i w:val="false"/>
          <w:iCs w:val="false"/>
          <w:color w:val="1A1A1A"/>
          <w:sz w:val="22"/>
          <w:szCs w:val="22"/>
        </w:rPr>
        <w:t xml:space="preserve">First, descriptions do not replace structured fields. A canonical_tag (renamed Topic for banker UI) is still an enumerated reference; the description sits alongside, not instead. Logic runs on structured values. Descriptions inform humans and LLMs about what the structured values mean. If we ever find ourselves writing a rule that parses a description string for meaning, we have gone wrong.</w:t>
      </w:r>
    </w:p>
    <w:p>
      <w:pPr>
        <w:spacing w:after="80" w:before="80"/>
        <w:jc w:val="left"/>
      </w:pPr>
      <w:r>
        <w:rPr>
          <w:rFonts w:ascii="Arial" w:cs="Arial" w:eastAsia="Arial" w:hAnsi="Arial"/>
          <w:b w:val="false"/>
          <w:bCs w:val="false"/>
          <w:i w:val="false"/>
          <w:iCs w:val="false"/>
          <w:color w:val="1A1A1A"/>
          <w:sz w:val="22"/>
          <w:szCs w:val="22"/>
        </w:rPr>
        <w:t xml:space="preserve">Second, this discipline does not enable arbitrary natural-language queries today. It positions the system to support them later. V1 ships with templated summaries, not LLM-generated ones. The capability to ask "which Tracks should I retire?" in English is something we earn after the descriptions and enums have proven themselves through editorial use.</w:t>
      </w:r>
    </w:p>
    <w:p>
      <w:pPr>
        <w:spacing w:after="80" w:before="80"/>
        <w:jc w:val="left"/>
      </w:pPr>
      <w:r>
        <w:rPr>
          <w:rFonts w:ascii="Arial" w:cs="Arial" w:eastAsia="Arial" w:hAnsi="Arial"/>
          <w:b w:val="false"/>
          <w:bCs w:val="false"/>
          <w:i w:val="false"/>
          <w:iCs w:val="false"/>
          <w:color w:val="1A1A1A"/>
          <w:sz w:val="22"/>
          <w:szCs w:val="22"/>
        </w:rPr>
        <w:t xml:space="preserve">Third, this discipline costs Growth lead authoring time. Estimate: 20% overhead on net-new content authoring, somewhat less on routine reviews of existing content. This is real and should be budgeted. The benefits accrue across many uses — onboarding, audit, summary generation, future LLM capability — but the cost is paid up front by one role.</w:t>
      </w:r>
    </w:p>
    <w:p>
      <w:pPr>
        <w:pStyle w:val="Heading1"/>
        <w:spacing w:after="160" w:before="320"/>
      </w:pPr>
      <w:r>
        <w:rPr>
          <w:rFonts w:ascii="Arial" w:cs="Arial" w:eastAsia="Arial" w:hAnsi="Arial"/>
          <w:b/>
          <w:bCs/>
          <w:color w:val="0F3B4C"/>
          <w:sz w:val="32"/>
          <w:szCs w:val="32"/>
        </w:rPr>
        <w:t xml:space="preserve">7. Where this discipline lives in the documentation set</w:t>
      </w:r>
    </w:p>
    <w:p>
      <w:pPr>
        <w:spacing w:after="80" w:before="80"/>
        <w:jc w:val="left"/>
      </w:pPr>
      <w:r>
        <w:rPr>
          <w:rFonts w:ascii="Arial" w:cs="Arial" w:eastAsia="Arial" w:hAnsi="Arial"/>
          <w:b w:val="false"/>
          <w:bCs w:val="false"/>
          <w:i w:val="false"/>
          <w:iCs w:val="false"/>
          <w:color w:val="1A1A1A"/>
          <w:sz w:val="22"/>
          <w:szCs w:val="22"/>
        </w:rPr>
        <w:t xml:space="preserve">The principles in this document are referenced by every other document in the design set. The Data Framework document specifies which fields enforce description requirements at the type level. The Module and Data Flow document shows where descriptions surface in banker-facing UI (typically tooltips, hover details, and natural-language summary panels) and admin-facing UI (full description on every reference entity).</w:t>
      </w:r>
    </w:p>
    <w:p>
      <w:pPr>
        <w:spacing w:after="80" w:before="80"/>
        <w:jc w:val="left"/>
      </w:pPr>
      <w:r>
        <w:rPr>
          <w:rFonts w:ascii="Arial" w:cs="Arial" w:eastAsia="Arial" w:hAnsi="Arial"/>
          <w:b w:val="false"/>
          <w:bCs w:val="false"/>
          <w:i w:val="false"/>
          <w:iCs w:val="false"/>
          <w:color w:val="1A1A1A"/>
          <w:sz w:val="22"/>
          <w:szCs w:val="22"/>
        </w:rPr>
        <w:t xml:space="preserve">When a question arises during build about whether a particular field, relationship, or enum value should be readable, the answer is in this document. When the answer cannot be reconciled, the Growth lead has authority to interpret in favor of the more readable, more descriptive 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Blaze Member Signals · Semantic Discipline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B4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B4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 Member Signals · Semantic Discipline</dc:title>
  <dc:creator>Blaze Member Signals design</dc:creator>
  <dc:description>Blaze Member Signals design documentation.</dc:description>
  <cp:lastModifiedBy>Un-named</cp:lastModifiedBy>
  <cp:revision>1</cp:revision>
  <dcterms:created xsi:type="dcterms:W3CDTF">2026-04-25T00:38:45.396Z</dcterms:created>
  <dcterms:modified xsi:type="dcterms:W3CDTF">2026-04-25T00:38:45.397Z</dcterms:modified>
</cp:coreProperties>
</file>

<file path=docProps/custom.xml><?xml version="1.0" encoding="utf-8"?>
<Properties xmlns="http://schemas.openxmlformats.org/officeDocument/2006/custom-properties" xmlns:vt="http://schemas.openxmlformats.org/officeDocument/2006/docPropsVTypes"/>
</file>