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3B4C"/>
          <w:sz w:val="44"/>
          <w:szCs w:val="44"/>
        </w:rPr>
        <w:t xml:space="preserve">Module and Data Flow</w:t>
      </w:r>
    </w:p>
    <w:p>
      <w:pPr>
        <w:spacing w:after="120" w:before="0"/>
      </w:pPr>
      <w:r>
        <w:rPr>
          <w:rFonts w:ascii="Arial" w:cs="Arial" w:eastAsia="Arial" w:hAnsi="Arial"/>
          <w:color w:val="555555"/>
          <w:sz w:val="28"/>
          <w:szCs w:val="28"/>
        </w:rPr>
        <w:t xml:space="preserve">How the data framework manifests in banker experience</w:t>
      </w:r>
    </w:p>
    <w:p>
      <w:pPr>
        <w:spacing w:after="240" w:before="0"/>
      </w:pPr>
      <w:r>
        <w:rPr>
          <w:rFonts w:ascii="Arial" w:cs="Arial" w:eastAsia="Arial" w:hAnsi="Arial"/>
          <w:i/>
          <w:iCs/>
          <w:color w:val="777777"/>
          <w:sz w:val="22"/>
          <w:szCs w:val="22"/>
        </w:rPr>
        <w:t xml:space="preserve">Document 4 of 4 in the design set</w:t>
      </w:r>
    </w:p>
    <w:p>
      <w:pPr>
        <w:pBdr>
          <w:bottom w:val="single" w:color="2E75B6" w:sz="6" w:space="1"/>
        </w:pBdr>
        <w:spacing w:after="60" w:before="60"/>
      </w:pPr>
      <w:r>
        <w:rPr>
          <w:rFonts w:ascii="Arial" w:cs="Arial" w:eastAsia="Arial" w:hAnsi="Arial"/>
          <w:sz w:val="2"/>
          <w:szCs w:val="2"/>
        </w:rPr>
        <w:t xml:space="preserve"/>
      </w:r>
    </w:p>
    <w:p>
      <w:pPr>
        <w:pStyle w:val="Heading1"/>
        <w:spacing w:after="160" w:before="320"/>
      </w:pPr>
      <w:r>
        <w:rPr>
          <w:rFonts w:ascii="Arial" w:cs="Arial" w:eastAsia="Arial" w:hAnsi="Arial"/>
          <w:b/>
          <w:bCs/>
          <w:color w:val="0F3B4C"/>
          <w:sz w:val="32"/>
          <w:szCs w:val="32"/>
        </w:rPr>
        <w:t xml:space="preserve">1. Purpose</w:t>
      </w:r>
    </w:p>
    <w:p>
      <w:pPr>
        <w:spacing w:after="80" w:before="80"/>
        <w:jc w:val="left"/>
      </w:pPr>
      <w:r>
        <w:rPr>
          <w:rFonts w:ascii="Arial" w:cs="Arial" w:eastAsia="Arial" w:hAnsi="Arial"/>
          <w:b w:val="false"/>
          <w:bCs w:val="false"/>
          <w:i w:val="false"/>
          <w:iCs w:val="false"/>
          <w:color w:val="1A1A1A"/>
          <w:sz w:val="22"/>
          <w:szCs w:val="22"/>
        </w:rPr>
        <w:t xml:space="preserve">This document shows how the Data Framework manifests in the three banker-facing surfaces of the Blaze Member Signals system. It is the bridge between technical structure and lived experience. Where the Data Framework specifies what the data is, this document specifies how it appears, who uses it, when, and why.</w:t>
      </w:r>
    </w:p>
    <w:p>
      <w:pPr>
        <w:spacing w:after="80" w:before="80"/>
        <w:jc w:val="left"/>
      </w:pPr>
      <w:r>
        <w:rPr>
          <w:rFonts w:ascii="Arial" w:cs="Arial" w:eastAsia="Arial" w:hAnsi="Arial"/>
          <w:b w:val="false"/>
          <w:bCs w:val="false"/>
          <w:i w:val="false"/>
          <w:iCs w:val="false"/>
          <w:color w:val="1A1A1A"/>
          <w:sz w:val="22"/>
          <w:szCs w:val="22"/>
        </w:rPr>
        <w:t xml:space="preserve">Three audiences will read this document most carefully: designers building UI, the EVP and other stakeholders forming a mental model of the system, and the Growth lead understanding how their content authoring choices affect downstream banker experience.</w:t>
      </w:r>
    </w:p>
    <w:p>
      <w:pPr>
        <w:pStyle w:val="Heading1"/>
        <w:spacing w:after="160" w:before="320"/>
      </w:pPr>
      <w:r>
        <w:rPr>
          <w:rFonts w:ascii="Arial" w:cs="Arial" w:eastAsia="Arial" w:hAnsi="Arial"/>
          <w:b/>
          <w:bCs/>
          <w:color w:val="0F3B4C"/>
          <w:sz w:val="32"/>
          <w:szCs w:val="32"/>
        </w:rPr>
        <w:t xml:space="preserve">2. The three modules at a glance</w:t>
      </w:r>
    </w:p>
    <w:p>
      <w:pPr>
        <w:spacing w:after="80" w:before="80"/>
        <w:jc w:val="left"/>
      </w:pPr>
      <w:r>
        <w:rPr>
          <w:rFonts w:ascii="Arial" w:cs="Arial" w:eastAsia="Arial" w:hAnsi="Arial"/>
          <w:b w:val="false"/>
          <w:bCs w:val="false"/>
          <w:i w:val="false"/>
          <w:iCs w:val="false"/>
          <w:color w:val="1A1A1A"/>
          <w:sz w:val="22"/>
          <w:szCs w:val="22"/>
        </w:rPr>
        <w:t xml:space="preserve">Three modules. Each has a single dominant purpose. Other usage patterns are tolerated but not optimized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rPr>
          <w:tblHeader/>
        </w:trPr>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Module</w:t>
            </w:r>
          </w:p>
        </w:tc>
        <w:tc>
          <w:tcPr>
            <w:tcW w:type="dxa" w:w="3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Purpose</w:t>
            </w:r>
          </w:p>
        </w:tc>
        <w:tc>
          <w:tcPr>
            <w:tcW w:type="dxa" w:w="24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Who uses it</w:t>
            </w:r>
          </w:p>
        </w:tc>
        <w:tc>
          <w:tcPr>
            <w:tcW w:type="dxa" w:w="19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When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Meeting recap</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Structured capture in under 60 seconds after a member conversation, with automatic routing of follow-up tasks.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Any banker who has just had a conversation with a member.</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Immediately after the conversation.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Member profile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A synthesized single-page view of one member's current state, recent history, and recommended next steps.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The primary banker preparing for a meeting; any specialist picking up a handoff; managers reviewing a relationship.</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Before every member interaction; after every closed ActionCard.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Insight Engine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Cross-member pattern surface — find similar members, browse the Growth track library, see leaderboards of rising blockers and triggers, review track performance.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Bankers preparing for novel situations; the Growth lead curating; the EVP and lending leadership reviewing book-level trends.</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Pre-meeting prep; editorial cycles; monthly or quarterly reviews.</w:t>
            </w:r>
          </w:p>
        </w:tc>
      </w:tr>
    </w:tbl>
    <w:p>
      <w:pPr>
        <w:pStyle w:val="Heading1"/>
        <w:spacing w:after="160" w:before="320"/>
      </w:pPr>
      <w:r>
        <w:rPr>
          <w:rFonts w:ascii="Arial" w:cs="Arial" w:eastAsia="Arial" w:hAnsi="Arial"/>
          <w:b/>
          <w:bCs/>
          <w:color w:val="0F3B4C"/>
          <w:sz w:val="32"/>
          <w:szCs w:val="32"/>
        </w:rPr>
        <w:t xml:space="preserve">3. Meeting recap — module specification</w:t>
      </w:r>
    </w:p>
    <w:p>
      <w:pPr>
        <w:pStyle w:val="Heading2"/>
        <w:spacing w:after="120" w:before="240"/>
      </w:pPr>
      <w:r>
        <w:rPr>
          <w:rFonts w:ascii="Arial" w:cs="Arial" w:eastAsia="Arial" w:hAnsi="Arial"/>
          <w:b/>
          <w:bCs/>
          <w:color w:val="0F3B4C"/>
          <w:sz w:val="26"/>
          <w:szCs w:val="26"/>
        </w:rPr>
        <w:t xml:space="preserve">3.1 Purpose and design constraints</w:t>
      </w:r>
    </w:p>
    <w:p>
      <w:pPr>
        <w:spacing w:after="80" w:before="80"/>
        <w:jc w:val="left"/>
      </w:pPr>
      <w:r>
        <w:rPr>
          <w:rFonts w:ascii="Arial" w:cs="Arial" w:eastAsia="Arial" w:hAnsi="Arial"/>
          <w:b w:val="false"/>
          <w:bCs w:val="false"/>
          <w:i w:val="false"/>
          <w:iCs w:val="false"/>
          <w:color w:val="1A1A1A"/>
          <w:sz w:val="22"/>
          <w:szCs w:val="22"/>
        </w:rPr>
        <w:t xml:space="preserve">Meeting recap exists to capture structured information from a member conversation in less than 60 seconds. The 60-second constraint is non-negotiable. Every additional second of capture friction reduces adoption; below a threshold (likely 90 seconds), bankers begin progressively skipping captures, and the system's signal quality degrades.</w:t>
      </w:r>
    </w:p>
    <w:p>
      <w:pPr>
        <w:spacing w:after="80" w:before="80"/>
        <w:jc w:val="left"/>
      </w:pPr>
      <w:r>
        <w:rPr>
          <w:rFonts w:ascii="Arial" w:cs="Arial" w:eastAsia="Arial" w:hAnsi="Arial"/>
          <w:b w:val="false"/>
          <w:bCs w:val="false"/>
          <w:i w:val="false"/>
          <w:iCs w:val="false"/>
          <w:color w:val="1A1A1A"/>
          <w:sz w:val="22"/>
          <w:szCs w:val="22"/>
        </w:rPr>
        <w:t xml:space="preserve">The module supports two capture paths. The primary path is Growth track execution — the banker selects a suggested track, runs its three to four steps, and the captured fields fall out automatically. The fallback path is unstructured debrief — used for unplanned conversations, hallway mentions, or service interactions that don't fit any established pattern. Both paths produce the same Signal records downstream.</w:t>
      </w:r>
    </w:p>
    <w:p>
      <w:pPr>
        <w:pStyle w:val="Heading2"/>
        <w:spacing w:after="120" w:before="240"/>
      </w:pPr>
      <w:r>
        <w:rPr>
          <w:rFonts w:ascii="Arial" w:cs="Arial" w:eastAsia="Arial" w:hAnsi="Arial"/>
          <w:b/>
          <w:bCs/>
          <w:color w:val="0F3B4C"/>
          <w:sz w:val="26"/>
          <w:szCs w:val="26"/>
        </w:rPr>
        <w:t xml:space="preserve">3.2 Primary path — Growth track execution</w:t>
      </w:r>
    </w:p>
    <w:p>
      <w:pPr>
        <w:spacing w:after="80" w:before="80"/>
        <w:jc w:val="left"/>
      </w:pPr>
      <w:r>
        <w:rPr>
          <w:rFonts w:ascii="Arial" w:cs="Arial" w:eastAsia="Arial" w:hAnsi="Arial"/>
          <w:b w:val="false"/>
          <w:bCs w:val="false"/>
          <w:i w:val="false"/>
          <w:iCs w:val="false"/>
          <w:color w:val="1A1A1A"/>
          <w:sz w:val="22"/>
          <w:szCs w:val="22"/>
        </w:rPr>
        <w:t xml:space="preserve">When a banker opens Meeting recap for a planned conversation, the system suggests one or two Growth tracks based on the Member's current Signals, products held, and Member Type. The banker selects a track or skips suggestion entirely (defaulting to fallback).</w:t>
      </w:r>
    </w:p>
    <w:p>
      <w:pPr>
        <w:spacing w:after="80" w:before="80"/>
        <w:jc w:val="left"/>
      </w:pPr>
      <w:r>
        <w:rPr>
          <w:rFonts w:ascii="Arial" w:cs="Arial" w:eastAsia="Arial" w:hAnsi="Arial"/>
          <w:b w:val="false"/>
          <w:bCs w:val="false"/>
          <w:i w:val="false"/>
          <w:iCs w:val="false"/>
          <w:color w:val="1A1A1A"/>
          <w:sz w:val="22"/>
          <w:szCs w:val="22"/>
        </w:rPr>
        <w:t xml:space="preserve">Each Growth step in the selected track presents: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The script</w:t>
      </w:r>
      <w:r>
        <w:rPr>
          <w:rFonts w:ascii="Arial" w:cs="Arial" w:eastAsia="Arial" w:hAnsi="Arial"/>
          <w:b w:val="false"/>
          <w:bCs w:val="false"/>
          <w:i w:val="false"/>
          <w:iCs w:val="false"/>
          <w:color w:val="1A1A1A"/>
          <w:sz w:val="22"/>
          <w:szCs w:val="22"/>
        </w:rPr>
        <w:t xml:space="preserve"> — primary content with optional variant phrasings the banker can choose between.</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The capture form</w:t>
      </w:r>
      <w:r>
        <w:rPr>
          <w:rFonts w:ascii="Arial" w:cs="Arial" w:eastAsia="Arial" w:hAnsi="Arial"/>
          <w:b w:val="false"/>
          <w:bCs w:val="false"/>
          <w:i w:val="false"/>
          <w:iCs w:val="false"/>
          <w:color w:val="1A1A1A"/>
          <w:sz w:val="22"/>
          <w:szCs w:val="22"/>
        </w:rPr>
        <w:t xml:space="preserve"> — the structured fields specific to this step's shape, validated against the step's capture_schema.</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The downstream preview</w:t>
      </w:r>
      <w:r>
        <w:rPr>
          <w:rFonts w:ascii="Arial" w:cs="Arial" w:eastAsia="Arial" w:hAnsi="Arial"/>
          <w:b w:val="false"/>
          <w:bCs w:val="false"/>
          <w:i w:val="false"/>
          <w:iCs w:val="false"/>
          <w:color w:val="1A1A1A"/>
          <w:sz w:val="22"/>
          <w:szCs w:val="22"/>
        </w:rPr>
        <w:t xml:space="preserve"> — a small panel showing what Signals, ActionCards, or Recommendations this step will produce when committed. Updates as the banker fills in fields.</w:t>
      </w:r>
    </w:p>
    <w:p>
      <w:pPr>
        <w:spacing w:after="80" w:before="80"/>
        <w:jc w:val="left"/>
      </w:pPr>
      <w:r>
        <w:rPr>
          <w:rFonts w:ascii="Arial" w:cs="Arial" w:eastAsia="Arial" w:hAnsi="Arial"/>
          <w:b w:val="false"/>
          <w:bCs w:val="false"/>
          <w:i w:val="false"/>
          <w:iCs w:val="false"/>
          <w:color w:val="1A1A1A"/>
          <w:sz w:val="22"/>
          <w:szCs w:val="22"/>
        </w:rPr>
        <w:t xml:space="preserve">The banker moves through steps in sequence. Each step's commit produces its data; the next step opens. At the end of the track, the banker reviews the auto-generated ActionCards (typically one or two), can edit them, and saves the Conversation as a unit.</w:t>
      </w:r>
    </w:p>
    <w:p>
      <w:pPr>
        <w:pStyle w:val="Heading2"/>
        <w:spacing w:after="120" w:before="240"/>
      </w:pPr>
      <w:r>
        <w:rPr>
          <w:rFonts w:ascii="Arial" w:cs="Arial" w:eastAsia="Arial" w:hAnsi="Arial"/>
          <w:b/>
          <w:bCs/>
          <w:color w:val="0F3B4C"/>
          <w:sz w:val="26"/>
          <w:szCs w:val="26"/>
        </w:rPr>
        <w:t xml:space="preserve">3.3 Fallback path — unstructured debrief</w:t>
      </w:r>
    </w:p>
    <w:p>
      <w:pPr>
        <w:spacing w:after="80" w:before="80"/>
        <w:jc w:val="left"/>
      </w:pPr>
      <w:r>
        <w:rPr>
          <w:rFonts w:ascii="Arial" w:cs="Arial" w:eastAsia="Arial" w:hAnsi="Arial"/>
          <w:b w:val="false"/>
          <w:bCs w:val="false"/>
          <w:i w:val="false"/>
          <w:iCs w:val="false"/>
          <w:color w:val="1A1A1A"/>
          <w:sz w:val="22"/>
          <w:szCs w:val="22"/>
        </w:rPr>
        <w:t xml:space="preserve">For conversations that don't fit a Growth track, the banker can capture without one. Same data shape, simpler form: meeting type, sentiment, channel, then chip-tap selection of any goals, blockers, triggers, or indecisions heard from the canonical Topic taxonomy. Optional moment quote. Optional banker note.</w:t>
      </w:r>
    </w:p>
    <w:p>
      <w:pPr>
        <w:spacing w:after="80" w:before="80"/>
        <w:jc w:val="left"/>
      </w:pPr>
      <w:r>
        <w:rPr>
          <w:rFonts w:ascii="Arial" w:cs="Arial" w:eastAsia="Arial" w:hAnsi="Arial"/>
          <w:b w:val="false"/>
          <w:bCs w:val="false"/>
          <w:i w:val="false"/>
          <w:iCs w:val="false"/>
          <w:color w:val="1A1A1A"/>
          <w:sz w:val="22"/>
          <w:szCs w:val="22"/>
        </w:rPr>
        <w:t xml:space="preserve">Fallback captures still produce Signal records that flow into Member profile and Insight Engine identically. The difference is only that they are not associated with a specific Growth track or step execution, so they don't contribute to track performance metrics.</w:t>
      </w:r>
    </w:p>
    <w:p>
      <w:pPr>
        <w:pStyle w:val="Heading2"/>
        <w:spacing w:after="120" w:before="240"/>
      </w:pPr>
      <w:r>
        <w:rPr>
          <w:rFonts w:ascii="Arial" w:cs="Arial" w:eastAsia="Arial" w:hAnsi="Arial"/>
          <w:b/>
          <w:bCs/>
          <w:color w:val="0F3B4C"/>
          <w:sz w:val="26"/>
          <w:szCs w:val="26"/>
        </w:rPr>
        <w:t xml:space="preserve">3.4 Fields entered in Meeting recap</w:t>
      </w:r>
    </w:p>
    <w:p>
      <w:pPr>
        <w:spacing w:after="80" w:before="80"/>
        <w:jc w:val="left"/>
      </w:pPr>
      <w:r>
        <w:rPr>
          <w:rFonts w:ascii="Arial" w:cs="Arial" w:eastAsia="Arial" w:hAnsi="Arial"/>
          <w:b w:val="false"/>
          <w:bCs w:val="false"/>
          <w:i w:val="false"/>
          <w:iCs w:val="false"/>
          <w:color w:val="1A1A1A"/>
          <w:sz w:val="22"/>
          <w:szCs w:val="22"/>
        </w:rPr>
        <w:t xml:space="preserve">All fields below are captured here unless explicitly noted otherwise. "Tap" indicates chip selection; "select" indicates dropdown or scale; "text" indicates free-text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 or field group</w:t>
            </w:r>
          </w:p>
        </w:tc>
        <w:tc>
          <w:tcPr>
            <w:tcW w:type="dxa" w:w="14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Input pattern</w:t>
            </w:r>
          </w:p>
        </w:tc>
        <w:tc>
          <w:tcPr>
            <w:tcW w:type="dxa" w:w="47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Conversation.meeting_type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tap</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Single tap from 5 options.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Conversation.channel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tap</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Single tap from 3 options.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Conversation.sentiment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tap</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Single tap from 4 options. Calibrates follow-up timing.</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Conversation.moment_quote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text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Optional. Skip if nothing notable.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Conversation.banker_note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text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Optional. Color only; never the signal source.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Signal fields (per Ask step)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tap + text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Topic select, severity scale, recency select, their_words optional. Confidence often defaults from step context.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Size fields (per Size step)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select + numeric</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Magnitude as number, unit and frequency as selects, feeling as scale.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Show fields (per Show step)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tap</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Member reaction scale, follow-up questions multiselect, share toggle. Parameters often pre-filled from Member.core_sync_state.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Propose fields (per Propose step)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select + tap</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Product select, size numeric, structure tap, response scale, primary concern select.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Resolve fields (per Resolve step)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tap + text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Resolution type, indecision type if applicable, next step description and owner and due date.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Connect fields (per Connect step)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select + tap</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Connect type, target, trigger reason text, member receptiveness.</w:t>
            </w:r>
          </w:p>
        </w:tc>
      </w:tr>
    </w:tbl>
    <w:p>
      <w:pPr>
        <w:pStyle w:val="Heading2"/>
        <w:spacing w:after="120" w:before="240"/>
      </w:pPr>
      <w:r>
        <w:rPr>
          <w:rFonts w:ascii="Arial" w:cs="Arial" w:eastAsia="Arial" w:hAnsi="Arial"/>
          <w:b/>
          <w:bCs/>
          <w:color w:val="0F3B4C"/>
          <w:sz w:val="26"/>
          <w:szCs w:val="26"/>
        </w:rPr>
        <w:t xml:space="preserve">3.5 What Meeting recap produces</w:t>
      </w:r>
    </w:p>
    <w:p>
      <w:pPr>
        <w:spacing w:after="80" w:before="80"/>
        <w:jc w:val="left"/>
      </w:pPr>
      <w:r>
        <w:rPr>
          <w:rFonts w:ascii="Arial" w:cs="Arial" w:eastAsia="Arial" w:hAnsi="Arial"/>
          <w:b w:val="false"/>
          <w:bCs w:val="false"/>
          <w:i w:val="false"/>
          <w:iCs w:val="false"/>
          <w:color w:val="1A1A1A"/>
          <w:sz w:val="22"/>
          <w:szCs w:val="22"/>
        </w:rPr>
        <w:t xml:space="preserve">On save, Meeting recap commits the following records: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One Conversation record</w:t>
      </w:r>
      <w:r>
        <w:rPr>
          <w:rFonts w:ascii="Arial" w:cs="Arial" w:eastAsia="Arial" w:hAnsi="Arial"/>
          <w:b w:val="false"/>
          <w:bCs w:val="false"/>
          <w:i w:val="false"/>
          <w:iCs w:val="false"/>
          <w:color w:val="1A1A1A"/>
          <w:sz w:val="22"/>
          <w:szCs w:val="22"/>
        </w:rPr>
        <w:t xml:space="preserve"> — immutable after save.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One Growth step execution record per step run</w:t>
      </w:r>
      <w:r>
        <w:rPr>
          <w:rFonts w:ascii="Arial" w:cs="Arial" w:eastAsia="Arial" w:hAnsi="Arial"/>
          <w:b w:val="false"/>
          <w:bCs w:val="false"/>
          <w:i w:val="false"/>
          <w:iCs w:val="false"/>
          <w:color w:val="1A1A1A"/>
          <w:sz w:val="22"/>
          <w:szCs w:val="22"/>
        </w:rPr>
        <w:t xml:space="preserve"> — immutable, with captured_data validated against capture_schema.</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Zero or more Signal records</w:t>
      </w:r>
      <w:r>
        <w:rPr>
          <w:rFonts w:ascii="Arial" w:cs="Arial" w:eastAsia="Arial" w:hAnsi="Arial"/>
          <w:b w:val="false"/>
          <w:bCs w:val="false"/>
          <w:i w:val="false"/>
          <w:iCs w:val="false"/>
          <w:color w:val="1A1A1A"/>
          <w:sz w:val="22"/>
          <w:szCs w:val="22"/>
        </w:rPr>
        <w:t xml:space="preserve"> — produced by Ask and Connect steps (forward intent).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Zero or more ActionCard records</w:t>
      </w:r>
      <w:r>
        <w:rPr>
          <w:rFonts w:ascii="Arial" w:cs="Arial" w:eastAsia="Arial" w:hAnsi="Arial"/>
          <w:b w:val="false"/>
          <w:bCs w:val="false"/>
          <w:i w:val="false"/>
          <w:iCs w:val="false"/>
          <w:color w:val="1A1A1A"/>
          <w:sz w:val="22"/>
          <w:szCs w:val="22"/>
        </w:rPr>
        <w:t xml:space="preserve"> — produced by Resolve and Connect steps; banker reviews and approves before save.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Zero or more Recommendation records</w:t>
      </w:r>
      <w:r>
        <w:rPr>
          <w:rFonts w:ascii="Arial" w:cs="Arial" w:eastAsia="Arial" w:hAnsi="Arial"/>
          <w:b w:val="false"/>
          <w:bCs w:val="false"/>
          <w:i w:val="false"/>
          <w:iCs w:val="false"/>
          <w:color w:val="1A1A1A"/>
          <w:sz w:val="22"/>
          <w:szCs w:val="22"/>
        </w:rPr>
        <w:t xml:space="preserve"> — produced by Propose steps.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Zero or more Artifact share records</w:t>
      </w:r>
      <w:r>
        <w:rPr>
          <w:rFonts w:ascii="Arial" w:cs="Arial" w:eastAsia="Arial" w:hAnsi="Arial"/>
          <w:b w:val="false"/>
          <w:bCs w:val="false"/>
          <w:i w:val="false"/>
          <w:iCs w:val="false"/>
          <w:color w:val="1A1A1A"/>
          <w:sz w:val="22"/>
          <w:szCs w:val="22"/>
        </w:rPr>
        <w:t xml:space="preserve"> — produced by Show steps with shared_afterward = true.</w:t>
      </w:r>
    </w:p>
    <w:p>
      <w:pPr>
        <w:pStyle w:val="Heading2"/>
        <w:spacing w:after="120" w:before="240"/>
      </w:pPr>
      <w:r>
        <w:rPr>
          <w:rFonts w:ascii="Arial" w:cs="Arial" w:eastAsia="Arial" w:hAnsi="Arial"/>
          <w:b/>
          <w:bCs/>
          <w:color w:val="0F3B4C"/>
          <w:sz w:val="26"/>
          <w:szCs w:val="26"/>
        </w:rPr>
        <w:t xml:space="preserve">3.6 Performance and timing budget</w:t>
      </w:r>
    </w:p>
    <w:p>
      <w:pPr>
        <w:spacing w:after="80" w:before="80"/>
        <w:jc w:val="left"/>
      </w:pPr>
      <w:r>
        <w:rPr>
          <w:rFonts w:ascii="Arial" w:cs="Arial" w:eastAsia="Arial" w:hAnsi="Arial"/>
          <w:b w:val="false"/>
          <w:bCs w:val="false"/>
          <w:i w:val="false"/>
          <w:iCs w:val="false"/>
          <w:color w:val="1A1A1A"/>
          <w:sz w:val="22"/>
          <w:szCs w:val="22"/>
        </w:rPr>
        <w:t xml:space="preserve">The 60-second target apportions roughly as follows: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5 seconds</w:t>
      </w:r>
      <w:r>
        <w:rPr>
          <w:rFonts w:ascii="Arial" w:cs="Arial" w:eastAsia="Arial" w:hAnsi="Arial"/>
          <w:b w:val="false"/>
          <w:bCs w:val="false"/>
          <w:i w:val="false"/>
          <w:iCs w:val="false"/>
          <w:color w:val="1A1A1A"/>
          <w:sz w:val="22"/>
          <w:szCs w:val="22"/>
        </w:rPr>
        <w:t xml:space="preserve"> — meeting metadata (type, channel, sentiment).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15 seconds per Growth step</w:t>
      </w:r>
      <w:r>
        <w:rPr>
          <w:rFonts w:ascii="Arial" w:cs="Arial" w:eastAsia="Arial" w:hAnsi="Arial"/>
          <w:b w:val="false"/>
          <w:bCs w:val="false"/>
          <w:i w:val="false"/>
          <w:iCs w:val="false"/>
          <w:color w:val="1A1A1A"/>
          <w:sz w:val="22"/>
          <w:szCs w:val="22"/>
        </w:rPr>
        <w:t xml:space="preserve"> — typical step has 4-6 fields, mostly tap-select.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10 seconds</w:t>
      </w:r>
      <w:r>
        <w:rPr>
          <w:rFonts w:ascii="Arial" w:cs="Arial" w:eastAsia="Arial" w:hAnsi="Arial"/>
          <w:b w:val="false"/>
          <w:bCs w:val="false"/>
          <w:i w:val="false"/>
          <w:iCs w:val="false"/>
          <w:color w:val="1A1A1A"/>
          <w:sz w:val="22"/>
          <w:szCs w:val="22"/>
        </w:rPr>
        <w:t xml:space="preserve"> — final review of auto-generated ActionCards before save.</w:t>
      </w:r>
    </w:p>
    <w:p>
      <w:pPr>
        <w:spacing w:after="80" w:before="80"/>
        <w:jc w:val="left"/>
      </w:pPr>
      <w:r>
        <w:rPr>
          <w:rFonts w:ascii="Arial" w:cs="Arial" w:eastAsia="Arial" w:hAnsi="Arial"/>
          <w:b w:val="false"/>
          <w:bCs w:val="false"/>
          <w:i w:val="false"/>
          <w:iCs w:val="false"/>
          <w:color w:val="1A1A1A"/>
          <w:sz w:val="22"/>
          <w:szCs w:val="22"/>
        </w:rPr>
        <w:t xml:space="preserve">A four-step Growth track therefore targets 5 + 60 + 10 = 75 seconds. Slightly above the 60-second strict target, but realistic for first-version performance. The fallback path with no track typically completes in under 30 seconds.</w:t>
      </w:r>
    </w:p>
    <w:p>
      <w:pPr>
        <w:pStyle w:val="Heading1"/>
        <w:spacing w:after="160" w:before="320"/>
      </w:pPr>
      <w:r>
        <w:rPr>
          <w:rFonts w:ascii="Arial" w:cs="Arial" w:eastAsia="Arial" w:hAnsi="Arial"/>
          <w:b/>
          <w:bCs/>
          <w:color w:val="0F3B4C"/>
          <w:sz w:val="32"/>
          <w:szCs w:val="32"/>
        </w:rPr>
        <w:t xml:space="preserve">4. Member profile — module specification</w:t>
      </w:r>
    </w:p>
    <w:p>
      <w:pPr>
        <w:pStyle w:val="Heading2"/>
        <w:spacing w:after="120" w:before="240"/>
      </w:pPr>
      <w:r>
        <w:rPr>
          <w:rFonts w:ascii="Arial" w:cs="Arial" w:eastAsia="Arial" w:hAnsi="Arial"/>
          <w:b/>
          <w:bCs/>
          <w:color w:val="0F3B4C"/>
          <w:sz w:val="26"/>
          <w:szCs w:val="26"/>
        </w:rPr>
        <w:t xml:space="preserve">4.1 Purpose and design constraints</w:t>
      </w:r>
    </w:p>
    <w:p>
      <w:pPr>
        <w:spacing w:after="80" w:before="80"/>
        <w:jc w:val="left"/>
      </w:pPr>
      <w:r>
        <w:rPr>
          <w:rFonts w:ascii="Arial" w:cs="Arial" w:eastAsia="Arial" w:hAnsi="Arial"/>
          <w:b w:val="false"/>
          <w:bCs w:val="false"/>
          <w:i w:val="false"/>
          <w:iCs w:val="false"/>
          <w:color w:val="1A1A1A"/>
          <w:sz w:val="22"/>
          <w:szCs w:val="22"/>
        </w:rPr>
        <w:t xml:space="preserve">Member profile shows the synthesized current state of one member: who they are, what we know about them, what work is open, what's been done recently, what we recommend doing next. The page is read-mostly by deliberate design — almost nothing is editable directly. Changes happen through Conversations (which are structured) or through ActionCard closures (which are also structured). This protects data integrity and ensures every change has a traceable source.</w:t>
      </w:r>
    </w:p>
    <w:p>
      <w:pPr>
        <w:pStyle w:val="Heading2"/>
        <w:spacing w:after="120" w:before="240"/>
      </w:pPr>
      <w:r>
        <w:rPr>
          <w:rFonts w:ascii="Arial" w:cs="Arial" w:eastAsia="Arial" w:hAnsi="Arial"/>
          <w:b/>
          <w:bCs/>
          <w:color w:val="0F3B4C"/>
          <w:sz w:val="26"/>
          <w:szCs w:val="26"/>
        </w:rPr>
        <w:t xml:space="preserve">4.2 Page structure — six bands</w:t>
      </w:r>
    </w:p>
    <w:p>
      <w:pPr>
        <w:spacing w:after="80" w:before="80"/>
        <w:jc w:val="left"/>
      </w:pPr>
      <w:r>
        <w:rPr>
          <w:rFonts w:ascii="Arial" w:cs="Arial" w:eastAsia="Arial" w:hAnsi="Arial"/>
          <w:b w:val="false"/>
          <w:bCs w:val="false"/>
          <w:i w:val="false"/>
          <w:iCs w:val="false"/>
          <w:color w:val="1A1A1A"/>
          <w:sz w:val="22"/>
          <w:szCs w:val="22"/>
        </w:rPr>
        <w:t xml:space="preserve">The page is organized into six horizontal bands, each serving a distinct cognitive function for the banker. The structure deliberately mirrors the vocabulary of the Growth step shapes — a banker scanning the page sees the work of the relationship in the same shape as the work of a single conversation.</w:t>
      </w:r>
    </w:p>
    <w:p>
      <w:pPr>
        <w:pStyle w:val="Heading3"/>
        <w:spacing w:after="80" w:before="180"/>
      </w:pPr>
      <w:r>
        <w:rPr>
          <w:rFonts w:ascii="Arial" w:cs="Arial" w:eastAsia="Arial" w:hAnsi="Arial"/>
          <w:b/>
          <w:bCs/>
          <w:color w:val="333333"/>
          <w:sz w:val="22"/>
          <w:szCs w:val="22"/>
        </w:rPr>
        <w:t xml:space="preserve">Band 1 — Identity and Member Type strip</w:t>
      </w:r>
    </w:p>
    <w:p>
      <w:pPr>
        <w:spacing w:after="80" w:before="80"/>
        <w:jc w:val="left"/>
      </w:pPr>
      <w:r>
        <w:rPr>
          <w:rFonts w:ascii="Arial" w:cs="Arial" w:eastAsia="Arial" w:hAnsi="Arial"/>
          <w:b w:val="false"/>
          <w:bCs w:val="false"/>
          <w:i w:val="false"/>
          <w:iCs w:val="false"/>
          <w:color w:val="1A1A1A"/>
          <w:sz w:val="22"/>
          <w:szCs w:val="22"/>
        </w:rPr>
        <w:t xml:space="preserve">At the top, a compact identity band: business name, DBA if different, primary banker, tenure, Member Type label (e.g., "Small Caterer · Starting"). This sits above the fold and provides anchor context for everything below.</w:t>
      </w:r>
    </w:p>
    <w:p>
      <w:pPr>
        <w:spacing w:after="80" w:before="80"/>
        <w:jc w:val="left"/>
      </w:pPr>
      <w:r>
        <w:rPr>
          <w:rFonts w:ascii="Arial" w:cs="Arial" w:eastAsia="Arial" w:hAnsi="Arial"/>
          <w:b w:val="false"/>
          <w:bCs w:val="false"/>
          <w:i w:val="false"/>
          <w:iCs w:val="false"/>
          <w:color w:val="1A1A1A"/>
          <w:sz w:val="22"/>
          <w:szCs w:val="22"/>
        </w:rPr>
        <w:t xml:space="preserve">Fields displayed: Member.legal_name, Member.doing_business_as, Member.primary_banker_id, Member.tenure_started_at, Member.member_type_id (rendered as Member Type.name).</w:t>
      </w:r>
    </w:p>
    <w:p>
      <w:pPr>
        <w:pStyle w:val="Heading3"/>
        <w:spacing w:after="80" w:before="180"/>
      </w:pPr>
      <w:r>
        <w:rPr>
          <w:rFonts w:ascii="Arial" w:cs="Arial" w:eastAsia="Arial" w:hAnsi="Arial"/>
          <w:b/>
          <w:bCs/>
          <w:color w:val="333333"/>
          <w:sz w:val="22"/>
          <w:szCs w:val="22"/>
        </w:rPr>
        <w:t xml:space="preserve">Band 2 — Active state summary</w:t>
      </w:r>
    </w:p>
    <w:p>
      <w:pPr>
        <w:spacing w:after="80" w:before="80"/>
        <w:jc w:val="left"/>
      </w:pPr>
      <w:r>
        <w:rPr>
          <w:rFonts w:ascii="Arial" w:cs="Arial" w:eastAsia="Arial" w:hAnsi="Arial"/>
          <w:b w:val="false"/>
          <w:bCs w:val="false"/>
          <w:i w:val="false"/>
          <w:iCs w:val="false"/>
          <w:color w:val="1A1A1A"/>
          <w:sz w:val="22"/>
          <w:szCs w:val="22"/>
        </w:rPr>
        <w:t xml:space="preserve">Synthesized natural-language summary of the member's current state, generated from the Member summary template (Semantic Discipline §3.4). This is the most important paragraph on the page — a banker reading just this sentence-block knows enough to walk into a meeting prepared.</w:t>
      </w:r>
    </w:p>
    <w:p>
      <w:pPr>
        <w:spacing w:after="80" w:before="80"/>
        <w:jc w:val="left"/>
      </w:pPr>
      <w:r>
        <w:rPr>
          <w:rFonts w:ascii="Arial" w:cs="Arial" w:eastAsia="Arial" w:hAnsi="Arial"/>
          <w:b w:val="false"/>
          <w:bCs w:val="false"/>
          <w:i w:val="false"/>
          <w:iCs w:val="false"/>
          <w:color w:val="1A1A1A"/>
          <w:sz w:val="22"/>
          <w:szCs w:val="22"/>
        </w:rPr>
        <w:t xml:space="preserve">Fields displayed: derived from Member, active Signals, open ActionCards, products held, last touch.</w:t>
      </w:r>
    </w:p>
    <w:p>
      <w:pPr>
        <w:pStyle w:val="Heading3"/>
        <w:spacing w:after="80" w:before="180"/>
      </w:pPr>
      <w:r>
        <w:rPr>
          <w:rFonts w:ascii="Arial" w:cs="Arial" w:eastAsia="Arial" w:hAnsi="Arial"/>
          <w:b/>
          <w:bCs/>
          <w:color w:val="333333"/>
          <w:sz w:val="22"/>
          <w:szCs w:val="22"/>
        </w:rPr>
        <w:t xml:space="preserve">Band 3 — Active signals (Ask + Size results)</w:t>
      </w:r>
    </w:p>
    <w:p>
      <w:pPr>
        <w:spacing w:after="80" w:before="80"/>
        <w:jc w:val="left"/>
      </w:pPr>
      <w:r>
        <w:rPr>
          <w:rFonts w:ascii="Arial" w:cs="Arial" w:eastAsia="Arial" w:hAnsi="Arial"/>
          <w:b w:val="false"/>
          <w:bCs w:val="false"/>
          <w:i w:val="false"/>
          <w:iCs w:val="false"/>
          <w:color w:val="1A1A1A"/>
          <w:sz w:val="22"/>
          <w:szCs w:val="22"/>
        </w:rPr>
        <w:t xml:space="preserve">List of Signal records where active = true, grouped by type (goals, blockers, triggers, indecisions). Each Signal shows its Topic display name, severity (color-coded), recency, the member's own words if captured (as pull-quote), and any Size data if quantified (rendered prominently — "costing approximately $40K annually").</w:t>
      </w:r>
    </w:p>
    <w:p>
      <w:pPr>
        <w:spacing w:after="80" w:before="80"/>
        <w:jc w:val="left"/>
      </w:pPr>
      <w:r>
        <w:rPr>
          <w:rFonts w:ascii="Arial" w:cs="Arial" w:eastAsia="Arial" w:hAnsi="Arial"/>
          <w:b w:val="false"/>
          <w:bCs w:val="false"/>
          <w:i w:val="false"/>
          <w:iCs w:val="false"/>
          <w:color w:val="1A1A1A"/>
          <w:sz w:val="22"/>
          <w:szCs w:val="22"/>
        </w:rPr>
        <w:t xml:space="preserve">Fields displayed: Signal.topic (rendered via Topic.display_name), Signal.severity, Signal.recency, Signal.their_words, plus magnitude data from any Size step that referenced this Signal.</w:t>
      </w:r>
    </w:p>
    <w:p>
      <w:pPr>
        <w:pStyle w:val="Heading3"/>
        <w:spacing w:after="80" w:before="180"/>
      </w:pPr>
      <w:r>
        <w:rPr>
          <w:rFonts w:ascii="Arial" w:cs="Arial" w:eastAsia="Arial" w:hAnsi="Arial"/>
          <w:b/>
          <w:bCs/>
          <w:color w:val="333333"/>
          <w:sz w:val="22"/>
          <w:szCs w:val="22"/>
        </w:rPr>
        <w:t xml:space="preserve">Band 4 — Active proposals (Propose results)</w:t>
      </w:r>
    </w:p>
    <w:p>
      <w:pPr>
        <w:spacing w:after="80" w:before="80"/>
        <w:jc w:val="left"/>
      </w:pPr>
      <w:r>
        <w:rPr>
          <w:rFonts w:ascii="Arial" w:cs="Arial" w:eastAsia="Arial" w:hAnsi="Arial"/>
          <w:b w:val="false"/>
          <w:bCs w:val="false"/>
          <w:i w:val="false"/>
          <w:iCs w:val="false"/>
          <w:color w:val="1A1A1A"/>
          <w:sz w:val="22"/>
          <w:szCs w:val="22"/>
        </w:rPr>
        <w:t xml:space="preserve">Recommendation records where status = surfaced, accepted, or deferred — proposals made but not yet resolved. Each shows the product, size proposed, structure, member response, primary concern, and the rationale that produced it.</w:t>
      </w:r>
    </w:p>
    <w:p>
      <w:pPr>
        <w:spacing w:after="80" w:before="80"/>
        <w:jc w:val="left"/>
      </w:pPr>
      <w:r>
        <w:rPr>
          <w:rFonts w:ascii="Arial" w:cs="Arial" w:eastAsia="Arial" w:hAnsi="Arial"/>
          <w:b w:val="false"/>
          <w:bCs w:val="false"/>
          <w:i w:val="false"/>
          <w:iCs w:val="false"/>
          <w:color w:val="1A1A1A"/>
          <w:sz w:val="22"/>
          <w:szCs w:val="22"/>
        </w:rPr>
        <w:t xml:space="preserve">Fields displayed: Recommendation.product_id (via Product.name), .size_proposed, .structure, .response, .primary_concern, .rationale_text.</w:t>
      </w:r>
    </w:p>
    <w:p>
      <w:pPr>
        <w:pStyle w:val="Heading3"/>
        <w:spacing w:after="80" w:before="180"/>
      </w:pPr>
      <w:r>
        <w:rPr>
          <w:rFonts w:ascii="Arial" w:cs="Arial" w:eastAsia="Arial" w:hAnsi="Arial"/>
          <w:b/>
          <w:bCs/>
          <w:color w:val="333333"/>
          <w:sz w:val="22"/>
          <w:szCs w:val="22"/>
        </w:rPr>
        <w:t xml:space="preserve">Band 5 — Open work (ActionCards)</w:t>
      </w:r>
    </w:p>
    <w:p>
      <w:pPr>
        <w:spacing w:after="80" w:before="80"/>
        <w:jc w:val="left"/>
      </w:pPr>
      <w:r>
        <w:rPr>
          <w:rFonts w:ascii="Arial" w:cs="Arial" w:eastAsia="Arial" w:hAnsi="Arial"/>
          <w:b w:val="false"/>
          <w:bCs w:val="false"/>
          <w:i w:val="false"/>
          <w:iCs w:val="false"/>
          <w:color w:val="1A1A1A"/>
          <w:sz w:val="22"/>
          <w:szCs w:val="22"/>
        </w:rPr>
        <w:t xml:space="preserve">ActionCards where status in (open, in_progress), sorted by due_at. Each shows type, owner, rationale, due date, and aging indicator. Cards aged past their due_at are visually flagged.</w:t>
      </w:r>
    </w:p>
    <w:p>
      <w:pPr>
        <w:spacing w:after="80" w:before="80"/>
        <w:jc w:val="left"/>
      </w:pPr>
      <w:r>
        <w:rPr>
          <w:rFonts w:ascii="Arial" w:cs="Arial" w:eastAsia="Arial" w:hAnsi="Arial"/>
          <w:b w:val="false"/>
          <w:bCs w:val="false"/>
          <w:i w:val="false"/>
          <w:iCs w:val="false"/>
          <w:color w:val="1A1A1A"/>
          <w:sz w:val="22"/>
          <w:szCs w:val="22"/>
        </w:rPr>
        <w:t xml:space="preserve">Fields displayed: ActionCard.type (with banker-friendly labels — "follow up later" for nurture), .owner_id (via Banker.display_name), .rationale, .due_at, .status, derived aging.</w:t>
      </w:r>
    </w:p>
    <w:p>
      <w:pPr>
        <w:pStyle w:val="Heading3"/>
        <w:spacing w:after="80" w:before="180"/>
      </w:pPr>
      <w:r>
        <w:rPr>
          <w:rFonts w:ascii="Arial" w:cs="Arial" w:eastAsia="Arial" w:hAnsi="Arial"/>
          <w:b/>
          <w:bCs/>
          <w:color w:val="333333"/>
          <w:sz w:val="22"/>
          <w:szCs w:val="22"/>
        </w:rPr>
        <w:t xml:space="preserve">Band 6 — History and shared artifacts</w:t>
      </w:r>
    </w:p>
    <w:p>
      <w:pPr>
        <w:spacing w:after="80" w:before="80"/>
        <w:jc w:val="left"/>
      </w:pPr>
      <w:r>
        <w:rPr>
          <w:rFonts w:ascii="Arial" w:cs="Arial" w:eastAsia="Arial" w:hAnsi="Arial"/>
          <w:b w:val="false"/>
          <w:bCs w:val="false"/>
          <w:i w:val="false"/>
          <w:iCs w:val="false"/>
          <w:color w:val="1A1A1A"/>
          <w:sz w:val="22"/>
          <w:szCs w:val="22"/>
        </w:rPr>
        <w:t xml:space="preserve">Chronological list of Conversations (most recent first), expandable to show the Growth steps that ran inside each. Separate sub-band for Artifact share history — which Visuals have been shown or sent to this member, with reaction data and shared_afterward status. Prevents redundant showings and supports follow-up.</w:t>
      </w:r>
    </w:p>
    <w:p>
      <w:pPr>
        <w:spacing w:after="80" w:before="80"/>
        <w:jc w:val="left"/>
      </w:pPr>
      <w:r>
        <w:rPr>
          <w:rFonts w:ascii="Arial" w:cs="Arial" w:eastAsia="Arial" w:hAnsi="Arial"/>
          <w:b w:val="false"/>
          <w:bCs w:val="false"/>
          <w:i w:val="false"/>
          <w:iCs w:val="false"/>
          <w:color w:val="1A1A1A"/>
          <w:sz w:val="22"/>
          <w:szCs w:val="22"/>
        </w:rPr>
        <w:t xml:space="preserve">Fields displayed: Conversation list (timestamp, type, banker, sentiment, moment_quote), Artifact share records, expandable Growth step executions per Conversation.</w:t>
      </w:r>
    </w:p>
    <w:p>
      <w:pPr>
        <w:pStyle w:val="Heading2"/>
        <w:spacing w:after="120" w:before="240"/>
      </w:pPr>
      <w:r>
        <w:rPr>
          <w:rFonts w:ascii="Arial" w:cs="Arial" w:eastAsia="Arial" w:hAnsi="Arial"/>
          <w:b/>
          <w:bCs/>
          <w:color w:val="0F3B4C"/>
          <w:sz w:val="26"/>
          <w:szCs w:val="26"/>
        </w:rPr>
        <w:t xml:space="preserve">4.3 Sidebar — banker-only context</w:t>
      </w:r>
    </w:p>
    <w:p>
      <w:pPr>
        <w:spacing w:after="80" w:before="80"/>
        <w:jc w:val="left"/>
      </w:pPr>
      <w:r>
        <w:rPr>
          <w:rFonts w:ascii="Arial" w:cs="Arial" w:eastAsia="Arial" w:hAnsi="Arial"/>
          <w:b w:val="false"/>
          <w:bCs w:val="false"/>
          <w:i w:val="false"/>
          <w:iCs w:val="false"/>
          <w:color w:val="1A1A1A"/>
          <w:sz w:val="22"/>
          <w:szCs w:val="22"/>
        </w:rPr>
        <w:t xml:space="preserve">On the right, a sidebar with banker-only information not surfaced to others: private notes (250-char timestamped observations), forward signals captured by past Connect steps ("Jenny mentioned she's thinking about CRE in the next 18 months"), and any forward intent that should pre-stage future conversations.</w:t>
      </w:r>
    </w:p>
    <w:p>
      <w:pPr>
        <w:spacing w:after="80" w:before="80"/>
        <w:jc w:val="left"/>
      </w:pPr>
      <w:r>
        <w:rPr>
          <w:rFonts w:ascii="Arial" w:cs="Arial" w:eastAsia="Arial" w:hAnsi="Arial"/>
          <w:b w:val="false"/>
          <w:bCs w:val="false"/>
          <w:i w:val="false"/>
          <w:iCs w:val="false"/>
          <w:color w:val="1A1A1A"/>
          <w:sz w:val="22"/>
          <w:szCs w:val="22"/>
        </w:rPr>
        <w:t xml:space="preserve">Fields displayed: Member.private_notes (filtered to current banker's visibility), forward Signal records.</w:t>
      </w:r>
    </w:p>
    <w:p>
      <w:pPr>
        <w:pStyle w:val="Heading2"/>
        <w:spacing w:after="120" w:before="240"/>
      </w:pPr>
      <w:r>
        <w:rPr>
          <w:rFonts w:ascii="Arial" w:cs="Arial" w:eastAsia="Arial" w:hAnsi="Arial"/>
          <w:b/>
          <w:bCs/>
          <w:color w:val="0F3B4C"/>
          <w:sz w:val="26"/>
          <w:szCs w:val="26"/>
        </w:rPr>
        <w:t xml:space="preserve">4.4 Suggested next step</w:t>
      </w:r>
    </w:p>
    <w:p>
      <w:pPr>
        <w:spacing w:after="80" w:before="80"/>
        <w:jc w:val="left"/>
      </w:pPr>
      <w:r>
        <w:rPr>
          <w:rFonts w:ascii="Arial" w:cs="Arial" w:eastAsia="Arial" w:hAnsi="Arial"/>
          <w:b w:val="false"/>
          <w:bCs w:val="false"/>
          <w:i w:val="false"/>
          <w:iCs w:val="false"/>
          <w:color w:val="1A1A1A"/>
          <w:sz w:val="22"/>
          <w:szCs w:val="22"/>
        </w:rPr>
        <w:t xml:space="preserve">Above-the-fold pinned recommendation: the highest-ranked Growth track applicable to this member's current Signals, with confidence band. A single click opens Meeting recap pre-populated with that track ready to run.</w:t>
      </w:r>
    </w:p>
    <w:p>
      <w:pPr>
        <w:spacing w:after="80" w:before="80"/>
        <w:jc w:val="left"/>
      </w:pPr>
      <w:r>
        <w:rPr>
          <w:rFonts w:ascii="Arial" w:cs="Arial" w:eastAsia="Arial" w:hAnsi="Arial"/>
          <w:b w:val="false"/>
          <w:bCs w:val="false"/>
          <w:i w:val="false"/>
          <w:iCs w:val="false"/>
          <w:color w:val="1A1A1A"/>
          <w:sz w:val="22"/>
          <w:szCs w:val="22"/>
        </w:rPr>
        <w:t xml:space="preserve">Logic: when the page loads, the system runs Member's active Signals through the Rule engine, ranks results by Rule confidence × Growth track historical performance for similar members. Returns one or two suggestions.</w:t>
      </w:r>
    </w:p>
    <w:p>
      <w:pPr>
        <w:spacing w:after="80" w:before="80"/>
        <w:jc w:val="left"/>
      </w:pPr>
      <w:r>
        <w:rPr>
          <w:rFonts w:ascii="Arial" w:cs="Arial" w:eastAsia="Arial" w:hAnsi="Arial"/>
          <w:b w:val="false"/>
          <w:bCs w:val="false"/>
          <w:i w:val="false"/>
          <w:iCs w:val="false"/>
          <w:color w:val="1A1A1A"/>
          <w:sz w:val="22"/>
          <w:szCs w:val="22"/>
        </w:rPr>
        <w:t xml:space="preserve">Fields displayed: Growth track.name, Growth track.description, Rule.confidence_band, Growth track.performance_counts.</w:t>
      </w:r>
    </w:p>
    <w:p>
      <w:pPr>
        <w:pStyle w:val="Heading2"/>
        <w:spacing w:after="120" w:before="240"/>
      </w:pPr>
      <w:r>
        <w:rPr>
          <w:rFonts w:ascii="Arial" w:cs="Arial" w:eastAsia="Arial" w:hAnsi="Arial"/>
          <w:b/>
          <w:bCs/>
          <w:color w:val="0F3B4C"/>
          <w:sz w:val="26"/>
          <w:szCs w:val="26"/>
        </w:rPr>
        <w:t xml:space="preserve">4.5 What Member profile does not do</w:t>
      </w:r>
    </w:p>
    <w:p>
      <w:pPr>
        <w:spacing w:after="80" w:before="80"/>
        <w:jc w:val="left"/>
      </w:pPr>
      <w:r>
        <w:rPr>
          <w:rFonts w:ascii="Arial" w:cs="Arial" w:eastAsia="Arial" w:hAnsi="Arial"/>
          <w:b w:val="false"/>
          <w:bCs w:val="false"/>
          <w:i w:val="false"/>
          <w:iCs w:val="false"/>
          <w:color w:val="1A1A1A"/>
          <w:sz w:val="22"/>
          <w:szCs w:val="22"/>
        </w:rPr>
        <w:t xml:space="preserve">Three deliberate omissions worth naming.</w:t>
      </w:r>
    </w:p>
    <w:p>
      <w:pPr>
        <w:spacing w:after="80" w:before="80"/>
        <w:jc w:val="left"/>
      </w:pPr>
      <w:r>
        <w:rPr>
          <w:rFonts w:ascii="Arial" w:cs="Arial" w:eastAsia="Arial" w:hAnsi="Arial"/>
          <w:b w:val="false"/>
          <w:bCs w:val="false"/>
          <w:i w:val="false"/>
          <w:iCs w:val="false"/>
          <w:color w:val="1A1A1A"/>
          <w:sz w:val="22"/>
          <w:szCs w:val="22"/>
        </w:rPr>
        <w:t xml:space="preserve">First, no inline editing of Member fields. Industry, stage, size band cannot be changed here — they're either pulled from core sync or set during onboarding. Changes require an admin action.</w:t>
      </w:r>
    </w:p>
    <w:p>
      <w:pPr>
        <w:spacing w:after="80" w:before="80"/>
        <w:jc w:val="left"/>
      </w:pPr>
      <w:r>
        <w:rPr>
          <w:rFonts w:ascii="Arial" w:cs="Arial" w:eastAsia="Arial" w:hAnsi="Arial"/>
          <w:b w:val="false"/>
          <w:bCs w:val="false"/>
          <w:i w:val="false"/>
          <w:iCs w:val="false"/>
          <w:color w:val="1A1A1A"/>
          <w:sz w:val="22"/>
          <w:szCs w:val="22"/>
        </w:rPr>
        <w:t xml:space="preserve">Second, no inline ActionCard creation. ActionCards drop out of Conversations via Resolve and Connect Growth steps. Creating an ActionCard outside a Conversation is supported only via a fallback shortcut, and that shortcut creates a fallback-path Conversation behind it for traceability.</w:t>
      </w:r>
    </w:p>
    <w:p>
      <w:pPr>
        <w:spacing w:after="80" w:before="80"/>
        <w:jc w:val="left"/>
      </w:pPr>
      <w:r>
        <w:rPr>
          <w:rFonts w:ascii="Arial" w:cs="Arial" w:eastAsia="Arial" w:hAnsi="Arial"/>
          <w:b w:val="false"/>
          <w:bCs w:val="false"/>
          <w:i w:val="false"/>
          <w:iCs w:val="false"/>
          <w:color w:val="1A1A1A"/>
          <w:sz w:val="22"/>
          <w:szCs w:val="22"/>
        </w:rPr>
        <w:t xml:space="preserve">Third, no banker-facing exposure of step_shape labels (Ask, Size, Show, Propose, Resolve, Connect). The history view shows what the banker said and the member's response, not the design vocabulary that classifies them.</w:t>
      </w:r>
    </w:p>
    <w:p>
      <w:pPr>
        <w:pStyle w:val="Heading1"/>
        <w:spacing w:after="160" w:before="320"/>
      </w:pPr>
      <w:r>
        <w:rPr>
          <w:rFonts w:ascii="Arial" w:cs="Arial" w:eastAsia="Arial" w:hAnsi="Arial"/>
          <w:b/>
          <w:bCs/>
          <w:color w:val="0F3B4C"/>
          <w:sz w:val="32"/>
          <w:szCs w:val="32"/>
        </w:rPr>
        <w:t xml:space="preserve">5. Insight Engine — module specification</w:t>
      </w:r>
    </w:p>
    <w:p>
      <w:pPr>
        <w:pStyle w:val="Heading2"/>
        <w:spacing w:after="120" w:before="240"/>
      </w:pPr>
      <w:r>
        <w:rPr>
          <w:rFonts w:ascii="Arial" w:cs="Arial" w:eastAsia="Arial" w:hAnsi="Arial"/>
          <w:b/>
          <w:bCs/>
          <w:color w:val="0F3B4C"/>
          <w:sz w:val="26"/>
          <w:szCs w:val="26"/>
        </w:rPr>
        <w:t xml:space="preserve">5.1 Purpose and design constraints</w:t>
      </w:r>
    </w:p>
    <w:p>
      <w:pPr>
        <w:spacing w:after="80" w:before="80"/>
        <w:jc w:val="left"/>
      </w:pPr>
      <w:r>
        <w:rPr>
          <w:rFonts w:ascii="Arial" w:cs="Arial" w:eastAsia="Arial" w:hAnsi="Arial"/>
          <w:b w:val="false"/>
          <w:bCs w:val="false"/>
          <w:i w:val="false"/>
          <w:iCs w:val="false"/>
          <w:color w:val="1A1A1A"/>
          <w:sz w:val="22"/>
          <w:szCs w:val="22"/>
        </w:rPr>
        <w:t xml:space="preserve">Insight Engine surfaces patterns across the member base. Three primary uses: bankers preparing for novel member situations who want to see what's worked elsewhere; the Growth lead curating canonical content based on observed performance and gaps; the EVP and lending leadership reviewing book-level trends and making strategic decisions about Track investment, content gaps, and product priorities.</w:t>
      </w:r>
    </w:p>
    <w:p>
      <w:pPr>
        <w:spacing w:after="80" w:before="80"/>
        <w:jc w:val="left"/>
      </w:pPr>
      <w:r>
        <w:rPr>
          <w:rFonts w:ascii="Arial" w:cs="Arial" w:eastAsia="Arial" w:hAnsi="Arial"/>
          <w:b w:val="false"/>
          <w:bCs w:val="false"/>
          <w:i w:val="false"/>
          <w:iCs w:val="false"/>
          <w:color w:val="1A1A1A"/>
          <w:sz w:val="22"/>
          <w:szCs w:val="22"/>
        </w:rPr>
        <w:t xml:space="preserve">The module is intentionally lower-frequency than the other two. It is not a casual browsing surface; visits are task-oriented (preparing for X, curating Y, reviewing Z).</w:t>
      </w:r>
    </w:p>
    <w:p>
      <w:pPr>
        <w:pStyle w:val="Heading2"/>
        <w:spacing w:after="120" w:before="240"/>
      </w:pPr>
      <w:r>
        <w:rPr>
          <w:rFonts w:ascii="Arial" w:cs="Arial" w:eastAsia="Arial" w:hAnsi="Arial"/>
          <w:b/>
          <w:bCs/>
          <w:color w:val="0F3B4C"/>
          <w:sz w:val="26"/>
          <w:szCs w:val="26"/>
        </w:rPr>
        <w:t xml:space="preserve">5.2 Privacy floor</w:t>
      </w:r>
    </w:p>
    <w:p>
      <w:pPr>
        <w:spacing w:after="80" w:before="80"/>
        <w:jc w:val="left"/>
      </w:pPr>
      <w:r>
        <w:rPr>
          <w:rFonts w:ascii="Arial" w:cs="Arial" w:eastAsia="Arial" w:hAnsi="Arial"/>
          <w:b w:val="false"/>
          <w:bCs w:val="false"/>
          <w:i w:val="false"/>
          <w:iCs w:val="false"/>
          <w:color w:val="1A1A1A"/>
          <w:sz w:val="22"/>
          <w:szCs w:val="22"/>
        </w:rPr>
        <w:t xml:space="preserve">Cross-member queries enforce a minimum cell size of 5 — any aggregate touching fewer than 5 Members returns "insufficient data" rather than identifying details. Single-member content (private notes, member-specific Signals) is visible only to the primary banker and authorized specialists, with one exception: the Growth lead's curation queue includes anonymized excerpts from private notes for pattern recognition.</w:t>
      </w:r>
    </w:p>
    <w:p>
      <w:pPr>
        <w:pStyle w:val="Heading2"/>
        <w:spacing w:after="120" w:before="240"/>
      </w:pPr>
      <w:r>
        <w:rPr>
          <w:rFonts w:ascii="Arial" w:cs="Arial" w:eastAsia="Arial" w:hAnsi="Arial"/>
          <w:b/>
          <w:bCs/>
          <w:color w:val="0F3B4C"/>
          <w:sz w:val="26"/>
          <w:szCs w:val="26"/>
        </w:rPr>
        <w:t xml:space="preserve">5.3 Six primary views</w:t>
      </w:r>
    </w:p>
    <w:p>
      <w:pPr>
        <w:spacing w:after="80" w:before="80"/>
        <w:jc w:val="left"/>
      </w:pPr>
      <w:r>
        <w:rPr>
          <w:rFonts w:ascii="Arial" w:cs="Arial" w:eastAsia="Arial" w:hAnsi="Arial"/>
          <w:b w:val="false"/>
          <w:bCs w:val="false"/>
          <w:i w:val="false"/>
          <w:iCs w:val="false"/>
          <w:color w:val="1A1A1A"/>
          <w:sz w:val="22"/>
          <w:szCs w:val="22"/>
        </w:rPr>
        <w:t xml:space="preserve">The Insight Engine offers six analytical lenses. Each maps to a distinct query category enabled by the Growth step shape typology.</w:t>
      </w:r>
    </w:p>
    <w:p>
      <w:pPr>
        <w:pStyle w:val="Heading3"/>
        <w:spacing w:after="80" w:before="180"/>
      </w:pPr>
      <w:r>
        <w:rPr>
          <w:rFonts w:ascii="Arial" w:cs="Arial" w:eastAsia="Arial" w:hAnsi="Arial"/>
          <w:b/>
          <w:bCs/>
          <w:color w:val="333333"/>
          <w:sz w:val="22"/>
          <w:szCs w:val="22"/>
        </w:rPr>
        <w:t xml:space="preserve">View 1 — Signal volume and trend ("What's happening across our book?")</w:t>
      </w:r>
    </w:p>
    <w:p>
      <w:pPr>
        <w:spacing w:after="80" w:before="80"/>
        <w:jc w:val="left"/>
      </w:pPr>
      <w:r>
        <w:rPr>
          <w:rFonts w:ascii="Arial" w:cs="Arial" w:eastAsia="Arial" w:hAnsi="Arial"/>
          <w:b w:val="false"/>
          <w:bCs w:val="false"/>
          <w:i w:val="false"/>
          <w:iCs w:val="false"/>
          <w:color w:val="1A1A1A"/>
          <w:sz w:val="22"/>
          <w:szCs w:val="22"/>
        </w:rPr>
        <w:t xml:space="preserve">Rolling counts of Signal records by Topic × Member Type × time window. Quarter-over-quarter delta. Identifies rising blockers, fading goals, emerging trigger events. The EVP's first stop in a quarterly review.</w:t>
      </w:r>
    </w:p>
    <w:p>
      <w:pPr>
        <w:spacing w:after="80" w:before="80"/>
        <w:jc w:val="left"/>
      </w:pPr>
      <w:r>
        <w:rPr>
          <w:rFonts w:ascii="Arial" w:cs="Arial" w:eastAsia="Arial" w:hAnsi="Arial"/>
          <w:b w:val="false"/>
          <w:bCs w:val="false"/>
          <w:i w:val="false"/>
          <w:iCs w:val="false"/>
          <w:color w:val="1A1A1A"/>
          <w:sz w:val="22"/>
          <w:szCs w:val="22"/>
        </w:rPr>
        <w:t xml:space="preserve">Powered by: Signal records aggregated by topic, severity, member_type via Member join.</w:t>
      </w:r>
    </w:p>
    <w:p>
      <w:pPr>
        <w:spacing w:after="80" w:before="80"/>
        <w:jc w:val="left"/>
      </w:pPr>
      <w:r>
        <w:rPr>
          <w:rFonts w:ascii="Arial" w:cs="Arial" w:eastAsia="Arial" w:hAnsi="Arial"/>
          <w:b w:val="false"/>
          <w:bCs w:val="false"/>
          <w:i w:val="false"/>
          <w:iCs w:val="false"/>
          <w:color w:val="1A1A1A"/>
          <w:sz w:val="22"/>
          <w:szCs w:val="22"/>
        </w:rPr>
        <w:t xml:space="preserve">Example output: "Utility cost pressure is up 40% quarter-over-quarter among Manufacturing × Established members. No canonical Growth track currently targets this combination."</w:t>
      </w:r>
    </w:p>
    <w:p>
      <w:pPr>
        <w:pStyle w:val="Heading3"/>
        <w:spacing w:after="80" w:before="180"/>
      </w:pPr>
      <w:r>
        <w:rPr>
          <w:rFonts w:ascii="Arial" w:cs="Arial" w:eastAsia="Arial" w:hAnsi="Arial"/>
          <w:b/>
          <w:bCs/>
          <w:color w:val="333333"/>
          <w:sz w:val="22"/>
          <w:szCs w:val="22"/>
        </w:rPr>
        <w:t xml:space="preserve">View 2 — Growth track performance ("What's working?")</w:t>
      </w:r>
    </w:p>
    <w:p>
      <w:pPr>
        <w:spacing w:after="80" w:before="80"/>
        <w:jc w:val="left"/>
      </w:pPr>
      <w:r>
        <w:rPr>
          <w:rFonts w:ascii="Arial" w:cs="Arial" w:eastAsia="Arial" w:hAnsi="Arial"/>
          <w:b w:val="false"/>
          <w:bCs w:val="false"/>
          <w:i w:val="false"/>
          <w:iCs w:val="false"/>
          <w:color w:val="1A1A1A"/>
          <w:sz w:val="22"/>
          <w:szCs w:val="22"/>
        </w:rPr>
        <w:t xml:space="preserve">For each canonical Growth track: number of runs, funded outcomes, decline-with-reason distribution, average days from first run to funded, indecision rate. Enables ranking and identification of underperformers.</w:t>
      </w:r>
    </w:p>
    <w:p>
      <w:pPr>
        <w:spacing w:after="80" w:before="80"/>
        <w:jc w:val="left"/>
      </w:pPr>
      <w:r>
        <w:rPr>
          <w:rFonts w:ascii="Arial" w:cs="Arial" w:eastAsia="Arial" w:hAnsi="Arial"/>
          <w:b w:val="false"/>
          <w:bCs w:val="false"/>
          <w:i w:val="false"/>
          <w:iCs w:val="false"/>
          <w:color w:val="1A1A1A"/>
          <w:sz w:val="22"/>
          <w:szCs w:val="22"/>
        </w:rPr>
        <w:t xml:space="preserve">Powered by: Growth track.performance_counts (derived nightly from ActionCard outcomes joined to Growth step executions joined to Growth tracks).</w:t>
      </w:r>
    </w:p>
    <w:p>
      <w:pPr>
        <w:pStyle w:val="Heading3"/>
        <w:spacing w:after="80" w:before="180"/>
      </w:pPr>
      <w:r>
        <w:rPr>
          <w:rFonts w:ascii="Arial" w:cs="Arial" w:eastAsia="Arial" w:hAnsi="Arial"/>
          <w:b/>
          <w:bCs/>
          <w:color w:val="333333"/>
          <w:sz w:val="22"/>
          <w:szCs w:val="22"/>
        </w:rPr>
        <w:t xml:space="preserve">View 3 — Artifact effectiveness ("What lands?")</w:t>
      </w:r>
    </w:p>
    <w:p>
      <w:pPr>
        <w:spacing w:after="80" w:before="80"/>
        <w:jc w:val="left"/>
      </w:pPr>
      <w:r>
        <w:rPr>
          <w:rFonts w:ascii="Arial" w:cs="Arial" w:eastAsia="Arial" w:hAnsi="Arial"/>
          <w:b w:val="false"/>
          <w:bCs w:val="false"/>
          <w:i w:val="false"/>
          <w:iCs w:val="false"/>
          <w:color w:val="1A1A1A"/>
          <w:sz w:val="22"/>
          <w:szCs w:val="22"/>
        </w:rPr>
        <w:t xml:space="preserve">For each canonical Artifact: reaction distribution (engaged, skeptical, etc.), share-through rate, downstream funded rate of Growth steps that used this Artifact. Enables Visual library curation.</w:t>
      </w:r>
    </w:p>
    <w:p>
      <w:pPr>
        <w:spacing w:after="80" w:before="80"/>
        <w:jc w:val="left"/>
      </w:pPr>
      <w:r>
        <w:rPr>
          <w:rFonts w:ascii="Arial" w:cs="Arial" w:eastAsia="Arial" w:hAnsi="Arial"/>
          <w:b w:val="false"/>
          <w:bCs w:val="false"/>
          <w:i w:val="false"/>
          <w:iCs w:val="false"/>
          <w:color w:val="1A1A1A"/>
          <w:sz w:val="22"/>
          <w:szCs w:val="22"/>
        </w:rPr>
        <w:t xml:space="preserve">Powered by: Show-shape Growth step execution captured_data plus subsequent ActionCard outcomes.</w:t>
      </w:r>
    </w:p>
    <w:p>
      <w:pPr>
        <w:pStyle w:val="Heading3"/>
        <w:spacing w:after="80" w:before="180"/>
      </w:pPr>
      <w:r>
        <w:rPr>
          <w:rFonts w:ascii="Arial" w:cs="Arial" w:eastAsia="Arial" w:hAnsi="Arial"/>
          <w:b/>
          <w:bCs/>
          <w:color w:val="333333"/>
          <w:sz w:val="22"/>
          <w:szCs w:val="22"/>
        </w:rPr>
        <w:t xml:space="preserve">View 4 — Indecision diagnostics ("Where are we stalling?")</w:t>
      </w:r>
    </w:p>
    <w:p>
      <w:pPr>
        <w:spacing w:after="80" w:before="80"/>
        <w:jc w:val="left"/>
      </w:pPr>
      <w:r>
        <w:rPr>
          <w:rFonts w:ascii="Arial" w:cs="Arial" w:eastAsia="Arial" w:hAnsi="Arial"/>
          <w:b w:val="false"/>
          <w:bCs w:val="false"/>
          <w:i w:val="false"/>
          <w:iCs w:val="false"/>
          <w:color w:val="1A1A1A"/>
          <w:sz w:val="22"/>
          <w:szCs w:val="22"/>
        </w:rPr>
        <w:t xml:space="preserve">Indecision rate by Member Type, banker, Growth track, product. Type mix (valuation, information, outcome_uncertainty, authority). Identifies systemic close problems and coaching opportunities.</w:t>
      </w:r>
    </w:p>
    <w:p>
      <w:pPr>
        <w:spacing w:after="80" w:before="80"/>
        <w:jc w:val="left"/>
      </w:pPr>
      <w:r>
        <w:rPr>
          <w:rFonts w:ascii="Arial" w:cs="Arial" w:eastAsia="Arial" w:hAnsi="Arial"/>
          <w:b w:val="false"/>
          <w:bCs w:val="false"/>
          <w:i w:val="false"/>
          <w:iCs w:val="false"/>
          <w:color w:val="1A1A1A"/>
          <w:sz w:val="22"/>
          <w:szCs w:val="22"/>
        </w:rPr>
        <w:t xml:space="preserve">Powered by: Resolve-shape Growth step executions where resolution_type = indecision.</w:t>
      </w:r>
    </w:p>
    <w:p>
      <w:pPr>
        <w:pStyle w:val="Heading3"/>
        <w:spacing w:after="80" w:before="180"/>
      </w:pPr>
      <w:r>
        <w:rPr>
          <w:rFonts w:ascii="Arial" w:cs="Arial" w:eastAsia="Arial" w:hAnsi="Arial"/>
          <w:b/>
          <w:bCs/>
          <w:color w:val="333333"/>
          <w:sz w:val="22"/>
          <w:szCs w:val="22"/>
        </w:rPr>
        <w:t xml:space="preserve">View 5 — Forward pipeline ("What's coming?")</w:t>
      </w:r>
    </w:p>
    <w:p>
      <w:pPr>
        <w:spacing w:after="80" w:before="80"/>
        <w:jc w:val="left"/>
      </w:pPr>
      <w:r>
        <w:rPr>
          <w:rFonts w:ascii="Arial" w:cs="Arial" w:eastAsia="Arial" w:hAnsi="Arial"/>
          <w:b w:val="false"/>
          <w:bCs w:val="false"/>
          <w:i w:val="false"/>
          <w:iCs w:val="false"/>
          <w:color w:val="1A1A1A"/>
          <w:sz w:val="22"/>
          <w:szCs w:val="22"/>
        </w:rPr>
        <w:t xml:space="preserve">Future-dated signals captured by Connect steps with connect_type = forward_intent, weighted by member receptiveness. Aggregated by Member Type and Topic. Enables proactive resource planning.</w:t>
      </w:r>
    </w:p>
    <w:p>
      <w:pPr>
        <w:spacing w:after="80" w:before="80"/>
        <w:jc w:val="left"/>
      </w:pPr>
      <w:r>
        <w:rPr>
          <w:rFonts w:ascii="Arial" w:cs="Arial" w:eastAsia="Arial" w:hAnsi="Arial"/>
          <w:b w:val="false"/>
          <w:bCs w:val="false"/>
          <w:i w:val="false"/>
          <w:iCs w:val="false"/>
          <w:color w:val="1A1A1A"/>
          <w:sz w:val="22"/>
          <w:szCs w:val="22"/>
        </w:rPr>
        <w:t xml:space="preserve">Powered by: forward Signal records (Signals with recency = hypothetical_future).</w:t>
      </w:r>
    </w:p>
    <w:p>
      <w:pPr>
        <w:pStyle w:val="Heading3"/>
        <w:spacing w:after="80" w:before="180"/>
      </w:pPr>
      <w:r>
        <w:rPr>
          <w:rFonts w:ascii="Arial" w:cs="Arial" w:eastAsia="Arial" w:hAnsi="Arial"/>
          <w:b/>
          <w:bCs/>
          <w:color w:val="333333"/>
          <w:sz w:val="22"/>
          <w:szCs w:val="22"/>
        </w:rPr>
        <w:t xml:space="preserve">View 6 — Coverage gaps ("What needs authoring?")</w:t>
      </w:r>
    </w:p>
    <w:p>
      <w:pPr>
        <w:spacing w:after="80" w:before="80"/>
        <w:jc w:val="left"/>
      </w:pPr>
      <w:r>
        <w:rPr>
          <w:rFonts w:ascii="Arial" w:cs="Arial" w:eastAsia="Arial" w:hAnsi="Arial"/>
          <w:b w:val="false"/>
          <w:bCs w:val="false"/>
          <w:i w:val="false"/>
          <w:iCs w:val="false"/>
          <w:color w:val="1A1A1A"/>
          <w:sz w:val="22"/>
          <w:szCs w:val="22"/>
        </w:rPr>
        <w:t xml:space="preserve">Member Types or Topic combinations with high Signal volume but no canonical Growth track targeting them. Drives Growth lead's authoring queue.</w:t>
      </w:r>
    </w:p>
    <w:p>
      <w:pPr>
        <w:spacing w:after="80" w:before="80"/>
        <w:jc w:val="left"/>
      </w:pPr>
      <w:r>
        <w:rPr>
          <w:rFonts w:ascii="Arial" w:cs="Arial" w:eastAsia="Arial" w:hAnsi="Arial"/>
          <w:b w:val="false"/>
          <w:bCs w:val="false"/>
          <w:i w:val="false"/>
          <w:iCs w:val="false"/>
          <w:color w:val="1A1A1A"/>
          <w:sz w:val="22"/>
          <w:szCs w:val="22"/>
        </w:rPr>
        <w:t xml:space="preserve">Powered by: Member Type × Topic Signal counts, joined against Growth track.target_member_types and target_blocker_topics, surfacing combinations with high counts and no matching canonical track.</w:t>
      </w:r>
    </w:p>
    <w:p>
      <w:pPr>
        <w:pStyle w:val="Heading2"/>
        <w:spacing w:after="120" w:before="240"/>
      </w:pPr>
      <w:r>
        <w:rPr>
          <w:rFonts w:ascii="Arial" w:cs="Arial" w:eastAsia="Arial" w:hAnsi="Arial"/>
          <w:b/>
          <w:bCs/>
          <w:color w:val="0F3B4C"/>
          <w:sz w:val="26"/>
          <w:szCs w:val="26"/>
        </w:rPr>
        <w:t xml:space="preserve">5.4 Filters and faceting</w:t>
      </w:r>
    </w:p>
    <w:p>
      <w:pPr>
        <w:spacing w:after="80" w:before="80"/>
        <w:jc w:val="left"/>
      </w:pPr>
      <w:r>
        <w:rPr>
          <w:rFonts w:ascii="Arial" w:cs="Arial" w:eastAsia="Arial" w:hAnsi="Arial"/>
          <w:b w:val="false"/>
          <w:bCs w:val="false"/>
          <w:i w:val="false"/>
          <w:iCs w:val="false"/>
          <w:color w:val="1A1A1A"/>
          <w:sz w:val="22"/>
          <w:szCs w:val="22"/>
        </w:rPr>
        <w:t xml:space="preserve">All views support faceted filtering by Member Type (industry × stage × size), date range, banker, primary concern type, and outcome. The Insight Engine's value comes from the ability to slice — "show me indecision-stalled proposals on LOC products in the past 90 days for Small Caterer · Starting members" is a single composed query.</w:t>
      </w:r>
    </w:p>
    <w:p>
      <w:pPr>
        <w:pStyle w:val="Heading1"/>
        <w:spacing w:after="160" w:before="320"/>
      </w:pPr>
      <w:r>
        <w:rPr>
          <w:rFonts w:ascii="Arial" w:cs="Arial" w:eastAsia="Arial" w:hAnsi="Arial"/>
          <w:b/>
          <w:bCs/>
          <w:color w:val="0F3B4C"/>
          <w:sz w:val="32"/>
          <w:szCs w:val="32"/>
        </w:rPr>
        <w:t xml:space="preserve">6. Through-lines across modules</w:t>
      </w:r>
    </w:p>
    <w:p>
      <w:pPr>
        <w:spacing w:after="80" w:before="80"/>
        <w:jc w:val="left"/>
      </w:pPr>
      <w:r>
        <w:rPr>
          <w:rFonts w:ascii="Arial" w:cs="Arial" w:eastAsia="Arial" w:hAnsi="Arial"/>
          <w:b w:val="false"/>
          <w:bCs w:val="false"/>
          <w:i w:val="false"/>
          <w:iCs w:val="false"/>
          <w:color w:val="1A1A1A"/>
          <w:sz w:val="22"/>
          <w:szCs w:val="22"/>
        </w:rPr>
        <w:t xml:space="preserve">The system's value comes from the coherence of information flow across modules. Six through-lines matter most. Each is a specific data path with traceable origin and effect.</w:t>
      </w:r>
    </w:p>
    <w:p>
      <w:pPr>
        <w:pStyle w:val="Heading3"/>
        <w:spacing w:after="80" w:before="180"/>
      </w:pPr>
      <w:r>
        <w:rPr>
          <w:rFonts w:ascii="Arial" w:cs="Arial" w:eastAsia="Arial" w:hAnsi="Arial"/>
          <w:b/>
          <w:bCs/>
          <w:color w:val="333333"/>
          <w:sz w:val="22"/>
          <w:szCs w:val="22"/>
        </w:rPr>
        <w:t xml:space="preserve">6.1 A Signal captured in Meeting recap appears on Member profile and feeds Insight Engine</w:t>
      </w:r>
    </w:p>
    <w:p>
      <w:pPr>
        <w:spacing w:after="80" w:before="80"/>
        <w:jc w:val="left"/>
      </w:pPr>
      <w:r>
        <w:rPr>
          <w:rFonts w:ascii="Arial" w:cs="Arial" w:eastAsia="Arial" w:hAnsi="Arial"/>
          <w:b w:val="false"/>
          <w:bCs w:val="false"/>
          <w:i w:val="false"/>
          <w:iCs w:val="false"/>
          <w:color w:val="1A1A1A"/>
          <w:sz w:val="22"/>
          <w:szCs w:val="22"/>
        </w:rPr>
        <w:t xml:space="preserve">Banker taps "seasonal cash flow stress" as a blocker during a caterer's debrief. The Signal record is committed. Immediately, the caterer's Member profile shows it in the active signals band. Simultaneously, it's counted in the Insight Engine's rolling blocker leaderboard for the Small Caterer · Starting Member Type. Three distinct user intents — operational, relational, strategic — are served by the same data point with no duplication.</w:t>
      </w:r>
    </w:p>
    <w:p>
      <w:pPr>
        <w:pStyle w:val="Heading3"/>
        <w:spacing w:after="80" w:before="180"/>
      </w:pPr>
      <w:r>
        <w:rPr>
          <w:rFonts w:ascii="Arial" w:cs="Arial" w:eastAsia="Arial" w:hAnsi="Arial"/>
          <w:b/>
          <w:bCs/>
          <w:color w:val="333333"/>
          <w:sz w:val="22"/>
          <w:szCs w:val="22"/>
        </w:rPr>
        <w:t xml:space="preserve">6.2 A Growth track suggestion on Member profile leads to Meeting recap, which leaves Conversation and ActionCards behind</w:t>
      </w:r>
    </w:p>
    <w:p>
      <w:pPr>
        <w:spacing w:after="80" w:before="80"/>
        <w:jc w:val="left"/>
      </w:pPr>
      <w:r>
        <w:rPr>
          <w:rFonts w:ascii="Arial" w:cs="Arial" w:eastAsia="Arial" w:hAnsi="Arial"/>
          <w:b w:val="false"/>
          <w:bCs w:val="false"/>
          <w:i w:val="false"/>
          <w:iCs w:val="false"/>
          <w:color w:val="1A1A1A"/>
          <w:sz w:val="22"/>
          <w:szCs w:val="22"/>
        </w:rPr>
        <w:t xml:space="preserve">Banker opens Jenny's Catering profile. Suggested Growth track is at the top: "Smooth seasonal cash flow with LOC." One click opens Meeting recap with the track loaded. Banker runs the four steps. On save, one Conversation, four Growth step executions, two ActionCards (one follow-up, one nurture), and one Recommendation record commit. All visible immediately on Jenny's profile; all flowing to Insight Engine for performance tracking.</w:t>
      </w:r>
    </w:p>
    <w:p>
      <w:pPr>
        <w:pStyle w:val="Heading3"/>
        <w:spacing w:after="80" w:before="180"/>
      </w:pPr>
      <w:r>
        <w:rPr>
          <w:rFonts w:ascii="Arial" w:cs="Arial" w:eastAsia="Arial" w:hAnsi="Arial"/>
          <w:b/>
          <w:bCs/>
          <w:color w:val="333333"/>
          <w:sz w:val="22"/>
          <w:szCs w:val="22"/>
        </w:rPr>
        <w:t xml:space="preserve">6.3 An Artifact shown in Meeting recap becomes part of Member profile share history</w:t>
      </w:r>
    </w:p>
    <w:p>
      <w:pPr>
        <w:spacing w:after="80" w:before="80"/>
        <w:jc w:val="left"/>
      </w:pPr>
      <w:r>
        <w:rPr>
          <w:rFonts w:ascii="Arial" w:cs="Arial" w:eastAsia="Arial" w:hAnsi="Arial"/>
          <w:b w:val="false"/>
          <w:bCs w:val="false"/>
          <w:i w:val="false"/>
          <w:iCs w:val="false"/>
          <w:color w:val="1A1A1A"/>
          <w:sz w:val="22"/>
          <w:szCs w:val="22"/>
        </w:rPr>
        <w:t xml:space="preserve">When a banker runs a Show step with shared_afterward = true, the Artifact share record is created. The next banker opening this Member's profile sees that Artifact in the share history band, with reaction data attached. Avoids redundancy and supports follow-up.</w:t>
      </w:r>
    </w:p>
    <w:p>
      <w:pPr>
        <w:pStyle w:val="Heading3"/>
        <w:spacing w:after="80" w:before="180"/>
      </w:pPr>
      <w:r>
        <w:rPr>
          <w:rFonts w:ascii="Arial" w:cs="Arial" w:eastAsia="Arial" w:hAnsi="Arial"/>
          <w:b/>
          <w:bCs/>
          <w:color w:val="333333"/>
          <w:sz w:val="22"/>
          <w:szCs w:val="22"/>
        </w:rPr>
        <w:t xml:space="preserve">6.4 An ActionCard closing with a funded outcome updates Growth step and Growth track performance</w:t>
      </w:r>
    </w:p>
    <w:p>
      <w:pPr>
        <w:spacing w:after="80" w:before="80"/>
        <w:jc w:val="left"/>
      </w:pPr>
      <w:r>
        <w:rPr>
          <w:rFonts w:ascii="Arial" w:cs="Arial" w:eastAsia="Arial" w:hAnsi="Arial"/>
          <w:b w:val="false"/>
          <w:bCs w:val="false"/>
          <w:i w:val="false"/>
          <w:iCs w:val="false"/>
          <w:color w:val="1A1A1A"/>
          <w:sz w:val="22"/>
          <w:szCs w:val="22"/>
        </w:rPr>
        <w:t xml:space="preserve">Specialist closes a handoff ActionCard with outcome = funded, funded_product_id = LOC. The card's origin_growth_step_execution_id traces back to a specific Growth step in a specific Growth track. Both Growth step.performance_counts and Growth track.performance_counts increment their funded count overnight. Insight Engine views reflect the change next morning.</w:t>
      </w:r>
    </w:p>
    <w:p>
      <w:pPr>
        <w:pStyle w:val="Heading3"/>
        <w:spacing w:after="80" w:before="180"/>
      </w:pPr>
      <w:r>
        <w:rPr>
          <w:rFonts w:ascii="Arial" w:cs="Arial" w:eastAsia="Arial" w:hAnsi="Arial"/>
          <w:b/>
          <w:bCs/>
          <w:color w:val="333333"/>
          <w:sz w:val="22"/>
          <w:szCs w:val="22"/>
        </w:rPr>
        <w:t xml:space="preserve">6.5 A Member Type's rising Signal becomes a Growth lead authoring prompt</w:t>
      </w:r>
    </w:p>
    <w:p>
      <w:pPr>
        <w:spacing w:after="80" w:before="80"/>
        <w:jc w:val="left"/>
      </w:pPr>
      <w:r>
        <w:rPr>
          <w:rFonts w:ascii="Arial" w:cs="Arial" w:eastAsia="Arial" w:hAnsi="Arial"/>
          <w:b w:val="false"/>
          <w:bCs w:val="false"/>
          <w:i w:val="false"/>
          <w:iCs w:val="false"/>
          <w:color w:val="1A1A1A"/>
          <w:sz w:val="22"/>
          <w:szCs w:val="22"/>
        </w:rPr>
        <w:t xml:space="preserve">Insight Engine view 6 (coverage gaps) flags a high-volume Topic × Member Type combination with no matching canonical Growth track. Growth lead sees this in their queue. They author a draft Growth track — assembling existing canonical Growth steps where possible, drafting new ones where needed — and promote it to canonical when reviewed. The new Growth track surfaces as a suggestion on matching Member profiles immediately.</w:t>
      </w:r>
    </w:p>
    <w:p>
      <w:pPr>
        <w:pStyle w:val="Heading3"/>
        <w:spacing w:after="80" w:before="180"/>
      </w:pPr>
      <w:r>
        <w:rPr>
          <w:rFonts w:ascii="Arial" w:cs="Arial" w:eastAsia="Arial" w:hAnsi="Arial"/>
          <w:b/>
          <w:bCs/>
          <w:color w:val="333333"/>
          <w:sz w:val="22"/>
          <w:szCs w:val="22"/>
        </w:rPr>
        <w:t xml:space="preserve">6.6 A private banker note becomes raw material for canonical knowledge</w:t>
      </w:r>
    </w:p>
    <w:p>
      <w:pPr>
        <w:spacing w:after="80" w:before="80"/>
        <w:jc w:val="left"/>
      </w:pPr>
      <w:r>
        <w:rPr>
          <w:rFonts w:ascii="Arial" w:cs="Arial" w:eastAsia="Arial" w:hAnsi="Arial"/>
          <w:b w:val="false"/>
          <w:bCs w:val="false"/>
          <w:i w:val="false"/>
          <w:iCs w:val="false"/>
          <w:color w:val="1A1A1A"/>
          <w:sz w:val="22"/>
          <w:szCs w:val="22"/>
        </w:rPr>
        <w:t xml:space="preserve">Banker jots "Jenny's husband seems to be the financial decision-maker — include him next time" in private notes. Months later, the Growth lead reviewing private notes across Small Caterer · Starting Members notices a recurring pattern about decision authority. They draft a new Caution-flavored content addition for relevant Growth tracks: "For small caterers, confirm decision authority before proposing." Anonymous and pattern-driven; no specific member's notes ever surface in aggregate views.</w:t>
      </w:r>
    </w:p>
    <w:p>
      <w:pPr>
        <w:pStyle w:val="Heading1"/>
        <w:spacing w:after="160" w:before="320"/>
      </w:pPr>
      <w:r>
        <w:rPr>
          <w:rFonts w:ascii="Arial" w:cs="Arial" w:eastAsia="Arial" w:hAnsi="Arial"/>
          <w:b/>
          <w:bCs/>
          <w:color w:val="0F3B4C"/>
          <w:sz w:val="32"/>
          <w:szCs w:val="32"/>
        </w:rPr>
        <w:t xml:space="preserve">7. Object clustering and governance</w:t>
      </w:r>
    </w:p>
    <w:p>
      <w:pPr>
        <w:spacing w:after="80" w:before="80"/>
        <w:jc w:val="left"/>
      </w:pPr>
      <w:r>
        <w:rPr>
          <w:rFonts w:ascii="Arial" w:cs="Arial" w:eastAsia="Arial" w:hAnsi="Arial"/>
          <w:b w:val="false"/>
          <w:bCs w:val="false"/>
          <w:i w:val="false"/>
          <w:iCs w:val="false"/>
          <w:color w:val="1A1A1A"/>
          <w:sz w:val="22"/>
          <w:szCs w:val="22"/>
        </w:rPr>
        <w:t xml:space="preserve">The eight entities cluster naturally into three families with different change velocity, ownership, and governance treatment. Understanding the clusters separately makes the system easier to reason about; conflating them creates either unacceptable friction (requiring review for routine member data) or unacceptable risk (deploying rule changes without review).</w:t>
      </w:r>
    </w:p>
    <w:p>
      <w:pPr>
        <w:pStyle w:val="Heading2"/>
        <w:spacing w:after="120" w:before="240"/>
      </w:pPr>
      <w:r>
        <w:rPr>
          <w:rFonts w:ascii="Arial" w:cs="Arial" w:eastAsia="Arial" w:hAnsi="Arial"/>
          <w:b/>
          <w:bCs/>
          <w:color w:val="0F3B4C"/>
          <w:sz w:val="26"/>
          <w:szCs w:val="26"/>
        </w:rPr>
        <w:t xml:space="preserve">7.1 The Member cluster</w:t>
      </w:r>
    </w:p>
    <w:p>
      <w:pPr>
        <w:spacing w:after="80" w:before="80"/>
        <w:jc w:val="left"/>
      </w:pPr>
      <w:r>
        <w:rPr>
          <w:rFonts w:ascii="Arial" w:cs="Arial" w:eastAsia="Arial" w:hAnsi="Arial"/>
          <w:b w:val="false"/>
          <w:bCs w:val="false"/>
          <w:i w:val="false"/>
          <w:iCs w:val="false"/>
          <w:color w:val="1A1A1A"/>
          <w:sz w:val="22"/>
          <w:szCs w:val="22"/>
        </w:rPr>
        <w:t xml:space="preserve">Member, Conversation, Signal, ActionCard. High volume, member-specific, governed by member-level privacy rules. Created and modified continuously by bankers in normal work. No editor approval gate; structural integrity preserved by the immutability of Conversation and Signal records.</w:t>
      </w:r>
    </w:p>
    <w:p>
      <w:pPr>
        <w:pStyle w:val="Heading2"/>
        <w:spacing w:after="120" w:before="240"/>
      </w:pPr>
      <w:r>
        <w:rPr>
          <w:rFonts w:ascii="Arial" w:cs="Arial" w:eastAsia="Arial" w:hAnsi="Arial"/>
          <w:b/>
          <w:bCs/>
          <w:color w:val="0F3B4C"/>
          <w:sz w:val="26"/>
          <w:szCs w:val="26"/>
        </w:rPr>
        <w:t xml:space="preserve">7.2 The Knowledge cluster</w:t>
      </w:r>
    </w:p>
    <w:p>
      <w:pPr>
        <w:spacing w:after="80" w:before="80"/>
        <w:jc w:val="left"/>
      </w:pPr>
      <w:r>
        <w:rPr>
          <w:rFonts w:ascii="Arial" w:cs="Arial" w:eastAsia="Arial" w:hAnsi="Arial"/>
          <w:b w:val="false"/>
          <w:bCs w:val="false"/>
          <w:i w:val="false"/>
          <w:iCs w:val="false"/>
          <w:color w:val="1A1A1A"/>
          <w:sz w:val="22"/>
          <w:szCs w:val="22"/>
        </w:rPr>
        <w:t xml:space="preserve">Growth step, Artifact, Growth track. Moderate volume, institutional, editorially curated. Authored by senior RMs and the Growth lead; promoted to canonical only after editor review. This cluster is what makes the system a system — without it, the Member cluster is just structured CRM data.</w:t>
      </w:r>
    </w:p>
    <w:p>
      <w:pPr>
        <w:pStyle w:val="Heading2"/>
        <w:spacing w:after="120" w:before="240"/>
      </w:pPr>
      <w:r>
        <w:rPr>
          <w:rFonts w:ascii="Arial" w:cs="Arial" w:eastAsia="Arial" w:hAnsi="Arial"/>
          <w:b/>
          <w:bCs/>
          <w:color w:val="0F3B4C"/>
          <w:sz w:val="26"/>
          <w:szCs w:val="26"/>
        </w:rPr>
        <w:t xml:space="preserve">7.3 The Aggregation layer</w:t>
      </w:r>
    </w:p>
    <w:p>
      <w:pPr>
        <w:spacing w:after="80" w:before="80"/>
        <w:jc w:val="left"/>
      </w:pPr>
      <w:r>
        <w:rPr>
          <w:rFonts w:ascii="Arial" w:cs="Arial" w:eastAsia="Arial" w:hAnsi="Arial"/>
          <w:b w:val="false"/>
          <w:bCs w:val="false"/>
          <w:i w:val="false"/>
          <w:iCs w:val="false"/>
          <w:color w:val="1A1A1A"/>
          <w:sz w:val="22"/>
          <w:szCs w:val="22"/>
        </w:rPr>
        <w:t xml:space="preserve">Member Type, Topic taxonomy, Industry Family, Product catalog, Rule set. Low volume, configurational. Changed deliberately on quarterly review cadence with formal approval. Treated more like code than data, with versioning and audit trails.</w:t>
      </w:r>
    </w:p>
    <w:p>
      <w:pPr>
        <w:pStyle w:val="Heading2"/>
        <w:spacing w:after="120" w:before="240"/>
      </w:pPr>
      <w:r>
        <w:rPr>
          <w:rFonts w:ascii="Arial" w:cs="Arial" w:eastAsia="Arial" w:hAnsi="Arial"/>
          <w:b/>
          <w:bCs/>
          <w:color w:val="0F3B4C"/>
          <w:sz w:val="26"/>
          <w:szCs w:val="26"/>
        </w:rPr>
        <w:t xml:space="preserve">7.4 Governance implications</w:t>
      </w:r>
    </w:p>
    <w:p>
      <w:pPr>
        <w:spacing w:after="80" w:before="80"/>
        <w:jc w:val="left"/>
      </w:pPr>
      <w:r>
        <w:rPr>
          <w:rFonts w:ascii="Arial" w:cs="Arial" w:eastAsia="Arial" w:hAnsi="Arial"/>
          <w:b w:val="false"/>
          <w:bCs w:val="false"/>
          <w:i w:val="false"/>
          <w:iCs w:val="false"/>
          <w:color w:val="1A1A1A"/>
          <w:sz w:val="22"/>
          <w:szCs w:val="22"/>
        </w:rPr>
        <w:t xml:space="preserve">Each cluster has different deployment cadence and review requirements: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Member cluster</w:t>
      </w:r>
      <w:r>
        <w:rPr>
          <w:rFonts w:ascii="Arial" w:cs="Arial" w:eastAsia="Arial" w:hAnsi="Arial"/>
          <w:b w:val="false"/>
          <w:bCs w:val="false"/>
          <w:i w:val="false"/>
          <w:iCs w:val="false"/>
          <w:color w:val="1A1A1A"/>
          <w:sz w:val="22"/>
          <w:szCs w:val="22"/>
        </w:rPr>
        <w:t xml:space="preserve"> — continuous deployment via the application; banker workflow drives volume.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Knowledge cluster</w:t>
      </w:r>
      <w:r>
        <w:rPr>
          <w:rFonts w:ascii="Arial" w:cs="Arial" w:eastAsia="Arial" w:hAnsi="Arial"/>
          <w:b w:val="false"/>
          <w:bCs w:val="false"/>
          <w:i w:val="false"/>
          <w:iCs w:val="false"/>
          <w:color w:val="1A1A1A"/>
          <w:sz w:val="22"/>
          <w:szCs w:val="22"/>
        </w:rPr>
        <w:t xml:space="preserve"> — Growth lead approval gate for promotion to canonical; new content visible to bankers within hours of approval.</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Aggregation layer</w:t>
      </w:r>
      <w:r>
        <w:rPr>
          <w:rFonts w:ascii="Arial" w:cs="Arial" w:eastAsia="Arial" w:hAnsi="Arial"/>
          <w:b w:val="false"/>
          <w:bCs w:val="false"/>
          <w:i w:val="false"/>
          <w:iCs w:val="false"/>
          <w:color w:val="1A1A1A"/>
          <w:sz w:val="22"/>
          <w:szCs w:val="22"/>
        </w:rPr>
        <w:t xml:space="preserve"> — quarterly review with formal sign-off; changes treated as releases.</w:t>
      </w:r>
    </w:p>
    <w:p>
      <w:pPr>
        <w:pStyle w:val="Heading1"/>
        <w:spacing w:after="160" w:before="320"/>
      </w:pPr>
      <w:r>
        <w:rPr>
          <w:rFonts w:ascii="Arial" w:cs="Arial" w:eastAsia="Arial" w:hAnsi="Arial"/>
          <w:b/>
          <w:bCs/>
          <w:color w:val="0F3B4C"/>
          <w:sz w:val="32"/>
          <w:szCs w:val="32"/>
        </w:rPr>
        <w:t xml:space="preserve">8. Automation versus banker judgment</w:t>
      </w:r>
    </w:p>
    <w:p>
      <w:pPr>
        <w:spacing w:after="80" w:before="80"/>
        <w:jc w:val="left"/>
      </w:pPr>
      <w:r>
        <w:rPr>
          <w:rFonts w:ascii="Arial" w:cs="Arial" w:eastAsia="Arial" w:hAnsi="Arial"/>
          <w:b w:val="false"/>
          <w:bCs w:val="false"/>
          <w:i w:val="false"/>
          <w:iCs w:val="false"/>
          <w:color w:val="1A1A1A"/>
          <w:sz w:val="22"/>
          <w:szCs w:val="22"/>
        </w:rPr>
        <w:t xml:space="preserve">The elegance of the banker-facing experience depends on the system doing substantial work behind the scenes. The discipline is drawing the line correctly: automate what the system can do reliably and traceably; leave to the banker everything that requires judgment, credibility, or relationship understanding.</w:t>
      </w:r>
    </w:p>
    <w:p>
      <w:pPr>
        <w:pStyle w:val="Heading2"/>
        <w:spacing w:after="120" w:before="240"/>
      </w:pPr>
      <w:r>
        <w:rPr>
          <w:rFonts w:ascii="Arial" w:cs="Arial" w:eastAsia="Arial" w:hAnsi="Arial"/>
          <w:b/>
          <w:bCs/>
          <w:color w:val="0F3B4C"/>
          <w:sz w:val="26"/>
          <w:szCs w:val="26"/>
        </w:rPr>
        <w:t xml:space="preserve">8.1 What the system automates</w:t>
      </w:r>
    </w:p>
    <w:p>
      <w:pPr>
        <w:pStyle w:val="Heading3"/>
        <w:spacing w:after="80" w:before="180"/>
      </w:pPr>
      <w:r>
        <w:rPr>
          <w:rFonts w:ascii="Arial" w:cs="Arial" w:eastAsia="Arial" w:hAnsi="Arial"/>
          <w:b/>
          <w:bCs/>
          <w:color w:val="333333"/>
          <w:sz w:val="22"/>
          <w:szCs w:val="22"/>
        </w:rPr>
        <w:t xml:space="preserve">Growth track suggestion at Member profile open</w:t>
      </w:r>
    </w:p>
    <w:p>
      <w:pPr>
        <w:spacing w:after="80" w:before="80"/>
        <w:jc w:val="left"/>
      </w:pPr>
      <w:r>
        <w:rPr>
          <w:rFonts w:ascii="Arial" w:cs="Arial" w:eastAsia="Arial" w:hAnsi="Arial"/>
          <w:b w:val="false"/>
          <w:bCs w:val="false"/>
          <w:i w:val="false"/>
          <w:iCs w:val="false"/>
          <w:color w:val="1A1A1A"/>
          <w:sz w:val="22"/>
          <w:szCs w:val="22"/>
        </w:rPr>
        <w:t xml:space="preserve">Member's persona_cell intersected with active Signals, filtered through canonical Rules, ranked by Growth track performance counts. Returns top one or two suggestions. Banker sees a short list, not a research project.</w:t>
      </w:r>
    </w:p>
    <w:p>
      <w:pPr>
        <w:pStyle w:val="Heading3"/>
        <w:spacing w:after="80" w:before="180"/>
      </w:pPr>
      <w:r>
        <w:rPr>
          <w:rFonts w:ascii="Arial" w:cs="Arial" w:eastAsia="Arial" w:hAnsi="Arial"/>
          <w:b/>
          <w:bCs/>
          <w:color w:val="333333"/>
          <w:sz w:val="22"/>
          <w:szCs w:val="22"/>
        </w:rPr>
        <w:t xml:space="preserve">ActionCard generation from Growth step execution</w:t>
      </w:r>
    </w:p>
    <w:p>
      <w:pPr>
        <w:spacing w:after="80" w:before="80"/>
        <w:jc w:val="left"/>
      </w:pPr>
      <w:r>
        <w:rPr>
          <w:rFonts w:ascii="Arial" w:cs="Arial" w:eastAsia="Arial" w:hAnsi="Arial"/>
          <w:b w:val="false"/>
          <w:bCs w:val="false"/>
          <w:i w:val="false"/>
          <w:iCs w:val="false"/>
          <w:color w:val="1A1A1A"/>
          <w:sz w:val="22"/>
          <w:szCs w:val="22"/>
        </w:rPr>
        <w:t xml:space="preserve">As the banker executes Resolve and Connect steps, the system auto-drafts ActionCards with appropriate type, owner, rationale, suggested opening, and due_date — inferred from step metadata, Member's Member Type, and captured Signals. Banker reviews and approves; no banker types a rationale from scratch unless they want to.</w:t>
      </w:r>
    </w:p>
    <w:p>
      <w:pPr>
        <w:pStyle w:val="Heading3"/>
        <w:spacing w:after="80" w:before="180"/>
      </w:pPr>
      <w:r>
        <w:rPr>
          <w:rFonts w:ascii="Arial" w:cs="Arial" w:eastAsia="Arial" w:hAnsi="Arial"/>
          <w:b/>
          <w:bCs/>
          <w:color w:val="333333"/>
          <w:sz w:val="22"/>
          <w:szCs w:val="22"/>
        </w:rPr>
        <w:t xml:space="preserve">Specialist routing</w:t>
      </w:r>
    </w:p>
    <w:p>
      <w:pPr>
        <w:spacing w:after="80" w:before="80"/>
        <w:jc w:val="left"/>
      </w:pPr>
      <w:r>
        <w:rPr>
          <w:rFonts w:ascii="Arial" w:cs="Arial" w:eastAsia="Arial" w:hAnsi="Arial"/>
          <w:b w:val="false"/>
          <w:bCs w:val="false"/>
          <w:i w:val="false"/>
          <w:iCs w:val="false"/>
          <w:color w:val="1A1A1A"/>
          <w:sz w:val="22"/>
          <w:szCs w:val="22"/>
        </w:rPr>
        <w:t xml:space="preserve">Handoff-type ActionCards route to the specialist role matching the Move's relevant product category. Routing is by role, not by named individual — Banker.roles determines who is eligible to receive. The primary banker stays the relationship owner; the specialist has a time-boxed engagement. When the specialist closes the card, the outcome flows back to the primary banker.</w:t>
      </w:r>
    </w:p>
    <w:p>
      <w:pPr>
        <w:pStyle w:val="Heading3"/>
        <w:spacing w:after="80" w:before="180"/>
      </w:pPr>
      <w:r>
        <w:rPr>
          <w:rFonts w:ascii="Arial" w:cs="Arial" w:eastAsia="Arial" w:hAnsi="Arial"/>
          <w:b/>
          <w:bCs/>
          <w:color w:val="333333"/>
          <w:sz w:val="22"/>
          <w:szCs w:val="22"/>
        </w:rPr>
        <w:t xml:space="preserve">Aging and expiry</w:t>
      </w:r>
    </w:p>
    <w:p>
      <w:pPr>
        <w:spacing w:after="80" w:before="80"/>
        <w:jc w:val="left"/>
      </w:pPr>
      <w:r>
        <w:rPr>
          <w:rFonts w:ascii="Arial" w:cs="Arial" w:eastAsia="Arial" w:hAnsi="Arial"/>
          <w:b w:val="false"/>
          <w:bCs w:val="false"/>
          <w:i w:val="false"/>
          <w:iCs w:val="false"/>
          <w:color w:val="1A1A1A"/>
          <w:sz w:val="22"/>
          <w:szCs w:val="22"/>
        </w:rPr>
        <w:t xml:space="preserve">ActionCards visibly age past due_at; Signals auto-expire if not reaffirmed in subsequent Conversations; Growth steps and tracks with review_due dates surface to the editor's queue; stale Artifacts requiring re-review get flagged. The banker never has to remember to clean up.</w:t>
      </w:r>
    </w:p>
    <w:p>
      <w:pPr>
        <w:pStyle w:val="Heading3"/>
        <w:spacing w:after="80" w:before="180"/>
      </w:pPr>
      <w:r>
        <w:rPr>
          <w:rFonts w:ascii="Arial" w:cs="Arial" w:eastAsia="Arial" w:hAnsi="Arial"/>
          <w:b/>
          <w:bCs/>
          <w:color w:val="333333"/>
          <w:sz w:val="22"/>
          <w:szCs w:val="22"/>
        </w:rPr>
        <w:t xml:space="preserve">Provenance tracking</w:t>
      </w:r>
    </w:p>
    <w:p>
      <w:pPr>
        <w:spacing w:after="80" w:before="80"/>
        <w:jc w:val="left"/>
      </w:pPr>
      <w:r>
        <w:rPr>
          <w:rFonts w:ascii="Arial" w:cs="Arial" w:eastAsia="Arial" w:hAnsi="Arial"/>
          <w:b w:val="false"/>
          <w:bCs w:val="false"/>
          <w:i w:val="false"/>
          <w:iCs w:val="false"/>
          <w:color w:val="1A1A1A"/>
          <w:sz w:val="22"/>
          <w:szCs w:val="22"/>
        </w:rPr>
        <w:t xml:space="preserve">Every Recommendation, ActionCard, and outcome carries its provenance via the chain documented in Data Framework §7.1. No separate compliance tooling required.</w:t>
      </w:r>
    </w:p>
    <w:p>
      <w:pPr>
        <w:pStyle w:val="Heading3"/>
        <w:spacing w:after="80" w:before="180"/>
      </w:pPr>
      <w:r>
        <w:rPr>
          <w:rFonts w:ascii="Arial" w:cs="Arial" w:eastAsia="Arial" w:hAnsi="Arial"/>
          <w:b/>
          <w:bCs/>
          <w:color w:val="333333"/>
          <w:sz w:val="22"/>
          <w:szCs w:val="22"/>
        </w:rPr>
        <w:t xml:space="preserve">Rollups and leaderboards</w:t>
      </w:r>
    </w:p>
    <w:p>
      <w:pPr>
        <w:spacing w:after="80" w:before="80"/>
        <w:jc w:val="left"/>
      </w:pPr>
      <w:r>
        <w:rPr>
          <w:rFonts w:ascii="Arial" w:cs="Arial" w:eastAsia="Arial" w:hAnsi="Arial"/>
          <w:b w:val="false"/>
          <w:bCs w:val="false"/>
          <w:i w:val="false"/>
          <w:iCs w:val="false"/>
          <w:color w:val="1A1A1A"/>
          <w:sz w:val="22"/>
          <w:szCs w:val="22"/>
        </w:rPr>
        <w:t xml:space="preserve">Member Type-level and book-level aggregates are computed nightly: top rising blockers, Growth track performance, indecision rates, coverage gaps. These populate the Insight Engine without anyone running reports.</w:t>
      </w:r>
    </w:p>
    <w:p>
      <w:pPr>
        <w:pStyle w:val="Heading2"/>
        <w:spacing w:after="120" w:before="240"/>
      </w:pPr>
      <w:r>
        <w:rPr>
          <w:rFonts w:ascii="Arial" w:cs="Arial" w:eastAsia="Arial" w:hAnsi="Arial"/>
          <w:b/>
          <w:bCs/>
          <w:color w:val="0F3B4C"/>
          <w:sz w:val="26"/>
          <w:szCs w:val="26"/>
        </w:rPr>
        <w:t xml:space="preserve">8.2 What the banker owns</w:t>
      </w:r>
    </w:p>
    <w:p>
      <w:pPr>
        <w:pStyle w:val="Heading3"/>
        <w:spacing w:after="80" w:before="180"/>
      </w:pPr>
      <w:r>
        <w:rPr>
          <w:rFonts w:ascii="Arial" w:cs="Arial" w:eastAsia="Arial" w:hAnsi="Arial"/>
          <w:b/>
          <w:bCs/>
          <w:color w:val="333333"/>
          <w:sz w:val="22"/>
          <w:szCs w:val="22"/>
        </w:rPr>
        <w:t xml:space="preserve">Whether to run a suggested Growth track at all</w:t>
      </w:r>
    </w:p>
    <w:p>
      <w:pPr>
        <w:spacing w:after="80" w:before="80"/>
        <w:jc w:val="left"/>
      </w:pPr>
      <w:r>
        <w:rPr>
          <w:rFonts w:ascii="Arial" w:cs="Arial" w:eastAsia="Arial" w:hAnsi="Arial"/>
          <w:b w:val="false"/>
          <w:bCs w:val="false"/>
          <w:i w:val="false"/>
          <w:iCs w:val="false"/>
          <w:color w:val="1A1A1A"/>
          <w:sz w:val="22"/>
          <w:szCs w:val="22"/>
        </w:rPr>
        <w:t xml:space="preserve">The system suggests; the banker decides. A suggested track may be inappropriate given context the banker knows and the system doesn't. The banker can always decline, and the decline-with-reason feedback sharpens the rule set over time.</w:t>
      </w:r>
    </w:p>
    <w:p>
      <w:pPr>
        <w:pStyle w:val="Heading3"/>
        <w:spacing w:after="80" w:before="180"/>
      </w:pPr>
      <w:r>
        <w:rPr>
          <w:rFonts w:ascii="Arial" w:cs="Arial" w:eastAsia="Arial" w:hAnsi="Arial"/>
          <w:b/>
          <w:bCs/>
          <w:color w:val="333333"/>
          <w:sz w:val="22"/>
          <w:szCs w:val="22"/>
        </w:rPr>
        <w:t xml:space="preserve">How to phrase the step in their own voice</w:t>
      </w:r>
    </w:p>
    <w:p>
      <w:pPr>
        <w:spacing w:after="80" w:before="80"/>
        <w:jc w:val="left"/>
      </w:pPr>
      <w:r>
        <w:rPr>
          <w:rFonts w:ascii="Arial" w:cs="Arial" w:eastAsia="Arial" w:hAnsi="Arial"/>
          <w:b w:val="false"/>
          <w:bCs w:val="false"/>
          <w:i w:val="false"/>
          <w:iCs w:val="false"/>
          <w:color w:val="1A1A1A"/>
          <w:sz w:val="22"/>
          <w:szCs w:val="22"/>
        </w:rPr>
        <w:t xml:space="preserve">Growth steps include variant phrasings, but the banker delivers them in their own natural style. No teleprompter. The system provides structure; the banker provides voice. This is what prevents the consultative moment from feeling like a call-center script.</w:t>
      </w:r>
    </w:p>
    <w:p>
      <w:pPr>
        <w:pStyle w:val="Heading3"/>
        <w:spacing w:after="80" w:before="180"/>
      </w:pPr>
      <w:r>
        <w:rPr>
          <w:rFonts w:ascii="Arial" w:cs="Arial" w:eastAsia="Arial" w:hAnsi="Arial"/>
          <w:b/>
          <w:bCs/>
          <w:color w:val="333333"/>
          <w:sz w:val="22"/>
          <w:szCs w:val="22"/>
        </w:rPr>
        <w:t xml:space="preserve">Whether to capture optional fields</w:t>
      </w:r>
    </w:p>
    <w:p>
      <w:pPr>
        <w:spacing w:after="80" w:before="80"/>
        <w:jc w:val="left"/>
      </w:pPr>
      <w:r>
        <w:rPr>
          <w:rFonts w:ascii="Arial" w:cs="Arial" w:eastAsia="Arial" w:hAnsi="Arial"/>
          <w:b w:val="false"/>
          <w:bCs w:val="false"/>
          <w:i w:val="false"/>
          <w:iCs w:val="false"/>
          <w:color w:val="1A1A1A"/>
          <w:sz w:val="22"/>
          <w:szCs w:val="22"/>
        </w:rPr>
        <w:t xml:space="preserve">Moment quote, banker note, their_words, member_phrasing — all optional. When to use them, what to record, how is the banker's call. These are never aggregated to dashboards without editor curation.</w:t>
      </w:r>
    </w:p>
    <w:p>
      <w:pPr>
        <w:pStyle w:val="Heading3"/>
        <w:spacing w:after="80" w:before="180"/>
      </w:pPr>
      <w:r>
        <w:rPr>
          <w:rFonts w:ascii="Arial" w:cs="Arial" w:eastAsia="Arial" w:hAnsi="Arial"/>
          <w:b/>
          <w:bCs/>
          <w:color w:val="333333"/>
          <w:sz w:val="22"/>
          <w:szCs w:val="22"/>
        </w:rPr>
        <w:t xml:space="preserve">Fit assessment and credit judgment</w:t>
      </w:r>
    </w:p>
    <w:p>
      <w:pPr>
        <w:spacing w:after="80" w:before="80"/>
        <w:jc w:val="left"/>
      </w:pPr>
      <w:r>
        <w:rPr>
          <w:rFonts w:ascii="Arial" w:cs="Arial" w:eastAsia="Arial" w:hAnsi="Arial"/>
          <w:b w:val="false"/>
          <w:bCs w:val="false"/>
          <w:i w:val="false"/>
          <w:iCs w:val="false"/>
          <w:color w:val="1A1A1A"/>
          <w:sz w:val="22"/>
          <w:szCs w:val="22"/>
        </w:rPr>
        <w:t xml:space="preserve">The system never makes a credit decision, never computes a pre-approval, and never tells the banker a member "should" get a product. Recommendations are about which conversation to have, not which outcome to reach. Final fit assessment goes through the standard credit process.</w:t>
      </w:r>
    </w:p>
    <w:p>
      <w:pPr>
        <w:pStyle w:val="Heading3"/>
        <w:spacing w:after="80" w:before="180"/>
      </w:pPr>
      <w:r>
        <w:rPr>
          <w:rFonts w:ascii="Arial" w:cs="Arial" w:eastAsia="Arial" w:hAnsi="Arial"/>
          <w:b/>
          <w:bCs/>
          <w:color w:val="333333"/>
          <w:sz w:val="22"/>
          <w:szCs w:val="22"/>
        </w:rPr>
        <w:t xml:space="preserve">Relationship continuity</w:t>
      </w:r>
    </w:p>
    <w:p>
      <w:pPr>
        <w:spacing w:after="80" w:before="80"/>
        <w:jc w:val="left"/>
      </w:pPr>
      <w:r>
        <w:rPr>
          <w:rFonts w:ascii="Arial" w:cs="Arial" w:eastAsia="Arial" w:hAnsi="Arial"/>
          <w:b w:val="false"/>
          <w:bCs w:val="false"/>
          <w:i w:val="false"/>
          <w:iCs w:val="false"/>
          <w:color w:val="1A1A1A"/>
          <w:sz w:val="22"/>
          <w:szCs w:val="22"/>
        </w:rPr>
        <w:t xml:space="preserve">When a handoff is appropriate versus when the primary banker should stay fully engaged, when to escalate to a manager, when to suggest external referral — all human calls. The system surfaces signals and suggestions; the banker judges the relationship.</w:t>
      </w:r>
    </w:p>
    <w:p>
      <w:pPr>
        <w:pStyle w:val="Heading1"/>
        <w:spacing w:after="160" w:before="320"/>
      </w:pPr>
      <w:r>
        <w:rPr>
          <w:rFonts w:ascii="Arial" w:cs="Arial" w:eastAsia="Arial" w:hAnsi="Arial"/>
          <w:b/>
          <w:bCs/>
          <w:color w:val="0F3B4C"/>
          <w:sz w:val="32"/>
          <w:szCs w:val="32"/>
        </w:rPr>
        <w:t xml:space="preserve">9. Worked example — Jenny's Catering, end to end</w:t>
      </w:r>
    </w:p>
    <w:p>
      <w:pPr>
        <w:spacing w:after="80" w:before="80"/>
        <w:jc w:val="left"/>
      </w:pPr>
      <w:r>
        <w:rPr>
          <w:rFonts w:ascii="Arial" w:cs="Arial" w:eastAsia="Arial" w:hAnsi="Arial"/>
          <w:b w:val="false"/>
          <w:bCs w:val="false"/>
          <w:i w:val="false"/>
          <w:iCs w:val="false"/>
          <w:color w:val="1A1A1A"/>
          <w:sz w:val="22"/>
          <w:szCs w:val="22"/>
        </w:rPr>
        <w:t xml:space="preserve">A concrete walkthrough showing how the system operates across all three modules in a single member arc. The example is fictional but the data shapes are exactly what v1 produces.</w:t>
      </w:r>
    </w:p>
    <w:p>
      <w:pPr>
        <w:pStyle w:val="Heading3"/>
        <w:spacing w:after="80" w:before="180"/>
      </w:pPr>
      <w:r>
        <w:rPr>
          <w:rFonts w:ascii="Arial" w:cs="Arial" w:eastAsia="Arial" w:hAnsi="Arial"/>
          <w:b/>
          <w:bCs/>
          <w:color w:val="333333"/>
          <w:sz w:val="22"/>
          <w:szCs w:val="22"/>
        </w:rPr>
        <w:t xml:space="preserve">Step 1 — Initial conversation</w:t>
      </w:r>
    </w:p>
    <w:p>
      <w:pPr>
        <w:spacing w:after="80" w:before="80"/>
        <w:jc w:val="left"/>
      </w:pPr>
      <w:r>
        <w:rPr>
          <w:rFonts w:ascii="Arial" w:cs="Arial" w:eastAsia="Arial" w:hAnsi="Arial"/>
          <w:b w:val="false"/>
          <w:bCs w:val="false"/>
          <w:i/>
          <w:iCs/>
          <w:color w:val="1A1A1A"/>
          <w:sz w:val="22"/>
          <w:szCs w:val="22"/>
        </w:rPr>
        <w:t xml:space="preserve">The banker meets with Jenny, owner of Jenny's Catering (Small Caterer · Starting), for a 30-minute check-in. Jenny mentions that last month was rough on cash flow because a corporate client paid 45 days late on a large event.</w:t>
      </w:r>
    </w:p>
    <w:p>
      <w:pPr>
        <w:pStyle w:val="Heading3"/>
        <w:spacing w:after="80" w:before="180"/>
      </w:pPr>
      <w:r>
        <w:rPr>
          <w:rFonts w:ascii="Arial" w:cs="Arial" w:eastAsia="Arial" w:hAnsi="Arial"/>
          <w:b/>
          <w:bCs/>
          <w:color w:val="333333"/>
          <w:sz w:val="22"/>
          <w:szCs w:val="22"/>
        </w:rPr>
        <w:t xml:space="preserve">Step 2 — Meeting recap</w:t>
      </w:r>
    </w:p>
    <w:p>
      <w:pPr>
        <w:spacing w:after="80" w:before="80"/>
        <w:jc w:val="left"/>
      </w:pPr>
      <w:r>
        <w:rPr>
          <w:rFonts w:ascii="Arial" w:cs="Arial" w:eastAsia="Arial" w:hAnsi="Arial"/>
          <w:b w:val="false"/>
          <w:bCs w:val="false"/>
          <w:i/>
          <w:iCs/>
          <w:color w:val="1A1A1A"/>
          <w:sz w:val="22"/>
          <w:szCs w:val="22"/>
        </w:rPr>
        <w:t xml:space="preserve">After the meeting, the banker opens Meeting recap on her phone. The system shows two suggested Growth tracks based on Jenny's Member Type and current Signals — "Smooth seasonal cash flow with LOC for small caterer" and "Receivables timing diagnosis." Banker selects the seasonal track. Runs four steps:</w:t>
      </w:r>
    </w:p>
    <w:p>
      <w:pPr>
        <w:pStyle w:val="ListParagraph"/>
        <w:numPr>
          <w:ilvl w:val="0"/>
          <w:numId w:val="2"/>
        </w:numPr>
        <w:spacing w:after="40" w:before="40"/>
      </w:pPr>
      <w:r>
        <w:rPr>
          <w:rFonts w:ascii="Arial" w:cs="Arial" w:eastAsia="Arial" w:hAnsi="Arial"/>
          <w:b/>
          <w:bCs/>
          <w:i/>
          <w:iCs/>
          <w:color w:val="1A1A1A"/>
          <w:sz w:val="22"/>
          <w:szCs w:val="22"/>
        </w:rPr>
        <w:t xml:space="preserve">Ask step</w:t>
      </w:r>
      <w:r>
        <w:rPr>
          <w:rFonts w:ascii="Arial" w:cs="Arial" w:eastAsia="Arial" w:hAnsi="Arial"/>
          <w:b w:val="false"/>
          <w:bCs w:val="false"/>
          <w:i/>
          <w:iCs/>
          <w:color w:val="1A1A1A"/>
          <w:sz w:val="22"/>
          <w:szCs w:val="22"/>
        </w:rPr>
        <w:t xml:space="preserve"> — captures Signal {type: blocker, topic: blocker.cash_flow_seasonal, severity: painful, recency: acute_recent, their_words: "this corporate client paying late really hit us"}.</w:t>
      </w:r>
    </w:p>
    <w:p>
      <w:pPr>
        <w:pStyle w:val="ListParagraph"/>
        <w:numPr>
          <w:ilvl w:val="0"/>
          <w:numId w:val="2"/>
        </w:numPr>
        <w:spacing w:after="40" w:before="40"/>
      </w:pPr>
      <w:r>
        <w:rPr>
          <w:rFonts w:ascii="Arial" w:cs="Arial" w:eastAsia="Arial" w:hAnsi="Arial"/>
          <w:b/>
          <w:bCs/>
          <w:i/>
          <w:iCs/>
          <w:color w:val="1A1A1A"/>
          <w:sz w:val="22"/>
          <w:szCs w:val="22"/>
        </w:rPr>
        <w:t xml:space="preserve">Size step</w:t>
      </w:r>
      <w:r>
        <w:rPr>
          <w:rFonts w:ascii="Arial" w:cs="Arial" w:eastAsia="Arial" w:hAnsi="Arial"/>
          <w:b w:val="false"/>
          <w:bCs w:val="false"/>
          <w:i/>
          <w:iCs/>
          <w:color w:val="1A1A1A"/>
          <w:sz w:val="22"/>
          <w:szCs w:val="22"/>
        </w:rPr>
        <w:t xml:space="preserve"> — adds {magnitude: 12000, unit: dollars, frequency: quarterly, feeling: frustrated} to that Signal.</w:t>
      </w:r>
    </w:p>
    <w:p>
      <w:pPr>
        <w:pStyle w:val="ListParagraph"/>
        <w:numPr>
          <w:ilvl w:val="0"/>
          <w:numId w:val="2"/>
        </w:numPr>
        <w:spacing w:after="40" w:before="40"/>
      </w:pPr>
      <w:r>
        <w:rPr>
          <w:rFonts w:ascii="Arial" w:cs="Arial" w:eastAsia="Arial" w:hAnsi="Arial"/>
          <w:b/>
          <w:bCs/>
          <w:i/>
          <w:iCs/>
          <w:color w:val="1A1A1A"/>
          <w:sz w:val="22"/>
          <w:szCs w:val="22"/>
        </w:rPr>
        <w:t xml:space="preserve">Show step</w:t>
      </w:r>
      <w:r>
        <w:rPr>
          <w:rFonts w:ascii="Arial" w:cs="Arial" w:eastAsia="Arial" w:hAnsi="Arial"/>
          <w:b w:val="false"/>
          <w:bCs w:val="false"/>
          <w:i/>
          <w:iCs/>
          <w:color w:val="1A1A1A"/>
          <w:sz w:val="22"/>
          <w:szCs w:val="22"/>
        </w:rPr>
        <w:t xml:space="preserve"> — pulls up the seasonal smoothing Visual parameterized with Jenny's revenue band, captures {member_reaction: engaged, shared_afterward: true}.</w:t>
      </w:r>
    </w:p>
    <w:p>
      <w:pPr>
        <w:pStyle w:val="ListParagraph"/>
        <w:numPr>
          <w:ilvl w:val="0"/>
          <w:numId w:val="2"/>
        </w:numPr>
        <w:spacing w:after="40" w:before="40"/>
      </w:pPr>
      <w:r>
        <w:rPr>
          <w:rFonts w:ascii="Arial" w:cs="Arial" w:eastAsia="Arial" w:hAnsi="Arial"/>
          <w:b/>
          <w:bCs/>
          <w:i/>
          <w:iCs/>
          <w:color w:val="1A1A1A"/>
          <w:sz w:val="22"/>
          <w:szCs w:val="22"/>
        </w:rPr>
        <w:t xml:space="preserve">Resolve step</w:t>
      </w:r>
      <w:r>
        <w:rPr>
          <w:rFonts w:ascii="Arial" w:cs="Arial" w:eastAsia="Arial" w:hAnsi="Arial"/>
          <w:b w:val="false"/>
          <w:bCs w:val="false"/>
          <w:i/>
          <w:iCs/>
          <w:color w:val="1A1A1A"/>
          <w:sz w:val="22"/>
          <w:szCs w:val="22"/>
        </w:rPr>
        <w:t xml:space="preserve"> — captures {resolution_type: indecision, indecision_type: authority, member_stated_reason: "want to discuss with husband"}, drops a follow-up ActionCard due in 7 days with rationale "de-risk by sending Visual + offer joint call."</w:t>
      </w:r>
    </w:p>
    <w:p>
      <w:pPr>
        <w:spacing w:after="80" w:before="80"/>
        <w:jc w:val="left"/>
      </w:pPr>
      <w:r>
        <w:rPr>
          <w:rFonts w:ascii="Arial" w:cs="Arial" w:eastAsia="Arial" w:hAnsi="Arial"/>
          <w:b w:val="false"/>
          <w:bCs w:val="false"/>
          <w:i/>
          <w:iCs/>
          <w:color w:val="1A1A1A"/>
          <w:sz w:val="22"/>
          <w:szCs w:val="22"/>
        </w:rPr>
        <w:t xml:space="preserve">Banker reviews the auto-generated card, approves, saves. Total elapsed time: 70 seconds.</w:t>
      </w:r>
    </w:p>
    <w:p>
      <w:pPr>
        <w:pStyle w:val="Heading3"/>
        <w:spacing w:after="80" w:before="180"/>
      </w:pPr>
      <w:r>
        <w:rPr>
          <w:rFonts w:ascii="Arial" w:cs="Arial" w:eastAsia="Arial" w:hAnsi="Arial"/>
          <w:b/>
          <w:bCs/>
          <w:color w:val="333333"/>
          <w:sz w:val="22"/>
          <w:szCs w:val="22"/>
        </w:rPr>
        <w:t xml:space="preserve">Step 3 — Member profile next morning</w:t>
      </w:r>
    </w:p>
    <w:p>
      <w:pPr>
        <w:spacing w:after="80" w:before="80"/>
        <w:jc w:val="left"/>
      </w:pPr>
      <w:r>
        <w:rPr>
          <w:rFonts w:ascii="Arial" w:cs="Arial" w:eastAsia="Arial" w:hAnsi="Arial"/>
          <w:b w:val="false"/>
          <w:bCs w:val="false"/>
          <w:i/>
          <w:iCs/>
          <w:color w:val="1A1A1A"/>
          <w:sz w:val="22"/>
          <w:szCs w:val="22"/>
        </w:rPr>
        <w:t xml:space="preserve">Banker opens Jenny's Member profile to prep for outreach. The page shows updated active signals (with "$12K quarterly impact" prominently displayed on the seasonal cash flow stress signal), the Visual share history (yesterday's seasonal smoothing chart, marked as shared), and the open follow-up card (due in 6 days). The summary band reads naturally as a paragraph capturing the relationship's current state.</w:t>
      </w:r>
    </w:p>
    <w:p>
      <w:pPr>
        <w:pStyle w:val="Heading3"/>
        <w:spacing w:after="80" w:before="180"/>
      </w:pPr>
      <w:r>
        <w:rPr>
          <w:rFonts w:ascii="Arial" w:cs="Arial" w:eastAsia="Arial" w:hAnsi="Arial"/>
          <w:b/>
          <w:bCs/>
          <w:color w:val="333333"/>
          <w:sz w:val="22"/>
          <w:szCs w:val="22"/>
        </w:rPr>
        <w:t xml:space="preserve">Step 4 — De-risking outreach</w:t>
      </w:r>
    </w:p>
    <w:p>
      <w:pPr>
        <w:spacing w:after="80" w:before="80"/>
        <w:jc w:val="left"/>
      </w:pPr>
      <w:r>
        <w:rPr>
          <w:rFonts w:ascii="Arial" w:cs="Arial" w:eastAsia="Arial" w:hAnsi="Arial"/>
          <w:b w:val="false"/>
          <w:bCs w:val="false"/>
          <w:i/>
          <w:iCs/>
          <w:color w:val="1A1A1A"/>
          <w:sz w:val="22"/>
          <w:szCs w:val="22"/>
        </w:rPr>
        <w:t xml:space="preserve">Banker sends Jenny a personalized email referencing the conversation, attaching the previously-shared Visual, and offering a joint call with Jenny's husband next week. ActionCard status moves to in_progress.</w:t>
      </w:r>
    </w:p>
    <w:p>
      <w:pPr>
        <w:pStyle w:val="Heading3"/>
        <w:spacing w:after="80" w:before="180"/>
      </w:pPr>
      <w:r>
        <w:rPr>
          <w:rFonts w:ascii="Arial" w:cs="Arial" w:eastAsia="Arial" w:hAnsi="Arial"/>
          <w:b/>
          <w:bCs/>
          <w:color w:val="333333"/>
          <w:sz w:val="22"/>
          <w:szCs w:val="22"/>
        </w:rPr>
        <w:t xml:space="preserve">Step 5 — Joint call and decision</w:t>
      </w:r>
    </w:p>
    <w:p>
      <w:pPr>
        <w:spacing w:after="80" w:before="80"/>
        <w:jc w:val="left"/>
      </w:pPr>
      <w:r>
        <w:rPr>
          <w:rFonts w:ascii="Arial" w:cs="Arial" w:eastAsia="Arial" w:hAnsi="Arial"/>
          <w:b w:val="false"/>
          <w:bCs w:val="false"/>
          <w:i/>
          <w:iCs/>
          <w:color w:val="1A1A1A"/>
          <w:sz w:val="22"/>
          <w:szCs w:val="22"/>
        </w:rPr>
        <w:t xml:space="preserve">Two weeks later, Jenny and her husband join a video call. Banker walks through the Visual together, answers questions about repayment flexibility, accepts a smaller proposal ($60K instead of $75K). Banker runs Meeting recap with a different Growth track — "Close on LOC after spousal review." Resolve step now captures {resolution_type: committed, next_step: "submit application materials," due_date: 5 days out}.</w:t>
      </w:r>
    </w:p>
    <w:p>
      <w:pPr>
        <w:pStyle w:val="Heading3"/>
        <w:spacing w:after="80" w:before="180"/>
      </w:pPr>
      <w:r>
        <w:rPr>
          <w:rFonts w:ascii="Arial" w:cs="Arial" w:eastAsia="Arial" w:hAnsi="Arial"/>
          <w:b/>
          <w:bCs/>
          <w:color w:val="333333"/>
          <w:sz w:val="22"/>
          <w:szCs w:val="22"/>
        </w:rPr>
        <w:t xml:space="preserve">Step 6 — Funded outcome and learning loop</w:t>
      </w:r>
    </w:p>
    <w:p>
      <w:pPr>
        <w:spacing w:after="80" w:before="80"/>
        <w:jc w:val="left"/>
      </w:pPr>
      <w:r>
        <w:rPr>
          <w:rFonts w:ascii="Arial" w:cs="Arial" w:eastAsia="Arial" w:hAnsi="Arial"/>
          <w:b w:val="false"/>
          <w:bCs w:val="false"/>
          <w:i/>
          <w:iCs/>
          <w:color w:val="1A1A1A"/>
          <w:sz w:val="22"/>
          <w:szCs w:val="22"/>
        </w:rPr>
        <w:t xml:space="preserve">Application moves through underwriting; ten days after the joint call, the LOC funds. ActionCard outcome = funded, funded_product_id = LOC. The Growth step executions that produced this arc — the Show step that landed well, the Propose step with structure = phased, the Resolve step that correctly diagnosed authority indecision — all increment their performance counts.</w:t>
      </w:r>
    </w:p>
    <w:p>
      <w:pPr>
        <w:spacing w:after="80" w:before="80"/>
        <w:jc w:val="left"/>
      </w:pPr>
      <w:r>
        <w:rPr>
          <w:rFonts w:ascii="Arial" w:cs="Arial" w:eastAsia="Arial" w:hAnsi="Arial"/>
          <w:b w:val="false"/>
          <w:bCs w:val="false"/>
          <w:i/>
          <w:iCs/>
          <w:color w:val="1A1A1A"/>
          <w:sz w:val="22"/>
          <w:szCs w:val="22"/>
        </w:rPr>
        <w:t xml:space="preserve">Six months later, when a similar Small Caterer · Starting member shows up with similar Signals, the rule engine ranks the same Growth tracks higher with sharpened confidence. The playbook has learned — not through opaque ML, but through transparent, auditable rule-adjustment backed by outcome data.</w:t>
      </w:r>
    </w:p>
    <w:p>
      <w:pPr>
        <w:pStyle w:val="Heading2"/>
        <w:spacing w:after="120" w:before="240"/>
      </w:pPr>
      <w:r>
        <w:rPr>
          <w:rFonts w:ascii="Arial" w:cs="Arial" w:eastAsia="Arial" w:hAnsi="Arial"/>
          <w:b/>
          <w:bCs/>
          <w:color w:val="0F3B4C"/>
          <w:sz w:val="26"/>
          <w:szCs w:val="26"/>
        </w:rPr>
        <w:t xml:space="preserve">9.1 What this example illustrates</w:t>
      </w:r>
    </w:p>
    <w:p>
      <w:pPr>
        <w:spacing w:after="80" w:before="80"/>
        <w:jc w:val="left"/>
      </w:pPr>
      <w:r>
        <w:rPr>
          <w:rFonts w:ascii="Arial" w:cs="Arial" w:eastAsia="Arial" w:hAnsi="Arial"/>
          <w:b w:val="false"/>
          <w:bCs w:val="false"/>
          <w:i w:val="false"/>
          <w:iCs w:val="false"/>
          <w:color w:val="1A1A1A"/>
          <w:sz w:val="22"/>
          <w:szCs w:val="22"/>
        </w:rPr>
        <w:t xml:space="preserve">Six properties of the system worth highlighting from the worked example: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Single-entry, multi-use</w:t>
      </w:r>
      <w:r>
        <w:rPr>
          <w:rFonts w:ascii="Arial" w:cs="Arial" w:eastAsia="Arial" w:hAnsi="Arial"/>
          <w:b w:val="false"/>
          <w:bCs w:val="false"/>
          <w:i w:val="false"/>
          <w:iCs w:val="false"/>
          <w:color w:val="1A1A1A"/>
          <w:sz w:val="22"/>
          <w:szCs w:val="22"/>
        </w:rPr>
        <w:t xml:space="preserve"> — the banker entered data once in Meeting recap; it appeared in Member profile and Insight Engine immediately.</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Indecision typed as a first-class outcome</w:t>
      </w:r>
      <w:r>
        <w:rPr>
          <w:rFonts w:ascii="Arial" w:cs="Arial" w:eastAsia="Arial" w:hAnsi="Arial"/>
          <w:b w:val="false"/>
          <w:bCs w:val="false"/>
          <w:i w:val="false"/>
          <w:iCs w:val="false"/>
          <w:color w:val="1A1A1A"/>
          <w:sz w:val="22"/>
          <w:szCs w:val="22"/>
        </w:rPr>
        <w:t xml:space="preserve"> — "want to discuss with husband" was captured as authority indecision and routed to a different ActionCard type than a flat decline.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Visual as the consultative anchor</w:t>
      </w:r>
      <w:r>
        <w:rPr>
          <w:rFonts w:ascii="Arial" w:cs="Arial" w:eastAsia="Arial" w:hAnsi="Arial"/>
          <w:b w:val="false"/>
          <w:bCs w:val="false"/>
          <w:i w:val="false"/>
          <w:iCs w:val="false"/>
          <w:color w:val="1A1A1A"/>
          <w:sz w:val="22"/>
          <w:szCs w:val="22"/>
        </w:rPr>
        <w:t xml:space="preserve"> — the seasonal smoothing chart did the intellectual lifting; the banker brought warmth and adaptation.</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Provenance preserved end to end</w:t>
      </w:r>
      <w:r>
        <w:rPr>
          <w:rFonts w:ascii="Arial" w:cs="Arial" w:eastAsia="Arial" w:hAnsi="Arial"/>
          <w:b w:val="false"/>
          <w:bCs w:val="false"/>
          <w:i w:val="false"/>
          <w:iCs w:val="false"/>
          <w:color w:val="1A1A1A"/>
          <w:sz w:val="22"/>
          <w:szCs w:val="22"/>
        </w:rPr>
        <w:t xml:space="preserve"> — the funded outcome traces back through ActionCard, Growth step, Growth track, Rule, and Signals captured in two different Conversations.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Performance feedback without ML</w:t>
      </w:r>
      <w:r>
        <w:rPr>
          <w:rFonts w:ascii="Arial" w:cs="Arial" w:eastAsia="Arial" w:hAnsi="Arial"/>
          <w:b w:val="false"/>
          <w:bCs w:val="false"/>
          <w:i w:val="false"/>
          <w:iCs w:val="false"/>
          <w:color w:val="1A1A1A"/>
          <w:sz w:val="22"/>
          <w:szCs w:val="22"/>
        </w:rPr>
        <w:t xml:space="preserve"> — the rule engine reranks based on outcome data and updates confidence bands, but the underlying logic stays inspectable.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Relationship continuity</w:t>
      </w:r>
      <w:r>
        <w:rPr>
          <w:rFonts w:ascii="Arial" w:cs="Arial" w:eastAsia="Arial" w:hAnsi="Arial"/>
          <w:b w:val="false"/>
          <w:bCs w:val="false"/>
          <w:i w:val="false"/>
          <w:iCs w:val="false"/>
          <w:color w:val="1A1A1A"/>
          <w:sz w:val="22"/>
          <w:szCs w:val="22"/>
        </w:rPr>
        <w:t xml:space="preserve"> — the primary banker stayed primary; the specialist (underwriting) had a time-boxed engagement.</w:t>
      </w:r>
    </w:p>
    <w:p>
      <w:pPr>
        <w:pStyle w:val="Heading1"/>
        <w:spacing w:after="160" w:before="320"/>
      </w:pPr>
      <w:r>
        <w:rPr>
          <w:rFonts w:ascii="Arial" w:cs="Arial" w:eastAsia="Arial" w:hAnsi="Arial"/>
          <w:b/>
          <w:bCs/>
          <w:color w:val="0F3B4C"/>
          <w:sz w:val="32"/>
          <w:szCs w:val="32"/>
        </w:rPr>
        <w:t xml:space="preserve">10. Open questions worth resolving before build</w:t>
      </w:r>
    </w:p>
    <w:p>
      <w:pPr>
        <w:spacing w:after="80" w:before="80"/>
        <w:jc w:val="left"/>
      </w:pPr>
      <w:r>
        <w:rPr>
          <w:rFonts w:ascii="Arial" w:cs="Arial" w:eastAsia="Arial" w:hAnsi="Arial"/>
          <w:b w:val="false"/>
          <w:bCs w:val="false"/>
          <w:i w:val="false"/>
          <w:iCs w:val="false"/>
          <w:color w:val="1A1A1A"/>
          <w:sz w:val="22"/>
          <w:szCs w:val="22"/>
        </w:rPr>
        <w:t xml:space="preserve">Five questions that materially affect the v1 build and should be answered in conversation with the EVP of Lending.</w:t>
      </w:r>
    </w:p>
    <w:p>
      <w:pPr>
        <w:pStyle w:val="Heading3"/>
        <w:spacing w:after="80" w:before="180"/>
      </w:pPr>
      <w:r>
        <w:rPr>
          <w:rFonts w:ascii="Arial" w:cs="Arial" w:eastAsia="Arial" w:hAnsi="Arial"/>
          <w:b/>
          <w:bCs/>
          <w:color w:val="333333"/>
          <w:sz w:val="22"/>
          <w:szCs w:val="22"/>
        </w:rPr>
        <w:t xml:space="preserve">HubSpot tier commitment</w:t>
      </w:r>
    </w:p>
    <w:p>
      <w:pPr>
        <w:spacing w:after="80" w:before="80"/>
        <w:jc w:val="left"/>
      </w:pPr>
      <w:r>
        <w:rPr>
          <w:rFonts w:ascii="Arial" w:cs="Arial" w:eastAsia="Arial" w:hAnsi="Arial"/>
          <w:b w:val="false"/>
          <w:bCs w:val="false"/>
          <w:i w:val="false"/>
          <w:iCs w:val="false"/>
          <w:color w:val="1A1A1A"/>
          <w:sz w:val="22"/>
          <w:szCs w:val="22"/>
        </w:rPr>
        <w:t xml:space="preserve">UI Extensions and Custom Objects require HubSpot Sales or Service Hub Enterprise. Pro tier makes the native-HubSpot approach unavailable. What tier is Blaze planning to commit to?</w:t>
      </w:r>
    </w:p>
    <w:p>
      <w:pPr>
        <w:pStyle w:val="Heading3"/>
        <w:spacing w:after="80" w:before="180"/>
      </w:pPr>
      <w:r>
        <w:rPr>
          <w:rFonts w:ascii="Arial" w:cs="Arial" w:eastAsia="Arial" w:hAnsi="Arial"/>
          <w:b/>
          <w:bCs/>
          <w:color w:val="333333"/>
          <w:sz w:val="22"/>
          <w:szCs w:val="22"/>
        </w:rPr>
        <w:t xml:space="preserve">Growth lead role staffing</w:t>
      </w:r>
    </w:p>
    <w:p>
      <w:pPr>
        <w:spacing w:after="80" w:before="80"/>
        <w:jc w:val="left"/>
      </w:pPr>
      <w:r>
        <w:rPr>
          <w:rFonts w:ascii="Arial" w:cs="Arial" w:eastAsia="Arial" w:hAnsi="Arial"/>
          <w:b w:val="false"/>
          <w:bCs w:val="false"/>
          <w:i w:val="false"/>
          <w:iCs w:val="false"/>
          <w:color w:val="1A1A1A"/>
          <w:sz w:val="22"/>
          <w:szCs w:val="22"/>
        </w:rPr>
        <w:t xml:space="preserve">The role is non-negotiable for the system to work. Should it be a senior RM at 25% time, a dedicated lending-ops hire, or a rotating responsibility? Each has implications for neutrality, RM buy-in, and cost.</w:t>
      </w:r>
    </w:p>
    <w:p>
      <w:pPr>
        <w:pStyle w:val="Heading3"/>
        <w:spacing w:after="80" w:before="180"/>
      </w:pPr>
      <w:r>
        <w:rPr>
          <w:rFonts w:ascii="Arial" w:cs="Arial" w:eastAsia="Arial" w:hAnsi="Arial"/>
          <w:b/>
          <w:bCs/>
          <w:color w:val="333333"/>
          <w:sz w:val="22"/>
          <w:szCs w:val="22"/>
        </w:rPr>
        <w:t xml:space="preserve">Incentive alignment for senior RM contribution</w:t>
      </w:r>
    </w:p>
    <w:p>
      <w:pPr>
        <w:spacing w:after="80" w:before="80"/>
        <w:jc w:val="left"/>
      </w:pPr>
      <w:r>
        <w:rPr>
          <w:rFonts w:ascii="Arial" w:cs="Arial" w:eastAsia="Arial" w:hAnsi="Arial"/>
          <w:b w:val="false"/>
          <w:bCs w:val="false"/>
          <w:i w:val="false"/>
          <w:iCs w:val="false"/>
          <w:color w:val="1A1A1A"/>
          <w:sz w:val="22"/>
          <w:szCs w:val="22"/>
        </w:rPr>
        <w:t xml:space="preserve">Senior RM contribution to the Knowledge cluster depends on behavioral incentives, not just tool affordances. What piece of compensation, recognition, or career progression ties to playbook contribution? Without this, the cluster will be thin regardless of how good the tool is.</w:t>
      </w:r>
    </w:p>
    <w:p>
      <w:pPr>
        <w:pStyle w:val="Heading3"/>
        <w:spacing w:after="80" w:before="180"/>
      </w:pPr>
      <w:r>
        <w:rPr>
          <w:rFonts w:ascii="Arial" w:cs="Arial" w:eastAsia="Arial" w:hAnsi="Arial"/>
          <w:b/>
          <w:bCs/>
          <w:color w:val="333333"/>
          <w:sz w:val="22"/>
          <w:szCs w:val="22"/>
        </w:rPr>
        <w:t xml:space="preserve">Core system integration path</w:t>
      </w:r>
    </w:p>
    <w:p>
      <w:pPr>
        <w:spacing w:after="80" w:before="80"/>
        <w:jc w:val="left"/>
      </w:pPr>
      <w:r>
        <w:rPr>
          <w:rFonts w:ascii="Arial" w:cs="Arial" w:eastAsia="Arial" w:hAnsi="Arial"/>
          <w:b w:val="false"/>
          <w:bCs w:val="false"/>
          <w:i w:val="false"/>
          <w:iCs w:val="false"/>
          <w:color w:val="1A1A1A"/>
          <w:sz w:val="22"/>
          <w:szCs w:val="22"/>
        </w:rPr>
        <w:t xml:space="preserve">Products held, balances, and activity data must flow from Blaze's core (Symitar, Jack Henry, or whichever is in place) into the Member object. SFTP file drop nightly, API integration, or middleware? This determines freshness of context and timing of Growth track suggestions.</w:t>
      </w:r>
    </w:p>
    <w:p>
      <w:pPr>
        <w:pStyle w:val="Heading3"/>
        <w:spacing w:after="80" w:before="180"/>
      </w:pPr>
      <w:r>
        <w:rPr>
          <w:rFonts w:ascii="Arial" w:cs="Arial" w:eastAsia="Arial" w:hAnsi="Arial"/>
          <w:b/>
          <w:bCs/>
          <w:color w:val="333333"/>
          <w:sz w:val="22"/>
          <w:szCs w:val="22"/>
        </w:rPr>
        <w:t xml:space="preserve">First Member Type buildout</w:t>
      </w:r>
    </w:p>
    <w:p>
      <w:pPr>
        <w:spacing w:after="80" w:before="80"/>
        <w:jc w:val="left"/>
      </w:pPr>
      <w:r>
        <w:rPr>
          <w:rFonts w:ascii="Arial" w:cs="Arial" w:eastAsia="Arial" w:hAnsi="Arial"/>
          <w:b w:val="false"/>
          <w:bCs w:val="false"/>
          <w:i w:val="false"/>
          <w:iCs w:val="false"/>
          <w:color w:val="1A1A1A"/>
          <w:sz w:val="22"/>
          <w:szCs w:val="22"/>
        </w:rPr>
        <w:t xml:space="preserve">Thirty to fifty Member Types is the eventual target. V1 demo-ready build is more like four Member Types with one fully fleshed Growth track each. Proposed: Small Caterer · Starting, Dental Practice · Growing, General Contractor · Growing, Manufacturer · Established. Alternative selections welcome — criterion is demo coverage, not book coverage.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Blaze Member Signals · Module and Data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3B4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B4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Blaze Member Signals · Module and Data Flow</dc:title>
  <dc:creator>Blaze Member Signals design</dc:creator>
  <dc:description>Blaze Member Signals design documentation.</dc:description>
  <cp:lastModifiedBy>Un-named</cp:lastModifiedBy>
  <cp:revision>1</cp:revision>
  <dcterms:created xsi:type="dcterms:W3CDTF">2026-04-25T00:46:36.874Z</dcterms:created>
  <dcterms:modified xsi:type="dcterms:W3CDTF">2026-04-25T00:46:36.875Z</dcterms:modified>
</cp:coreProperties>
</file>

<file path=docProps/custom.xml><?xml version="1.0" encoding="utf-8"?>
<Properties xmlns="http://schemas.openxmlformats.org/officeDocument/2006/custom-properties" xmlns:vt="http://schemas.openxmlformats.org/officeDocument/2006/docPropsVTypes"/>
</file>