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tcMar>
              <w:top w:type="dxa" w:w="70"/>
              <w:left w:type="dxa" w:w="110"/>
              <w:bottom w:type="dxa" w:w="70"/>
              <w:right w:type="dxa" w:w="110"/>
            </w:tcMar>
            <w:vAlign w:val="top"/>
          </w:tcPr>
          <w:p>
            <w:pPr>
              <w:keepNext w:val="false"/>
              <w:bidi w:val="false"/>
              <w:spacing w:after="40" w:before="0" w:line="250"/>
              <w:jc w:val="left"/>
            </w:pPr>
            <w:r>
              <w:rPr>
                <w:rFonts w:ascii="Arial" w:cs="Arial" w:eastAsia="Arial" w:hAnsi="Arial"/>
                <w:b/>
                <w:bCs/>
                <w:i w:val="false"/>
                <w:iCs w:val="false"/>
                <w:color w:val="16535B"/>
                <w:sz w:val="28"/>
                <w:szCs w:val="28"/>
                <w:rtl w:val="false"/>
              </w:rPr>
              <w:t xml:space="preserve">Credit Appraisal Memorandum</w:t>
            </w:r>
          </w:p>
          <w:p>
            <w:pPr>
              <w:keepNext w:val="false"/>
              <w:bidi w:val="false"/>
              <w:spacing w:after="0" w:before="0" w:line="250"/>
              <w:jc w:val="left"/>
            </w:pPr>
            <w:r>
              <w:rPr>
                <w:rFonts w:ascii="Arial" w:cs="Arial" w:eastAsia="Arial" w:hAnsi="Arial"/>
                <w:b w:val="false"/>
                <w:bCs w:val="false"/>
                <w:i w:val="false"/>
                <w:iCs w:val="false"/>
                <w:color w:val="708090"/>
                <w:sz w:val="17"/>
                <w:szCs w:val="17"/>
                <w:rtl w:val="false"/>
              </w:rPr>
              <w:t xml:space="preserve">INTERNAL — not to be disclosed to the applicant or the dealer</w:t>
            </w:r>
          </w:p>
        </w:tc>
        <w:tc>
          <w:tcPr>
            <w:tcW w:type="dxa" w:w="4953"/>
            <w:tcMar>
              <w:top w:type="dxa" w:w="70"/>
              <w:left w:type="dxa" w:w="110"/>
              <w:bottom w:type="dxa" w:w="70"/>
              <w:right w:type="dxa" w:w="110"/>
            </w:tcMar>
            <w:vAlign w:val="top"/>
          </w:tcPr>
          <w:p>
            <w:pPr>
              <w:keepNext w:val="false"/>
              <w:bidi/>
              <w:spacing w:after="40" w:before="0" w:line="250"/>
              <w:jc w:val="right"/>
            </w:pPr>
            <w:r>
              <w:rPr>
                <w:rFonts w:ascii="Arial" w:cs="Arial" w:eastAsia="Arial" w:hAnsi="Arial"/>
                <w:b/>
                <w:bCs/>
                <w:i w:val="false"/>
                <w:iCs w:val="false"/>
                <w:color w:val="16535B"/>
                <w:sz w:val="28"/>
                <w:szCs w:val="28"/>
                <w:rtl/>
              </w:rPr>
              <w:t xml:space="preserve">مذكرة التقييم الائتماني</w:t>
            </w:r>
          </w:p>
          <w:p>
            <w:pPr>
              <w:keepNext w:val="false"/>
              <w:bidi/>
              <w:spacing w:after="0" w:before="0" w:line="250"/>
              <w:jc w:val="right"/>
            </w:pPr>
            <w:r>
              <w:rPr>
                <w:rFonts w:ascii="Arial" w:cs="Arial" w:eastAsia="Arial" w:hAnsi="Arial"/>
                <w:b w:val="false"/>
                <w:bCs w:val="false"/>
                <w:i w:val="false"/>
                <w:iCs w:val="false"/>
                <w:color w:val="708090"/>
                <w:sz w:val="17"/>
                <w:szCs w:val="17"/>
                <w:rtl/>
              </w:rPr>
              <w:t xml:space="preserve">داخلي — لا يفصح عنه لمقدم الطلب أو الوكيل</w:t>
            </w:r>
          </w:p>
        </w:tc>
      </w:tr>
    </w:tbl>
    <w:p>
      <w:pPr>
        <w:pBdr>
          <w:bottom w:val="single" w:color="00CFA2" w:sz="12"/>
        </w:pBdr>
        <w:spacing w:after="200" w:before="4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1500"/>
        <w:gridCol w:w="3450"/>
        <w:gridCol w:w="1500"/>
        <w:gridCol w:w="3456"/>
      </w:tblGrid>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TEMPLATE ID</w:t>
            </w:r>
          </w:p>
        </w:tc>
        <w:tc>
          <w:tcPr>
            <w:tcW w:type="dxa" w:w="345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BLX-TPL-004</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VERSION</w:t>
            </w:r>
          </w:p>
        </w:tc>
        <w:tc>
          <w:tcPr>
            <w:tcW w:type="dxa" w:w="345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1.1</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OWNER</w:t>
            </w:r>
          </w:p>
        </w:tc>
        <w:tc>
          <w:tcPr>
            <w:tcW w:type="dxa" w:w="345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BloX Credit Risk</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STATUS</w:t>
            </w:r>
          </w:p>
        </w:tc>
        <w:tc>
          <w:tcPr>
            <w:tcW w:type="dxa" w:w="345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Final</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708090"/>
                <w:sz w:val="15"/>
                <w:szCs w:val="15"/>
                <w:rtl w:val="false"/>
              </w:rPr>
              <w:t xml:space="preserve">SIGN-OFF GATE</w:t>
            </w:r>
          </w:p>
        </w:tc>
        <w:tc>
          <w:tcPr>
            <w:tcW w:type="dxa" w:w="8406"/>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5"/>
                <w:szCs w:val="15"/>
                <w:rtl w:val="false"/>
              </w:rPr>
              <w:t xml:space="preserve">Chief Credit Officer · aligned to BloX Credit Risk Management Policy</w:t>
            </w:r>
          </w:p>
        </w:tc>
      </w:tr>
    </w:tbl>
    <w:p>
      <w:pPr>
        <w:spacing w:after="14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INTERNAL DOCUMENT</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This memorandum must never render in the customer portal, the dealer portal, or any customer-facing communication. Access is restricted to Credit, Risk, Compliance, Internal Audit and the approving authority.</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مستند داخلي</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لا يجوز إظهار هذه المذكرة في بوابة العملاء أو بوابة الوكلاء أو أي مراسلة موجهة للعميل. ويقتصر الاطلاع عليها على الائتمان والمخاطر والالتزام والتدقيق الداخلي وصاحب صلاحية الاعتماد.</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 Facility Summary</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 ملخص التسهيل</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CAM Reference</w:t>
            </w:r>
          </w:p>
          <w:p>
            <w:pPr>
              <w:keepNext w:val="false"/>
              <w:bidi/>
              <w:spacing w:after="0" w:before="0" w:line="250"/>
              <w:jc w:val="right"/>
            </w:pPr>
            <w:r>
              <w:rPr>
                <w:rFonts w:ascii="Arial" w:cs="Arial" w:eastAsia="Arial" w:hAnsi="Arial"/>
                <w:b/>
                <w:bCs/>
                <w:i w:val="false"/>
                <w:iCs w:val="false"/>
                <w:color w:val="16535B"/>
                <w:sz w:val="17"/>
                <w:szCs w:val="17"/>
                <w:rtl/>
              </w:rPr>
              <w:t xml:space="preserve">رقم المذكرة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{{CAM.Ref}}</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Application No.</w:t>
            </w:r>
          </w:p>
          <w:p>
            <w:pPr>
              <w:keepNext w:val="false"/>
              <w:bidi/>
              <w:spacing w:after="0" w:before="0" w:line="250"/>
              <w:jc w:val="right"/>
            </w:pPr>
            <w:r>
              <w:rPr>
                <w:rFonts w:ascii="Arial" w:cs="Arial" w:eastAsia="Arial" w:hAnsi="Arial"/>
                <w:b/>
                <w:bCs/>
                <w:i w:val="false"/>
                <w:iCs w:val="false"/>
                <w:color w:val="16535B"/>
                <w:sz w:val="17"/>
                <w:szCs w:val="17"/>
                <w:rtl/>
              </w:rPr>
              <w:t xml:space="preserve">رقم الطلب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{{Application.Number}}</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Applicant</w:t>
            </w:r>
          </w:p>
          <w:p>
            <w:pPr>
              <w:keepNext w:val="false"/>
              <w:bidi/>
              <w:spacing w:after="0" w:before="0" w:line="250"/>
              <w:jc w:val="right"/>
            </w:pPr>
            <w:r>
              <w:rPr>
                <w:rFonts w:ascii="Arial" w:cs="Arial" w:eastAsia="Arial" w:hAnsi="Arial"/>
                <w:b/>
                <w:bCs/>
                <w:i w:val="false"/>
                <w:iCs w:val="false"/>
                <w:color w:val="16535B"/>
                <w:sz w:val="17"/>
                <w:szCs w:val="17"/>
                <w:rtl/>
              </w:rPr>
              <w:t xml:space="preserve">مقدم الطلب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{{Customer.FullNameEN}}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Qatar ID No.</w:t>
            </w:r>
          </w:p>
          <w:p>
            <w:pPr>
              <w:keepNext w:val="false"/>
              <w:bidi/>
              <w:spacing w:after="0" w:before="0" w:line="250"/>
              <w:jc w:val="right"/>
            </w:pPr>
            <w:r>
              <w:rPr>
                <w:rFonts w:ascii="Arial" w:cs="Arial" w:eastAsia="Arial" w:hAnsi="Arial"/>
                <w:b/>
                <w:bCs/>
                <w:i w:val="false"/>
                <w:iCs w:val="false"/>
                <w:color w:val="16535B"/>
                <w:sz w:val="17"/>
                <w:szCs w:val="17"/>
                <w:rtl/>
              </w:rPr>
              <w:t xml:space="preserve">رقم البطاقة الشخصية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{{Customer.QID}}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Product</w:t>
            </w:r>
          </w:p>
          <w:p>
            <w:pPr>
              <w:keepNext w:val="false"/>
              <w:bidi/>
              <w:spacing w:after="0" w:before="0" w:line="250"/>
              <w:jc w:val="right"/>
            </w:pPr>
            <w:r>
              <w:rPr>
                <w:rFonts w:ascii="Arial" w:cs="Arial" w:eastAsia="Arial" w:hAnsi="Arial"/>
                <w:b/>
                <w:bCs/>
                <w:i w:val="false"/>
                <w:iCs w:val="false"/>
                <w:color w:val="16535B"/>
                <w:sz w:val="17"/>
                <w:szCs w:val="17"/>
                <w:rtl/>
              </w:rPr>
              <w:t xml:space="preserve">المنتج</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Diminishing Musharakah + Ijarah</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 condition</w:t>
            </w:r>
          </w:p>
          <w:p>
            <w:pPr>
              <w:keepNext w:val="false"/>
              <w:bidi/>
              <w:spacing w:after="0" w:before="0" w:line="250"/>
              <w:jc w:val="right"/>
            </w:pPr>
            <w:r>
              <w:rPr>
                <w:rFonts w:ascii="Arial" w:cs="Arial" w:eastAsia="Arial" w:hAnsi="Arial"/>
                <w:b/>
                <w:bCs/>
                <w:i w:val="false"/>
                <w:iCs w:val="false"/>
                <w:color w:val="16535B"/>
                <w:sz w:val="17"/>
                <w:szCs w:val="17"/>
                <w:rtl/>
              </w:rPr>
              <w:t xml:space="preserve">حالة المركبة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{{Vehicle.Condition}}</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w:t>
            </w:r>
          </w:p>
          <w:p>
            <w:pPr>
              <w:keepNext w:val="false"/>
              <w:bidi/>
              <w:spacing w:after="0" w:before="0" w:line="250"/>
              <w:jc w:val="right"/>
            </w:pPr>
            <w:r>
              <w:rPr>
                <w:rFonts w:ascii="Arial" w:cs="Arial" w:eastAsia="Arial" w:hAnsi="Arial"/>
                <w:b/>
                <w:bCs/>
                <w:i w:val="false"/>
                <w:iCs w:val="false"/>
                <w:color w:val="16535B"/>
                <w:sz w:val="17"/>
                <w:szCs w:val="17"/>
                <w:rtl/>
              </w:rPr>
              <w:t xml:space="preserve">المركبة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{{Vehicle.Make}}</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{{Vehicle.Model}}</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{{Vehicle.Year}}</w:t>
            </w:r>
            <w:r>
              <w:rPr>
                <w:rFonts w:ascii="Arial" w:cs="Arial" w:eastAsia="Arial" w:hAnsi="Arial"/>
                <w:b w:val="false"/>
                <w:bCs w:val="false"/>
                <w:i w:val="false"/>
                <w:iCs w:val="false"/>
                <w:color w:val="1F2933"/>
                <w:sz w:val="18"/>
                <w:szCs w:val="18"/>
                <w:rtl w:val="false"/>
              </w:rPr>
              <w:t xml:space="preserve"> · VIN </w:t>
            </w:r>
            <w:r>
              <w:rPr>
                <w:rFonts w:ascii="Arial" w:cs="Arial" w:eastAsia="Arial" w:hAnsi="Arial"/>
                <w:b/>
                <w:bCs/>
                <w:i w:val="false"/>
                <w:iCs w:val="false"/>
                <w:color w:val="16535B"/>
                <w:sz w:val="18"/>
                <w:szCs w:val="18"/>
                <w:rtl w:val="false"/>
              </w:rPr>
              <w:t xml:space="preserve">{{Vehicle.VIN}}</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vehicle cost</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تكلفة المركبة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{{Price.TotalCost}}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Independent valuation</w:t>
            </w:r>
          </w:p>
          <w:p>
            <w:pPr>
              <w:keepNext w:val="false"/>
              <w:bidi/>
              <w:spacing w:after="0" w:before="0" w:line="250"/>
              <w:jc w:val="right"/>
            </w:pPr>
            <w:r>
              <w:rPr>
                <w:rFonts w:ascii="Arial" w:cs="Arial" w:eastAsia="Arial" w:hAnsi="Arial"/>
                <w:b/>
                <w:bCs/>
                <w:i w:val="false"/>
                <w:iCs w:val="false"/>
                <w:color w:val="16535B"/>
                <w:sz w:val="17"/>
                <w:szCs w:val="17"/>
                <w:rtl/>
              </w:rPr>
              <w:t xml:space="preserve">التقييم المستقل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{{Vehicle.ValuationAmount}}</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{{Vehicle.ValuationSource}}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Customer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العميل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{{Price.CustomerContribution}}</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{{Ownership.CustomerOpeningPct}}</w:t>
            </w:r>
            <w:r>
              <w:rPr>
                <w:rFonts w:ascii="Arial" w:cs="Arial" w:eastAsia="Arial" w:hAnsi="Arial"/>
                <w:b w:val="false"/>
                <w:bCs w:val="false"/>
                <w:i w:val="false"/>
                <w:iCs w:val="false"/>
                <w:color w:val="1F2933"/>
                <w:sz w:val="18"/>
                <w:szCs w:val="18"/>
                <w:rtl w:val="false"/>
              </w:rPr>
              <w:t xml:space="preserv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BloX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بلوكس</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{{Price.BloXContribution}}</w:t>
            </w:r>
            <w:r>
              <w:rPr>
                <w:rFonts w:ascii="Arial" w:cs="Arial" w:eastAsia="Arial" w:hAnsi="Arial"/>
                <w:b w:val="false"/>
                <w:bCs w:val="false"/>
                <w:i w:val="false"/>
                <w:iCs w:val="false"/>
                <w:color w:val="1F2933"/>
                <w:sz w:val="18"/>
                <w:szCs w:val="18"/>
                <w:rtl w:val="false"/>
              </w:rPr>
              <w:t xml:space="preserve"> (</w:t>
            </w:r>
            <w:r>
              <w:rPr>
                <w:rFonts w:ascii="Arial" w:cs="Arial" w:eastAsia="Arial" w:hAnsi="Arial"/>
                <w:b/>
                <w:bCs/>
                <w:i w:val="false"/>
                <w:iCs w:val="false"/>
                <w:color w:val="16535B"/>
                <w:sz w:val="18"/>
                <w:szCs w:val="18"/>
                <w:rtl w:val="false"/>
              </w:rPr>
              <w:t xml:space="preserve">{{Ownership.BloXOpeningPct}}</w:t>
            </w:r>
            <w:r>
              <w:rPr>
                <w:rFonts w:ascii="Arial" w:cs="Arial" w:eastAsia="Arial" w:hAnsi="Arial"/>
                <w:b w:val="false"/>
                <w:bCs w:val="false"/>
                <w:i w:val="false"/>
                <w:iCs w:val="false"/>
                <w:color w:val="1F2933"/>
                <w:sz w:val="18"/>
                <w:szCs w:val="18"/>
                <w:rtl w:val="false"/>
              </w:rPr>
              <w:t xml:space="preserv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Loan-to-value</w:t>
            </w:r>
          </w:p>
          <w:p>
            <w:pPr>
              <w:keepNext w:val="false"/>
              <w:bidi/>
              <w:spacing w:after="0" w:before="0" w:line="250"/>
              <w:jc w:val="right"/>
            </w:pPr>
            <w:r>
              <w:rPr>
                <w:rFonts w:ascii="Arial" w:cs="Arial" w:eastAsia="Arial" w:hAnsi="Arial"/>
                <w:b/>
                <w:bCs/>
                <w:i w:val="false"/>
                <w:iCs w:val="false"/>
                <w:color w:val="16535B"/>
                <w:sz w:val="17"/>
                <w:szCs w:val="17"/>
                <w:rtl/>
              </w:rPr>
              <w:t xml:space="preserve">نسبة التمويل إلى القيمة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{{Credit.LTV}}</w:t>
            </w:r>
            <w:r>
              <w:rPr>
                <w:rFonts w:ascii="Arial" w:cs="Arial" w:eastAsia="Arial" w:hAnsi="Arial"/>
                <w:b w:val="false"/>
                <w:bCs w:val="false"/>
                <w:i w:val="false"/>
                <w:iCs w:val="false"/>
                <w:color w:val="1F2933"/>
                <w:sz w:val="18"/>
                <w:szCs w:val="18"/>
                <w:rtl w:val="false"/>
              </w:rPr>
              <w:t xml:space="preserve"> · policy max </w:t>
            </w:r>
            <w:r>
              <w:rPr>
                <w:rFonts w:ascii="Arial" w:cs="Arial" w:eastAsia="Arial" w:hAnsi="Arial"/>
                <w:b/>
                <w:bCs/>
                <w:i w:val="false"/>
                <w:iCs w:val="false"/>
                <w:color w:val="16535B"/>
                <w:sz w:val="18"/>
                <w:szCs w:val="18"/>
                <w:rtl w:val="false"/>
              </w:rPr>
              <w:t xml:space="preserve">{{Policy.LTVMax}}</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{{Credit.LTVResult}}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Term requested</w:t>
            </w:r>
          </w:p>
          <w:p>
            <w:pPr>
              <w:keepNext w:val="false"/>
              <w:bidi/>
              <w:spacing w:after="0" w:before="0" w:line="250"/>
              <w:jc w:val="right"/>
            </w:pPr>
            <w:r>
              <w:rPr>
                <w:rFonts w:ascii="Arial" w:cs="Arial" w:eastAsia="Arial" w:hAnsi="Arial"/>
                <w:b/>
                <w:bCs/>
                <w:i w:val="false"/>
                <w:iCs w:val="false"/>
                <w:color w:val="16535B"/>
                <w:sz w:val="17"/>
                <w:szCs w:val="17"/>
                <w:rtl/>
              </w:rPr>
              <w:t xml:space="preserve">المدة المطلوبة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{{Offer.TermMonths}}</w:t>
            </w:r>
            <w:r>
              <w:rPr>
                <w:rFonts w:ascii="Arial" w:cs="Arial" w:eastAsia="Arial" w:hAnsi="Arial"/>
                <w:b w:val="false"/>
                <w:bCs w:val="false"/>
                <w:i w:val="false"/>
                <w:iCs w:val="false"/>
                <w:color w:val="1F2933"/>
                <w:sz w:val="18"/>
                <w:szCs w:val="18"/>
                <w:rtl w:val="false"/>
              </w:rPr>
              <w:t xml:space="preserve"> months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Vehicle age at maturity</w:t>
            </w:r>
          </w:p>
          <w:p>
            <w:pPr>
              <w:keepNext w:val="false"/>
              <w:bidi/>
              <w:spacing w:after="0" w:before="0" w:line="250"/>
              <w:jc w:val="right"/>
            </w:pPr>
            <w:r>
              <w:rPr>
                <w:rFonts w:ascii="Arial" w:cs="Arial" w:eastAsia="Arial" w:hAnsi="Arial"/>
                <w:b/>
                <w:bCs/>
                <w:i w:val="false"/>
                <w:iCs w:val="false"/>
                <w:color w:val="16535B"/>
                <w:sz w:val="17"/>
                <w:szCs w:val="17"/>
                <w:rtl/>
              </w:rPr>
              <w:t xml:space="preserve">عمر المركبة عند الاستحقاق</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{{Credit.VehicleAgeAtMaturity}}</w:t>
            </w:r>
            <w:r>
              <w:rPr>
                <w:rFonts w:ascii="Arial" w:cs="Arial" w:eastAsia="Arial" w:hAnsi="Arial"/>
                <w:b w:val="false"/>
                <w:bCs w:val="false"/>
                <w:i w:val="false"/>
                <w:iCs w:val="false"/>
                <w:color w:val="1F2933"/>
                <w:sz w:val="18"/>
                <w:szCs w:val="18"/>
                <w:rtl w:val="false"/>
              </w:rPr>
              <w:t xml:space="preserve"> yrs · policy max </w:t>
            </w:r>
            <w:r>
              <w:rPr>
                <w:rFonts w:ascii="Arial" w:cs="Arial" w:eastAsia="Arial" w:hAnsi="Arial"/>
                <w:b/>
                <w:bCs/>
                <w:i w:val="false"/>
                <w:iCs w:val="false"/>
                <w:color w:val="16535B"/>
                <w:sz w:val="18"/>
                <w:szCs w:val="18"/>
                <w:rtl w:val="false"/>
              </w:rPr>
              <w:t xml:space="preserve">{{Policy.VehicleAgeMax}}</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{{Credit.VehicleAgeResult}}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Rental rate applied</w:t>
            </w:r>
          </w:p>
          <w:p>
            <w:pPr>
              <w:keepNext w:val="false"/>
              <w:bidi/>
              <w:spacing w:after="0" w:before="0" w:line="250"/>
              <w:jc w:val="right"/>
            </w:pPr>
            <w:r>
              <w:rPr>
                <w:rFonts w:ascii="Arial" w:cs="Arial" w:eastAsia="Arial" w:hAnsi="Arial"/>
                <w:b/>
                <w:bCs/>
                <w:i w:val="false"/>
                <w:iCs w:val="false"/>
                <w:color w:val="16535B"/>
                <w:sz w:val="17"/>
                <w:szCs w:val="17"/>
                <w:rtl/>
              </w:rPr>
              <w:t xml:space="preserve">معدل الأجرة المطبق</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{{Deal.RentalRate}}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Periodic payment</w:t>
            </w:r>
          </w:p>
          <w:p>
            <w:pPr>
              <w:keepNext w:val="false"/>
              <w:bidi/>
              <w:spacing w:after="0" w:before="0" w:line="250"/>
              <w:jc w:val="right"/>
            </w:pPr>
            <w:r>
              <w:rPr>
                <w:rFonts w:ascii="Arial" w:cs="Arial" w:eastAsia="Arial" w:hAnsi="Arial"/>
                <w:b/>
                <w:bCs/>
                <w:i w:val="false"/>
                <w:iCs w:val="false"/>
                <w:color w:val="16535B"/>
                <w:sz w:val="17"/>
                <w:szCs w:val="17"/>
                <w:rtl/>
              </w:rPr>
              <w:t xml:space="preserve">الدفعة الدورية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{{Deal.PeriodicPayment}}</w:t>
            </w:r>
          </w:p>
        </w:tc>
        <w:tc>
          <w:tcPr>
            <w:tcW w:type="dxa" w:w="2179"/>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9"/>
                <w:szCs w:val="19"/>
                <w:rtl w:val="false"/>
              </w:rPr>
              <w:t xml:space="preserve"/>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9"/>
                <w:szCs w:val="19"/>
                <w:rtl w:val="false"/>
              </w:rPr>
              <w:t xml:space="preserve"/>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2. Affordability &amp; Debt Burden</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٢. القدرة على السداد ونسبة الالتزامات</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3600"/>
        <w:gridCol w:w="2200"/>
        <w:gridCol w:w="2100"/>
        <w:gridCol w:w="2006"/>
      </w:tblGrid>
      <w:tr>
        <w:trPr>
          <w:tblHeader/>
        </w:trPr>
        <w:tc>
          <w:tcPr>
            <w:tcW w:type="dxa" w:w="3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Measure</w:t>
            </w:r>
          </w:p>
          <w:p>
            <w:pPr>
              <w:keepNext w:val="false"/>
              <w:bidi/>
              <w:spacing w:after="0" w:before="0" w:line="250"/>
              <w:jc w:val="right"/>
            </w:pPr>
            <w:r>
              <w:rPr>
                <w:rFonts w:ascii="Arial" w:cs="Arial" w:eastAsia="Arial" w:hAnsi="Arial"/>
                <w:b/>
                <w:bCs/>
                <w:i w:val="false"/>
                <w:iCs w:val="false"/>
                <w:color w:val="FFFFFF"/>
                <w:sz w:val="15"/>
                <w:szCs w:val="15"/>
                <w:rtl/>
              </w:rPr>
              <w:t xml:space="preserve">المقياس</w:t>
            </w:r>
          </w:p>
        </w:tc>
        <w:tc>
          <w:tcPr>
            <w:tcW w:type="dxa" w:w="2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Value</w:t>
            </w:r>
          </w:p>
          <w:p>
            <w:pPr>
              <w:keepNext w:val="false"/>
              <w:bidi/>
              <w:spacing w:after="0" w:before="0" w:line="250"/>
              <w:jc w:val="right"/>
            </w:pPr>
            <w:r>
              <w:rPr>
                <w:rFonts w:ascii="Arial" w:cs="Arial" w:eastAsia="Arial" w:hAnsi="Arial"/>
                <w:b/>
                <w:bCs/>
                <w:i w:val="false"/>
                <w:iCs w:val="false"/>
                <w:color w:val="FFFFFF"/>
                <w:sz w:val="15"/>
                <w:szCs w:val="15"/>
                <w:rtl/>
              </w:rPr>
              <w:t xml:space="preserve">القيمة</w:t>
            </w:r>
          </w:p>
        </w:tc>
        <w:tc>
          <w:tcPr>
            <w:tcW w:type="dxa" w:w="21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limit</w:t>
            </w:r>
          </w:p>
          <w:p>
            <w:pPr>
              <w:keepNext w:val="false"/>
              <w:bidi/>
              <w:spacing w:after="0" w:before="0" w:line="250"/>
              <w:jc w:val="right"/>
            </w:pPr>
            <w:r>
              <w:rPr>
                <w:rFonts w:ascii="Arial" w:cs="Arial" w:eastAsia="Arial" w:hAnsi="Arial"/>
                <w:b/>
                <w:bCs/>
                <w:i w:val="false"/>
                <w:iCs w:val="false"/>
                <w:color w:val="FFFFFF"/>
                <w:sz w:val="15"/>
                <w:szCs w:val="15"/>
                <w:rtl/>
              </w:rPr>
              <w:t xml:space="preserve">حد السياسة</w:t>
            </w:r>
          </w:p>
        </w:tc>
        <w:tc>
          <w:tcPr>
            <w:tcW w:type="dxa" w:w="20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Result</w:t>
            </w:r>
          </w:p>
          <w:p>
            <w:pPr>
              <w:keepNext w:val="false"/>
              <w:bidi/>
              <w:spacing w:after="0" w:before="0" w:line="250"/>
              <w:jc w:val="right"/>
            </w:pPr>
            <w:r>
              <w:rPr>
                <w:rFonts w:ascii="Arial" w:cs="Arial" w:eastAsia="Arial" w:hAnsi="Arial"/>
                <w:b/>
                <w:bCs/>
                <w:i w:val="false"/>
                <w:iCs w:val="false"/>
                <w:color w:val="FFFFFF"/>
                <w:sz w:val="15"/>
                <w:szCs w:val="15"/>
                <w:rtl/>
              </w:rPr>
              <w:t xml:space="preserve">النتيجة</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Total monthly income (verified) / الدخل الشهري الموثق</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{{Income.TotalMonthly}}</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{{Income.VerificationSource}}</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Existing monthly obligations / الالتزامات الشهرية القائمة</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{{Obligation.TotalMonthly}}</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{{Obligation.BureauReconciled}}</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Proposed BloX payment / دفعة بلوكس المقترحة</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{{Deal.PeriodicPayment}}</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Debt Burden Ratio (DBR) / نسبة عبء الدين</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{{Credit.DBR}}</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{{Policy.DBRMax}}</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{{Credit.DBRResult}}</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Residual income after obligations / الدخل المتبقي</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{{Credit.ResidualIncome}}</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{{Policy.ResidualIncomeMin}}</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{{Credit.ResidualIncomeResult}}</w:t>
            </w:r>
          </w:p>
        </w:tc>
      </w:tr>
      <w:tr>
        <w:tc>
          <w:tcPr>
            <w:tcW w:type="dxa" w:w="3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Average 6-month bank balance / متوسط رصيد ٦ أشهر</w:t>
            </w:r>
          </w:p>
        </w:tc>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QAR </w:t>
            </w:r>
            <w:r>
              <w:rPr>
                <w:rFonts w:ascii="Arial" w:cs="Arial" w:eastAsia="Arial" w:hAnsi="Arial"/>
                <w:b/>
                <w:bCs/>
                <w:i w:val="false"/>
                <w:iCs w:val="false"/>
                <w:color w:val="16535B"/>
                <w:sz w:val="17"/>
                <w:szCs w:val="17"/>
                <w:rtl w:val="false"/>
              </w:rPr>
              <w:t xml:space="preserve">{{Credit.AvgBankBalance}}</w:t>
            </w:r>
          </w:p>
        </w:tc>
        <w:tc>
          <w:tcPr>
            <w:tcW w:type="dxa" w:w="21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r>
      <w:tr>
        <w:tc>
          <w:tcPr>
            <w:tcW w:type="dxa" w:w="3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Salary transfer / assignment / تحويل الراتب</w:t>
            </w:r>
          </w:p>
        </w:tc>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{{Income.SalaryTransferUndertaking}}</w:t>
            </w:r>
          </w:p>
        </w:tc>
        <w:tc>
          <w:tcPr>
            <w:tcW w:type="dxa" w:w="21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{{Policy.SalaryTransferRequired}}</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{{Credit.SalaryTransferResult}}</w:t>
            </w:r>
          </w:p>
        </w:tc>
      </w:tr>
    </w:tbl>
    <w:p>
      <w:pPr>
        <w:spacing w:after="10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4953"/>
        <w:gridCol w:w="4953"/>
      </w:tblGrid>
      <w:tr>
        <w:tc>
          <w:tcPr>
            <w:tcW w:type="dxa" w:w="4953"/>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Calculation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DBR is computed as (existing monthly obligations + proposed BloX periodic payment) ÷ total verified monthly income. The applicable policy limit is drawn from the BloX Credit Risk Management Policy by residency status and employer category, and must render alongside the computed value with an explicit pass, fail or exception result. The memorandum must not generate where verified income is null.</w:t>
            </w:r>
          </w:p>
        </w:tc>
        <w:tc>
          <w:tcPr>
            <w:tcW w:type="dxa" w:w="4953"/>
            <w:shd w:fill="EEF4F4"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الاحتساب</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تحتسب نسبة عبء الدين على أساس (الالتزامات الشهرية القائمة + الدفعة الدورية المقترحة من بلوكس) ÷ إجمالي الدخل الشهري الموثق. ويؤخذ الحد المطبق من سياسة إدارة مخاطر الائتمان لدى بلوكس بحسب حالة الإقامة وتصنيف جهة العمل، ويجب إظهاره إلى جانب القيمة المحتسبة مع نتيجة صريحة بالقبول أو الرفض أو الاستثناء. ولا تصدر المذكرة إذا كان الدخل الموثق غير مسجل.</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3. Credit Bureau &amp; Decisioning</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٣. المكتب الائتماني واتخاذ القرار</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Bureau report ref.</w:t>
            </w:r>
          </w:p>
          <w:p>
            <w:pPr>
              <w:keepNext w:val="false"/>
              <w:bidi/>
              <w:spacing w:after="0" w:before="0" w:line="250"/>
              <w:jc w:val="right"/>
            </w:pPr>
            <w:r>
              <w:rPr>
                <w:rFonts w:ascii="Arial" w:cs="Arial" w:eastAsia="Arial" w:hAnsi="Arial"/>
                <w:b/>
                <w:bCs/>
                <w:i w:val="false"/>
                <w:iCs w:val="false"/>
                <w:color w:val="16535B"/>
                <w:sz w:val="17"/>
                <w:szCs w:val="17"/>
                <w:rtl/>
              </w:rPr>
              <w:t xml:space="preserve">رقم تقرير المكتب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{{Bureau.ReportRef}}</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Report date</w:t>
            </w:r>
          </w:p>
          <w:p>
            <w:pPr>
              <w:keepNext w:val="false"/>
              <w:bidi/>
              <w:spacing w:after="0" w:before="0" w:line="250"/>
              <w:jc w:val="right"/>
            </w:pPr>
            <w:r>
              <w:rPr>
                <w:rFonts w:ascii="Arial" w:cs="Arial" w:eastAsia="Arial" w:hAnsi="Arial"/>
                <w:b/>
                <w:bCs/>
                <w:i w:val="false"/>
                <w:iCs w:val="false"/>
                <w:color w:val="16535B"/>
                <w:sz w:val="17"/>
                <w:szCs w:val="17"/>
                <w:rtl/>
              </w:rPr>
              <w:t xml:space="preserve">تاريخ التقرير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{{Bureau.ReportDate}}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Bureau score</w:t>
            </w:r>
          </w:p>
          <w:p>
            <w:pPr>
              <w:keepNext w:val="false"/>
              <w:bidi/>
              <w:spacing w:after="0" w:before="0" w:line="250"/>
              <w:jc w:val="right"/>
            </w:pPr>
            <w:r>
              <w:rPr>
                <w:rFonts w:ascii="Arial" w:cs="Arial" w:eastAsia="Arial" w:hAnsi="Arial"/>
                <w:b/>
                <w:bCs/>
                <w:i w:val="false"/>
                <w:iCs w:val="false"/>
                <w:color w:val="16535B"/>
                <w:sz w:val="17"/>
                <w:szCs w:val="17"/>
                <w:rtl/>
              </w:rPr>
              <w:t xml:space="preserve">درجة المكتب</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{{Bureau.Score}}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Policy cut-off</w:t>
            </w:r>
          </w:p>
          <w:p>
            <w:pPr>
              <w:keepNext w:val="false"/>
              <w:bidi/>
              <w:spacing w:after="0" w:before="0" w:line="250"/>
              <w:jc w:val="right"/>
            </w:pPr>
            <w:r>
              <w:rPr>
                <w:rFonts w:ascii="Arial" w:cs="Arial" w:eastAsia="Arial" w:hAnsi="Arial"/>
                <w:b/>
                <w:bCs/>
                <w:i w:val="false"/>
                <w:iCs w:val="false"/>
                <w:color w:val="16535B"/>
                <w:sz w:val="17"/>
                <w:szCs w:val="17"/>
                <w:rtl/>
              </w:rPr>
              <w:t xml:space="preserve">حد السياسة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{{Policy.BureauScoreMin}}</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{{Bureau.ScoreResult}}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Worst arrears — 24 months</w:t>
            </w:r>
          </w:p>
          <w:p>
            <w:pPr>
              <w:keepNext w:val="false"/>
              <w:bidi/>
              <w:spacing w:after="0" w:before="0" w:line="250"/>
              <w:jc w:val="right"/>
            </w:pPr>
            <w:r>
              <w:rPr>
                <w:rFonts w:ascii="Arial" w:cs="Arial" w:eastAsia="Arial" w:hAnsi="Arial"/>
                <w:b/>
                <w:bCs/>
                <w:i w:val="false"/>
                <w:iCs w:val="false"/>
                <w:color w:val="16535B"/>
                <w:sz w:val="17"/>
                <w:szCs w:val="17"/>
                <w:rtl/>
              </w:rPr>
              <w:t xml:space="preserve">أسوأ تأخر خلال ٢٤ شهراً</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{{Bureau.WorstArrears}}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Defaults / write-offs</w:t>
            </w:r>
          </w:p>
          <w:p>
            <w:pPr>
              <w:keepNext w:val="false"/>
              <w:bidi/>
              <w:spacing w:after="0" w:before="0" w:line="250"/>
              <w:jc w:val="right"/>
            </w:pPr>
            <w:r>
              <w:rPr>
                <w:rFonts w:ascii="Arial" w:cs="Arial" w:eastAsia="Arial" w:hAnsi="Arial"/>
                <w:b/>
                <w:bCs/>
                <w:i w:val="false"/>
                <w:iCs w:val="false"/>
                <w:color w:val="16535B"/>
                <w:sz w:val="17"/>
                <w:szCs w:val="17"/>
                <w:rtl/>
              </w:rPr>
              <w:t xml:space="preserve">التعثرات / الديون المعدومة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{{Bureau.Defaults}}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Undeclared obligations found</w:t>
            </w:r>
          </w:p>
          <w:p>
            <w:pPr>
              <w:keepNext w:val="false"/>
              <w:bidi/>
              <w:spacing w:after="0" w:before="0" w:line="250"/>
              <w:jc w:val="right"/>
            </w:pPr>
            <w:r>
              <w:rPr>
                <w:rFonts w:ascii="Arial" w:cs="Arial" w:eastAsia="Arial" w:hAnsi="Arial"/>
                <w:b/>
                <w:bCs/>
                <w:i w:val="false"/>
                <w:iCs w:val="false"/>
                <w:color w:val="16535B"/>
                <w:sz w:val="17"/>
                <w:szCs w:val="17"/>
                <w:rtl/>
              </w:rPr>
              <w:t xml:space="preserve">التزامات غير معلنة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{{Bureau.UndeclaredObligations}}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Enquiries — 6 months</w:t>
            </w:r>
          </w:p>
          <w:p>
            <w:pPr>
              <w:keepNext w:val="false"/>
              <w:bidi/>
              <w:spacing w:after="0" w:before="0" w:line="250"/>
              <w:jc w:val="right"/>
            </w:pPr>
            <w:r>
              <w:rPr>
                <w:rFonts w:ascii="Arial" w:cs="Arial" w:eastAsia="Arial" w:hAnsi="Arial"/>
                <w:b/>
                <w:bCs/>
                <w:i w:val="false"/>
                <w:iCs w:val="false"/>
                <w:color w:val="16535B"/>
                <w:sz w:val="17"/>
                <w:szCs w:val="17"/>
                <w:rtl/>
              </w:rPr>
              <w:t xml:space="preserve">الاستعلامات خلال ٦ أشهر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{{Bureau.RecentEnquiries}}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Existing BloX exposure</w:t>
            </w:r>
          </w:p>
          <w:p>
            <w:pPr>
              <w:keepNext w:val="false"/>
              <w:bidi/>
              <w:spacing w:after="0" w:before="0" w:line="250"/>
              <w:jc w:val="right"/>
            </w:pPr>
            <w:r>
              <w:rPr>
                <w:rFonts w:ascii="Arial" w:cs="Arial" w:eastAsia="Arial" w:hAnsi="Arial"/>
                <w:b/>
                <w:bCs/>
                <w:i w:val="false"/>
                <w:iCs w:val="false"/>
                <w:color w:val="16535B"/>
                <w:sz w:val="17"/>
                <w:szCs w:val="17"/>
                <w:rtl/>
              </w:rPr>
              <w:t xml:space="preserve">الانكشاف القائم لدى بلوكس</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{{Credit.ExistingBloXExposure}}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exposure post-facility</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الانكشاف بعد التسهيل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{{Credit.TotalExposurePost}}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decision</w:t>
            </w:r>
          </w:p>
          <w:p>
            <w:pPr>
              <w:keepNext w:val="false"/>
              <w:bidi/>
              <w:spacing w:after="0" w:before="0" w:line="250"/>
              <w:jc w:val="right"/>
            </w:pPr>
            <w:r>
              <w:rPr>
                <w:rFonts w:ascii="Arial" w:cs="Arial" w:eastAsia="Arial" w:hAnsi="Arial"/>
                <w:b/>
                <w:bCs/>
                <w:i w:val="false"/>
                <w:iCs w:val="false"/>
                <w:color w:val="16535B"/>
                <w:sz w:val="17"/>
                <w:szCs w:val="17"/>
                <w:rtl/>
              </w:rPr>
              <w:t xml:space="preserve">قرار محرك القواعد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{{BRE.Decision}}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score / grade</w:t>
            </w:r>
          </w:p>
          <w:p>
            <w:pPr>
              <w:keepNext w:val="false"/>
              <w:bidi/>
              <w:spacing w:after="0" w:before="0" w:line="250"/>
              <w:jc w:val="right"/>
            </w:pPr>
            <w:r>
              <w:rPr>
                <w:rFonts w:ascii="Arial" w:cs="Arial" w:eastAsia="Arial" w:hAnsi="Arial"/>
                <w:b/>
                <w:bCs/>
                <w:i w:val="false"/>
                <w:iCs w:val="false"/>
                <w:color w:val="16535B"/>
                <w:sz w:val="17"/>
                <w:szCs w:val="17"/>
                <w:rtl/>
              </w:rPr>
              <w:t xml:space="preserve">درجة محرك القواعد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{{BRE.Score}}</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{{BRE.RiskGrade}}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rules triggered</w:t>
            </w:r>
          </w:p>
          <w:p>
            <w:pPr>
              <w:keepNext w:val="false"/>
              <w:bidi/>
              <w:spacing w:after="0" w:before="0" w:line="250"/>
              <w:jc w:val="right"/>
            </w:pPr>
            <w:r>
              <w:rPr>
                <w:rFonts w:ascii="Arial" w:cs="Arial" w:eastAsia="Arial" w:hAnsi="Arial"/>
                <w:b/>
                <w:bCs/>
                <w:i w:val="false"/>
                <w:iCs w:val="false"/>
                <w:color w:val="16535B"/>
                <w:sz w:val="17"/>
                <w:szCs w:val="17"/>
                <w:rtl/>
              </w:rPr>
              <w:t xml:space="preserve">القواعد التي تم تفعيلها</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{{BRE.RulesTriggered}}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BRE override applied</w:t>
            </w:r>
          </w:p>
          <w:p>
            <w:pPr>
              <w:keepNext w:val="false"/>
              <w:bidi/>
              <w:spacing w:after="0" w:before="0" w:line="250"/>
              <w:jc w:val="right"/>
            </w:pPr>
            <w:r>
              <w:rPr>
                <w:rFonts w:ascii="Arial" w:cs="Arial" w:eastAsia="Arial" w:hAnsi="Arial"/>
                <w:b/>
                <w:bCs/>
                <w:i w:val="false"/>
                <w:iCs w:val="false"/>
                <w:color w:val="16535B"/>
                <w:sz w:val="17"/>
                <w:szCs w:val="17"/>
                <w:rtl/>
              </w:rPr>
              <w:t xml:space="preserve">تجاوز قرار المحرك</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{{BRE.OverrideApplied}}</w:t>
            </w:r>
            <w:r>
              <w:rPr>
                <w:rFonts w:ascii="Arial" w:cs="Arial" w:eastAsia="Arial" w:hAnsi="Arial"/>
                <w:b w:val="false"/>
                <w:bCs w:val="false"/>
                <w:i w:val="false"/>
                <w:iCs w:val="false"/>
                <w:color w:val="1F2933"/>
                <w:sz w:val="18"/>
                <w:szCs w:val="18"/>
                <w:rtl w:val="false"/>
              </w:rPr>
              <w:t xml:space="preserve"> · by </w:t>
            </w:r>
            <w:r>
              <w:rPr>
                <w:rFonts w:ascii="Arial" w:cs="Arial" w:eastAsia="Arial" w:hAnsi="Arial"/>
                <w:b/>
                <w:bCs/>
                <w:i w:val="false"/>
                <w:iCs w:val="false"/>
                <w:color w:val="16535B"/>
                <w:sz w:val="18"/>
                <w:szCs w:val="18"/>
                <w:rtl w:val="false"/>
              </w:rPr>
              <w:t xml:space="preserve">{{BRE.OverrideBy}}</w:t>
            </w:r>
            <w:r>
              <w:rPr>
                <w:rFonts w:ascii="Arial" w:cs="Arial" w:eastAsia="Arial" w:hAnsi="Arial"/>
                <w:b w:val="false"/>
                <w:bCs w:val="false"/>
                <w:i w:val="false"/>
                <w:iCs w:val="false"/>
                <w:color w:val="1F2933"/>
                <w:sz w:val="18"/>
                <w:szCs w:val="18"/>
                <w:rtl w:val="false"/>
              </w:rPr>
              <w:t xml:space="preserve"> · reason: </w:t>
            </w:r>
            <w:r>
              <w:rPr>
                <w:rFonts w:ascii="Arial" w:cs="Arial" w:eastAsia="Arial" w:hAnsi="Arial"/>
                <w:b/>
                <w:bCs/>
                <w:i w:val="false"/>
                <w:iCs w:val="false"/>
                <w:color w:val="16535B"/>
                <w:sz w:val="18"/>
                <w:szCs w:val="18"/>
                <w:rtl w:val="false"/>
              </w:rPr>
              <w:t xml:space="preserve">{{BRE.OverrideReason}}</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4. Compliance &amp; Screening</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٤. الالتزام والفحص</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3400"/>
        <w:gridCol w:w="2600"/>
        <w:gridCol w:w="1700"/>
        <w:gridCol w:w="2206"/>
      </w:tblGrid>
      <w:tr>
        <w:trPr>
          <w:tblHeader/>
        </w:trPr>
        <w:tc>
          <w:tcPr>
            <w:tcW w:type="dxa" w:w="3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Check</w:t>
            </w:r>
          </w:p>
          <w:p>
            <w:pPr>
              <w:keepNext w:val="false"/>
              <w:bidi/>
              <w:spacing w:after="0" w:before="0" w:line="250"/>
              <w:jc w:val="right"/>
            </w:pPr>
            <w:r>
              <w:rPr>
                <w:rFonts w:ascii="Arial" w:cs="Arial" w:eastAsia="Arial" w:hAnsi="Arial"/>
                <w:b/>
                <w:bCs/>
                <w:i w:val="false"/>
                <w:iCs w:val="false"/>
                <w:color w:val="FFFFFF"/>
                <w:sz w:val="15"/>
                <w:szCs w:val="15"/>
                <w:rtl/>
              </w:rPr>
              <w:t xml:space="preserve">الفحص</w:t>
            </w:r>
          </w:p>
        </w:tc>
        <w:tc>
          <w:tcPr>
            <w:tcW w:type="dxa" w:w="2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Tool / source</w:t>
            </w:r>
          </w:p>
          <w:p>
            <w:pPr>
              <w:keepNext w:val="false"/>
              <w:bidi/>
              <w:spacing w:after="0" w:before="0" w:line="250"/>
              <w:jc w:val="right"/>
            </w:pPr>
            <w:r>
              <w:rPr>
                <w:rFonts w:ascii="Arial" w:cs="Arial" w:eastAsia="Arial" w:hAnsi="Arial"/>
                <w:b/>
                <w:bCs/>
                <w:i w:val="false"/>
                <w:iCs w:val="false"/>
                <w:color w:val="FFFFFF"/>
                <w:sz w:val="15"/>
                <w:szCs w:val="15"/>
                <w:rtl/>
              </w:rPr>
              <w:t xml:space="preserve">الأداة / المصدر</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Date</w:t>
            </w:r>
          </w:p>
          <w:p>
            <w:pPr>
              <w:keepNext w:val="false"/>
              <w:bidi/>
              <w:spacing w:after="0" w:before="0" w:line="250"/>
              <w:jc w:val="right"/>
            </w:pPr>
            <w:r>
              <w:rPr>
                <w:rFonts w:ascii="Arial" w:cs="Arial" w:eastAsia="Arial" w:hAnsi="Arial"/>
                <w:b/>
                <w:bCs/>
                <w:i w:val="false"/>
                <w:iCs w:val="false"/>
                <w:color w:val="FFFFFF"/>
                <w:sz w:val="15"/>
                <w:szCs w:val="15"/>
                <w:rtl/>
              </w:rPr>
              <w:t xml:space="preserve">التاريخ</w:t>
            </w:r>
          </w:p>
        </w:tc>
        <w:tc>
          <w:tcPr>
            <w:tcW w:type="dxa" w:w="22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Result</w:t>
            </w:r>
          </w:p>
          <w:p>
            <w:pPr>
              <w:keepNext w:val="false"/>
              <w:bidi/>
              <w:spacing w:after="0" w:before="0" w:line="250"/>
              <w:jc w:val="right"/>
            </w:pPr>
            <w:r>
              <w:rPr>
                <w:rFonts w:ascii="Arial" w:cs="Arial" w:eastAsia="Arial" w:hAnsi="Arial"/>
                <w:b/>
                <w:bCs/>
                <w:i w:val="false"/>
                <w:iCs w:val="false"/>
                <w:color w:val="FFFFFF"/>
                <w:sz w:val="15"/>
                <w:szCs w:val="15"/>
                <w:rtl/>
              </w:rPr>
              <w:t xml:space="preserve">النتيجة</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Identity verification (eKYC) / التحقق من الهوية</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{{Screen.eKYCTool}}</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{{Screen.eKYCDate}}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{{Screen.eKYCResult}}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Liveness / face match / مطابقة الوجه</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{{Screen.LivenessTool}}</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{{Screen.LivenessDate}}</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{{Screen.LivenessResult}}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Sanctions screening / فحص العقوبات</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{{Screen.SanctionsTool}}</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{{Screen.SanctionsDate}}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{{Screen.SanctionsResult}}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PEP screening / فحص الأشخاص المعرضين سياسياً</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{{Screen.PEPTool}}</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{{Screen.PEPDate}}</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PEP relationship / صلة بشخص معرض سياسياً</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{{Screen.PEPRelationTool}}</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{{Screen.PEPRelationDate}}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{{Screen.PEPRelationResult}}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Adverse media / الأخبار السلبية</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{{Screen.AdverseMediaTool}}</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{{Screen.AdverseMediaDate}}</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{{Screen.AdverseMediaResult}}</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Source of funds — contribution / مصدر أموال المساهمة</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{{Screen.SoFMethod}}</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{{Screen.SoFDate}}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{{Screen.SoFResult}}</w:t>
            </w:r>
          </w:p>
        </w:tc>
      </w:tr>
      <w:tr>
        <w:tc>
          <w:tcPr>
            <w:tcW w:type="dxa" w:w="3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Customer risk rating / تصنيف مخاطر العميل</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BloX AML methodology</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{{Screen.RiskRatingDate}}</w:t>
            </w:r>
          </w:p>
        </w:tc>
        <w:tc>
          <w:tcPr>
            <w:tcW w:type="dxa" w:w="22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{{Screen.RiskRating}}</w:t>
            </w:r>
          </w:p>
        </w:tc>
      </w:tr>
      <w:tr>
        <w:tc>
          <w:tcPr>
            <w:tcW w:type="dxa" w:w="3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MLRO referral required / إحالة لمسؤول الإبلاغ</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{{Screen.MLROReferralDate}}</w:t>
            </w:r>
          </w:p>
        </w:tc>
        <w:tc>
          <w:tcPr>
            <w:tcW w:type="dxa" w:w="22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{{Screen.MLROReferralResult}}</w:t>
            </w:r>
          </w:p>
        </w:tc>
      </w:tr>
    </w:tbl>
    <w:p>
      <w:pPr>
        <w:spacing w:after="10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Blocking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Any screening result other than a clear pass, and any true PEP match, blocks approval until the MLRO has recorded a disposition against this memorandum. The LOS must enforce this; it cannot be a procedural instruction.</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حاجزة</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أي نتيجة فحص غير النجاح الصريح، وأي تطابق مؤكد مع شخص معرض سياسياً، يوقف الاعتماد إلى أن يسجل مسؤول الإبلاغ عن غسل الأموال قراره على هذه المذكرة. ويجب أن يفرض النظام ذلك آلياً لا إجرائياً.</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5. Applicant Profile</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٥. ملف مقدم الطلب</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Nationality</w:t>
            </w:r>
          </w:p>
          <w:p>
            <w:pPr>
              <w:keepNext w:val="false"/>
              <w:bidi/>
              <w:spacing w:after="0" w:before="0" w:line="250"/>
              <w:jc w:val="right"/>
            </w:pPr>
            <w:r>
              <w:rPr>
                <w:rFonts w:ascii="Arial" w:cs="Arial" w:eastAsia="Arial" w:hAnsi="Arial"/>
                <w:b/>
                <w:bCs/>
                <w:i w:val="false"/>
                <w:iCs w:val="false"/>
                <w:color w:val="16535B"/>
                <w:sz w:val="17"/>
                <w:szCs w:val="17"/>
                <w:rtl/>
              </w:rPr>
              <w:t xml:space="preserve">الجنسية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{{Customer.Nationality}}</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Residency status</w:t>
            </w:r>
          </w:p>
          <w:p>
            <w:pPr>
              <w:keepNext w:val="false"/>
              <w:bidi/>
              <w:spacing w:after="0" w:before="0" w:line="250"/>
              <w:jc w:val="right"/>
            </w:pPr>
            <w:r>
              <w:rPr>
                <w:rFonts w:ascii="Arial" w:cs="Arial" w:eastAsia="Arial" w:hAnsi="Arial"/>
                <w:b/>
                <w:bCs/>
                <w:i w:val="false"/>
                <w:iCs w:val="false"/>
                <w:color w:val="16535B"/>
                <w:sz w:val="17"/>
                <w:szCs w:val="17"/>
                <w:rtl/>
              </w:rPr>
              <w:t xml:space="preserve">حالة الإقامة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{{Customer.ResidencyStatus}}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Age</w:t>
            </w:r>
          </w:p>
          <w:p>
            <w:pPr>
              <w:keepNext w:val="false"/>
              <w:bidi/>
              <w:spacing w:after="0" w:before="0" w:line="250"/>
              <w:jc w:val="right"/>
            </w:pPr>
            <w:r>
              <w:rPr>
                <w:rFonts w:ascii="Arial" w:cs="Arial" w:eastAsia="Arial" w:hAnsi="Arial"/>
                <w:b/>
                <w:bCs/>
                <w:i w:val="false"/>
                <w:iCs w:val="false"/>
                <w:color w:val="16535B"/>
                <w:sz w:val="17"/>
                <w:szCs w:val="17"/>
                <w:rtl/>
              </w:rPr>
              <w:t xml:space="preserve">العمر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{{Customer.Age}}</w:t>
            </w:r>
            <w:r>
              <w:rPr>
                <w:rFonts w:ascii="Arial" w:cs="Arial" w:eastAsia="Arial" w:hAnsi="Arial"/>
                <w:b w:val="false"/>
                <w:bCs w:val="false"/>
                <w:i w:val="false"/>
                <w:iCs w:val="false"/>
                <w:color w:val="1F2933"/>
                <w:sz w:val="18"/>
                <w:szCs w:val="18"/>
                <w:rtl w:val="false"/>
              </w:rPr>
              <w:t xml:space="preserve"> · at maturity </w:t>
            </w:r>
            <w:r>
              <w:rPr>
                <w:rFonts w:ascii="Arial" w:cs="Arial" w:eastAsia="Arial" w:hAnsi="Arial"/>
                <w:b/>
                <w:bCs/>
                <w:i w:val="false"/>
                <w:iCs w:val="false"/>
                <w:color w:val="16535B"/>
                <w:sz w:val="18"/>
                <w:szCs w:val="18"/>
                <w:rtl w:val="false"/>
              </w:rPr>
              <w:t xml:space="preserve">{{Credit.AgeAtMaturity}}</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Years in Qatar</w:t>
            </w:r>
          </w:p>
          <w:p>
            <w:pPr>
              <w:keepNext w:val="false"/>
              <w:bidi/>
              <w:spacing w:after="0" w:before="0" w:line="250"/>
              <w:jc w:val="right"/>
            </w:pPr>
            <w:r>
              <w:rPr>
                <w:rFonts w:ascii="Arial" w:cs="Arial" w:eastAsia="Arial" w:hAnsi="Arial"/>
                <w:b/>
                <w:bCs/>
                <w:i w:val="false"/>
                <w:iCs w:val="false"/>
                <w:color w:val="16535B"/>
                <w:sz w:val="17"/>
                <w:szCs w:val="17"/>
                <w:rtl/>
              </w:rPr>
              <w:t xml:space="preserve">سنوات الإقامة في قطر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{{Customer.YearsInQatar}}</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Employer</w:t>
            </w:r>
          </w:p>
          <w:p>
            <w:pPr>
              <w:keepNext w:val="false"/>
              <w:bidi/>
              <w:spacing w:after="0" w:before="0" w:line="250"/>
              <w:jc w:val="right"/>
            </w:pPr>
            <w:r>
              <w:rPr>
                <w:rFonts w:ascii="Arial" w:cs="Arial" w:eastAsia="Arial" w:hAnsi="Arial"/>
                <w:b/>
                <w:bCs/>
                <w:i w:val="false"/>
                <w:iCs w:val="false"/>
                <w:color w:val="16535B"/>
                <w:sz w:val="17"/>
                <w:szCs w:val="17"/>
                <w:rtl/>
              </w:rPr>
              <w:t xml:space="preserve">جهة العمل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{{Employment.EmployerName}}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Employer category</w:t>
            </w:r>
          </w:p>
          <w:p>
            <w:pPr>
              <w:keepNext w:val="false"/>
              <w:bidi/>
              <w:spacing w:after="0" w:before="0" w:line="250"/>
              <w:jc w:val="right"/>
            </w:pPr>
            <w:r>
              <w:rPr>
                <w:rFonts w:ascii="Arial" w:cs="Arial" w:eastAsia="Arial" w:hAnsi="Arial"/>
                <w:b/>
                <w:bCs/>
                <w:i w:val="false"/>
                <w:iCs w:val="false"/>
                <w:color w:val="16535B"/>
                <w:sz w:val="17"/>
                <w:szCs w:val="17"/>
                <w:rtl/>
              </w:rPr>
              <w:t xml:space="preserve">تصنيف جهة العمل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{{Employment.EmployerCategory}}</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{{Credit.EmployerCategoryResult}}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Length of service</w:t>
            </w:r>
          </w:p>
          <w:p>
            <w:pPr>
              <w:keepNext w:val="false"/>
              <w:bidi/>
              <w:spacing w:after="0" w:before="0" w:line="250"/>
              <w:jc w:val="right"/>
            </w:pPr>
            <w:r>
              <w:rPr>
                <w:rFonts w:ascii="Arial" w:cs="Arial" w:eastAsia="Arial" w:hAnsi="Arial"/>
                <w:b/>
                <w:bCs/>
                <w:i w:val="false"/>
                <w:iCs w:val="false"/>
                <w:color w:val="16535B"/>
                <w:sz w:val="17"/>
                <w:szCs w:val="17"/>
                <w:rtl/>
              </w:rPr>
              <w:t xml:space="preserve">مدة الخدمة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{{Employment.ServiceYears}}</w:t>
            </w:r>
            <w:r>
              <w:rPr>
                <w:rFonts w:ascii="Arial" w:cs="Arial" w:eastAsia="Arial" w:hAnsi="Arial"/>
                <w:b w:val="false"/>
                <w:bCs w:val="false"/>
                <w:i w:val="false"/>
                <w:iCs w:val="false"/>
                <w:color w:val="1F2933"/>
                <w:sz w:val="18"/>
                <w:szCs w:val="18"/>
                <w:rtl w:val="false"/>
              </w:rPr>
              <w:t xml:space="preserve"> yrs · policy min </w:t>
            </w:r>
            <w:r>
              <w:rPr>
                <w:rFonts w:ascii="Arial" w:cs="Arial" w:eastAsia="Arial" w:hAnsi="Arial"/>
                <w:b/>
                <w:bCs/>
                <w:i w:val="false"/>
                <w:iCs w:val="false"/>
                <w:color w:val="16535B"/>
                <w:sz w:val="18"/>
                <w:szCs w:val="18"/>
                <w:rtl w:val="false"/>
              </w:rPr>
              <w:t xml:space="preserve">{{Policy.ServiceYearsMin}}</w:t>
            </w:r>
            <w:r>
              <w:rPr>
                <w:rFonts w:ascii="Arial" w:cs="Arial" w:eastAsia="Arial" w:hAnsi="Arial"/>
                <w:b w:val="false"/>
                <w:bCs w:val="false"/>
                <w:i w:val="false"/>
                <w:iCs w:val="false"/>
                <w:color w:val="1F2933"/>
                <w:sz w:val="18"/>
                <w:szCs w:val="18"/>
                <w:rtl w:val="false"/>
              </w:rPr>
              <w:t xml:space="preserve"> · </w:t>
            </w:r>
            <w:r>
              <w:rPr>
                <w:rFonts w:ascii="Arial" w:cs="Arial" w:eastAsia="Arial" w:hAnsi="Arial"/>
                <w:b/>
                <w:bCs/>
                <w:i w:val="false"/>
                <w:iCs w:val="false"/>
                <w:color w:val="16535B"/>
                <w:sz w:val="18"/>
                <w:szCs w:val="18"/>
                <w:rtl w:val="false"/>
              </w:rPr>
              <w:t xml:space="preserve">{{Credit.ServiceResult}}</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experience</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الخبرة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{{Employment.TotalExperienceYears}}</w:t>
            </w:r>
            <w:r>
              <w:rPr>
                <w:rFonts w:ascii="Arial" w:cs="Arial" w:eastAsia="Arial" w:hAnsi="Arial"/>
                <w:b w:val="false"/>
                <w:bCs w:val="false"/>
                <w:i w:val="false"/>
                <w:iCs w:val="false"/>
                <w:color w:val="1F2933"/>
                <w:sz w:val="18"/>
                <w:szCs w:val="18"/>
                <w:rtl w:val="false"/>
              </w:rPr>
              <w:t xml:space="preserve"> yrs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Contract type</w:t>
            </w:r>
          </w:p>
          <w:p>
            <w:pPr>
              <w:keepNext w:val="false"/>
              <w:bidi/>
              <w:spacing w:after="0" w:before="0" w:line="250"/>
              <w:jc w:val="right"/>
            </w:pPr>
            <w:r>
              <w:rPr>
                <w:rFonts w:ascii="Arial" w:cs="Arial" w:eastAsia="Arial" w:hAnsi="Arial"/>
                <w:b/>
                <w:bCs/>
                <w:i w:val="false"/>
                <w:iCs w:val="false"/>
                <w:color w:val="16535B"/>
                <w:sz w:val="17"/>
                <w:szCs w:val="17"/>
                <w:rtl/>
              </w:rPr>
              <w:t xml:space="preserve">نوع العقد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{{Employment.ContractType}}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Housing status</w:t>
            </w:r>
          </w:p>
          <w:p>
            <w:pPr>
              <w:keepNext w:val="false"/>
              <w:bidi/>
              <w:spacing w:after="0" w:before="0" w:line="250"/>
              <w:jc w:val="right"/>
            </w:pPr>
            <w:r>
              <w:rPr>
                <w:rFonts w:ascii="Arial" w:cs="Arial" w:eastAsia="Arial" w:hAnsi="Arial"/>
                <w:b/>
                <w:bCs/>
                <w:i w:val="false"/>
                <w:iCs w:val="false"/>
                <w:color w:val="16535B"/>
                <w:sz w:val="17"/>
                <w:szCs w:val="17"/>
                <w:rtl/>
              </w:rPr>
              <w:t xml:space="preserve">وضع السكن</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{{Customer.HousingStatus}}</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6. Co-Applicant &amp; Guarantor Assessment</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٦. تقييم المشارك والضامن</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200"/>
        <w:gridCol w:w="1500"/>
        <w:gridCol w:w="1500"/>
        <w:gridCol w:w="1200"/>
        <w:gridCol w:w="1500"/>
        <w:gridCol w:w="2006"/>
      </w:tblGrid>
      <w:tr>
        <w:trPr>
          <w:tblHeader/>
        </w:trPr>
        <w:tc>
          <w:tcPr>
            <w:tcW w:type="dxa" w:w="2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Party</w:t>
            </w:r>
          </w:p>
          <w:p>
            <w:pPr>
              <w:keepNext w:val="false"/>
              <w:bidi/>
              <w:spacing w:after="0" w:before="0" w:line="250"/>
              <w:jc w:val="right"/>
            </w:pPr>
            <w:r>
              <w:rPr>
                <w:rFonts w:ascii="Arial" w:cs="Arial" w:eastAsia="Arial" w:hAnsi="Arial"/>
                <w:b/>
                <w:bCs/>
                <w:i w:val="false"/>
                <w:iCs w:val="false"/>
                <w:color w:val="FFFFFF"/>
                <w:sz w:val="15"/>
                <w:szCs w:val="15"/>
                <w:rtl/>
              </w:rPr>
              <w:t xml:space="preserve">الطرف</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Role</w:t>
            </w:r>
          </w:p>
          <w:p>
            <w:pPr>
              <w:keepNext w:val="false"/>
              <w:bidi/>
              <w:spacing w:after="0" w:before="0" w:line="250"/>
              <w:jc w:val="right"/>
            </w:pPr>
            <w:r>
              <w:rPr>
                <w:rFonts w:ascii="Arial" w:cs="Arial" w:eastAsia="Arial" w:hAnsi="Arial"/>
                <w:b/>
                <w:bCs/>
                <w:i w:val="false"/>
                <w:iCs w:val="false"/>
                <w:color w:val="FFFFFF"/>
                <w:sz w:val="15"/>
                <w:szCs w:val="15"/>
                <w:rtl/>
              </w:rPr>
              <w:t xml:space="preserve">الصفة</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Income (QAR)</w:t>
            </w:r>
          </w:p>
          <w:p>
            <w:pPr>
              <w:keepNext w:val="false"/>
              <w:bidi/>
              <w:spacing w:after="0" w:before="0" w:line="250"/>
              <w:jc w:val="right"/>
            </w:pPr>
            <w:r>
              <w:rPr>
                <w:rFonts w:ascii="Arial" w:cs="Arial" w:eastAsia="Arial" w:hAnsi="Arial"/>
                <w:b/>
                <w:bCs/>
                <w:i w:val="false"/>
                <w:iCs w:val="false"/>
                <w:color w:val="FFFFFF"/>
                <w:sz w:val="15"/>
                <w:szCs w:val="15"/>
                <w:rtl/>
              </w:rPr>
              <w:t xml:space="preserve">الدخل</w:t>
            </w:r>
          </w:p>
        </w:tc>
        <w:tc>
          <w:tcPr>
            <w:tcW w:type="dxa" w:w="12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DBR</w:t>
            </w:r>
          </w:p>
          <w:p>
            <w:pPr>
              <w:keepNext w:val="false"/>
              <w:bidi/>
              <w:spacing w:after="0" w:before="0" w:line="250"/>
              <w:jc w:val="right"/>
            </w:pPr>
            <w:r>
              <w:rPr>
                <w:rFonts w:ascii="Arial" w:cs="Arial" w:eastAsia="Arial" w:hAnsi="Arial"/>
                <w:b/>
                <w:bCs/>
                <w:i w:val="false"/>
                <w:iCs w:val="false"/>
                <w:color w:val="FFFFFF"/>
                <w:sz w:val="15"/>
                <w:szCs w:val="15"/>
                <w:rtl/>
              </w:rPr>
              <w:t xml:space="preserve">نسبة الالتزام</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Bureau score</w:t>
            </w:r>
          </w:p>
          <w:p>
            <w:pPr>
              <w:keepNext w:val="false"/>
              <w:bidi/>
              <w:spacing w:after="0" w:before="0" w:line="250"/>
              <w:jc w:val="right"/>
            </w:pPr>
            <w:r>
              <w:rPr>
                <w:rFonts w:ascii="Arial" w:cs="Arial" w:eastAsia="Arial" w:hAnsi="Arial"/>
                <w:b/>
                <w:bCs/>
                <w:i w:val="false"/>
                <w:iCs w:val="false"/>
                <w:color w:val="FFFFFF"/>
                <w:sz w:val="15"/>
                <w:szCs w:val="15"/>
                <w:rtl/>
              </w:rPr>
              <w:t xml:space="preserve">الدرجة</w:t>
            </w:r>
          </w:p>
        </w:tc>
        <w:tc>
          <w:tcPr>
            <w:tcW w:type="dxa" w:w="20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Assessment</w:t>
            </w:r>
          </w:p>
          <w:p>
            <w:pPr>
              <w:keepNext w:val="false"/>
              <w:bidi/>
              <w:spacing w:after="0" w:before="0" w:line="250"/>
              <w:jc w:val="right"/>
            </w:pPr>
            <w:r>
              <w:rPr>
                <w:rFonts w:ascii="Arial" w:cs="Arial" w:eastAsia="Arial" w:hAnsi="Arial"/>
                <w:b/>
                <w:bCs/>
                <w:i w:val="false"/>
                <w:iCs w:val="false"/>
                <w:color w:val="FFFFFF"/>
                <w:sz w:val="15"/>
                <w:szCs w:val="15"/>
                <w:rtl/>
              </w:rPr>
              <w:t xml:space="preserve">التقييم</w:t>
            </w:r>
          </w:p>
        </w:tc>
      </w:tr>
      <w:tr>
        <w:tc>
          <w:tcPr>
            <w:tcW w:type="dxa" w:w="2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{{Party.1.Name}}</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{{Party.1.Role}}</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{{Party.1.Income}}</w:t>
            </w:r>
          </w:p>
        </w:tc>
        <w:tc>
          <w:tcPr>
            <w:tcW w:type="dxa" w:w="12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{{Party.1.DBR}}</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{{Party.1.BureauScore}}</w:t>
            </w:r>
          </w:p>
        </w:tc>
        <w:tc>
          <w:tcPr>
            <w:tcW w:type="dxa" w:w="20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{{Party.1.Assessment}}</w:t>
            </w:r>
          </w:p>
        </w:tc>
      </w:tr>
      <w:tr>
        <w:tc>
          <w:tcPr>
            <w:tcW w:type="dxa" w:w="2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{{Party.2.Name}}</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{{Party.2.Role}}</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{{Party.2.Income}}</w:t>
            </w:r>
          </w:p>
        </w:tc>
        <w:tc>
          <w:tcPr>
            <w:tcW w:type="dxa" w:w="12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{{Party.2.DBR}}</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{{Party.2.BureauScore}}</w:t>
            </w:r>
          </w:p>
        </w:tc>
        <w:tc>
          <w:tcPr>
            <w:tcW w:type="dxa" w:w="20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{{Party.2.Assessment}}</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7. Structure &amp; Sharia Parameters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٧. الهيكل والمعايير الشرعية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Total ownership units</w:t>
            </w:r>
          </w:p>
          <w:p>
            <w:pPr>
              <w:keepNext w:val="false"/>
              <w:bidi/>
              <w:spacing w:after="0" w:before="0" w:line="250"/>
              <w:jc w:val="right"/>
            </w:pPr>
            <w:r>
              <w:rPr>
                <w:rFonts w:ascii="Arial" w:cs="Arial" w:eastAsia="Arial" w:hAnsi="Arial"/>
                <w:b/>
                <w:bCs/>
                <w:i w:val="false"/>
                <w:iCs w:val="false"/>
                <w:color w:val="16535B"/>
                <w:sz w:val="17"/>
                <w:szCs w:val="17"/>
                <w:rtl/>
              </w:rPr>
              <w:t xml:space="preserve">إجمالي وحدات الملكية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{{Deal.TotalUnits}}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Customer opening units</w:t>
            </w:r>
          </w:p>
          <w:p>
            <w:pPr>
              <w:keepNext w:val="false"/>
              <w:bidi/>
              <w:spacing w:after="0" w:before="0" w:line="250"/>
              <w:jc w:val="right"/>
            </w:pPr>
            <w:r>
              <w:rPr>
                <w:rFonts w:ascii="Arial" w:cs="Arial" w:eastAsia="Arial" w:hAnsi="Arial"/>
                <w:b/>
                <w:bCs/>
                <w:i w:val="false"/>
                <w:iCs w:val="false"/>
                <w:color w:val="16535B"/>
                <w:sz w:val="17"/>
                <w:szCs w:val="17"/>
                <w:rtl/>
              </w:rPr>
              <w:t xml:space="preserve">وحدات العميل الافتتاحية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{{Deal.CustomerOpeningUnits}}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BloX opening units</w:t>
            </w:r>
          </w:p>
          <w:p>
            <w:pPr>
              <w:keepNext w:val="false"/>
              <w:bidi/>
              <w:spacing w:after="0" w:before="0" w:line="250"/>
              <w:jc w:val="right"/>
            </w:pPr>
            <w:r>
              <w:rPr>
                <w:rFonts w:ascii="Arial" w:cs="Arial" w:eastAsia="Arial" w:hAnsi="Arial"/>
                <w:b/>
                <w:bCs/>
                <w:i w:val="false"/>
                <w:iCs w:val="false"/>
                <w:color w:val="16535B"/>
                <w:sz w:val="17"/>
                <w:szCs w:val="17"/>
                <w:rtl/>
              </w:rPr>
              <w:t xml:space="preserve">وحدات بلوكس الافتتاحية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{{Deal.BloXOpeningUnits}}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Units purchased per period</w:t>
            </w:r>
          </w:p>
          <w:p>
            <w:pPr>
              <w:keepNext w:val="false"/>
              <w:bidi/>
              <w:spacing w:after="0" w:before="0" w:line="250"/>
              <w:jc w:val="right"/>
            </w:pPr>
            <w:r>
              <w:rPr>
                <w:rFonts w:ascii="Arial" w:cs="Arial" w:eastAsia="Arial" w:hAnsi="Arial"/>
                <w:b/>
                <w:bCs/>
                <w:i w:val="false"/>
                <w:iCs w:val="false"/>
                <w:color w:val="16535B"/>
                <w:sz w:val="17"/>
                <w:szCs w:val="17"/>
                <w:rtl/>
              </w:rPr>
              <w:t xml:space="preserve">الوحدات المشتراة كل فترة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{{Deal.UnitsPerPeriod}}</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Unit price basis</w:t>
            </w:r>
          </w:p>
          <w:p>
            <w:pPr>
              <w:keepNext w:val="false"/>
              <w:bidi/>
              <w:spacing w:after="0" w:before="0" w:line="250"/>
              <w:jc w:val="right"/>
            </w:pPr>
            <w:r>
              <w:rPr>
                <w:rFonts w:ascii="Arial" w:cs="Arial" w:eastAsia="Arial" w:hAnsi="Arial"/>
                <w:b/>
                <w:bCs/>
                <w:i w:val="false"/>
                <w:iCs w:val="false"/>
                <w:color w:val="16535B"/>
                <w:sz w:val="17"/>
                <w:szCs w:val="17"/>
                <w:rtl/>
              </w:rPr>
              <w:t xml:space="preserve">أساس سعر الوحدة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{{Deal.UnitPriceBasis}}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Ijarah rental basis</w:t>
            </w:r>
          </w:p>
          <w:p>
            <w:pPr>
              <w:keepNext w:val="false"/>
              <w:bidi/>
              <w:spacing w:after="0" w:before="0" w:line="250"/>
              <w:jc w:val="right"/>
            </w:pPr>
            <w:r>
              <w:rPr>
                <w:rFonts w:ascii="Arial" w:cs="Arial" w:eastAsia="Arial" w:hAnsi="Arial"/>
                <w:b/>
                <w:bCs/>
                <w:i w:val="false"/>
                <w:iCs w:val="false"/>
                <w:color w:val="16535B"/>
                <w:sz w:val="17"/>
                <w:szCs w:val="17"/>
                <w:rtl/>
              </w:rPr>
              <w:t xml:space="preserve">أساس أجرة الإجارة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{{Deal.RentalBasis}}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Takaful operator</w:t>
            </w:r>
          </w:p>
          <w:p>
            <w:pPr>
              <w:keepNext w:val="false"/>
              <w:bidi/>
              <w:spacing w:after="0" w:before="0" w:line="250"/>
              <w:jc w:val="right"/>
            </w:pPr>
            <w:r>
              <w:rPr>
                <w:rFonts w:ascii="Arial" w:cs="Arial" w:eastAsia="Arial" w:hAnsi="Arial"/>
                <w:b/>
                <w:bCs/>
                <w:i w:val="false"/>
                <w:iCs w:val="false"/>
                <w:color w:val="16535B"/>
                <w:sz w:val="17"/>
                <w:szCs w:val="17"/>
                <w:rtl/>
              </w:rPr>
              <w:t xml:space="preserve">مشغل التكافل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{{Takaful.Operator}}</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Takaful borne by</w:t>
            </w:r>
          </w:p>
          <w:p>
            <w:pPr>
              <w:keepNext w:val="false"/>
              <w:bidi/>
              <w:spacing w:after="0" w:before="0" w:line="250"/>
              <w:jc w:val="right"/>
            </w:pPr>
            <w:r>
              <w:rPr>
                <w:rFonts w:ascii="Arial" w:cs="Arial" w:eastAsia="Arial" w:hAnsi="Arial"/>
                <w:b/>
                <w:bCs/>
                <w:i w:val="false"/>
                <w:iCs w:val="false"/>
                <w:color w:val="16535B"/>
                <w:sz w:val="17"/>
                <w:szCs w:val="17"/>
                <w:rtl/>
              </w:rPr>
              <w:t xml:space="preserve">من يتحمل التكافل</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{{Takaful.BorneBy}}</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Asset Sharia-permissible</w:t>
            </w:r>
          </w:p>
          <w:p>
            <w:pPr>
              <w:keepNext w:val="false"/>
              <w:bidi/>
              <w:spacing w:after="0" w:before="0" w:line="250"/>
              <w:jc w:val="right"/>
            </w:pPr>
            <w:r>
              <w:rPr>
                <w:rFonts w:ascii="Arial" w:cs="Arial" w:eastAsia="Arial" w:hAnsi="Arial"/>
                <w:b/>
                <w:bCs/>
                <w:i w:val="false"/>
                <w:iCs w:val="false"/>
                <w:color w:val="16535B"/>
                <w:sz w:val="17"/>
                <w:szCs w:val="17"/>
                <w:rtl/>
              </w:rPr>
              <w:t xml:space="preserve">الأصل جائز شرعاً</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{{Sharia.AssetPermissible}}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Product approved by SSB</w:t>
            </w:r>
          </w:p>
          <w:p>
            <w:pPr>
              <w:keepNext w:val="false"/>
              <w:bidi/>
              <w:spacing w:after="0" w:before="0" w:line="250"/>
              <w:jc w:val="right"/>
            </w:pPr>
            <w:r>
              <w:rPr>
                <w:rFonts w:ascii="Arial" w:cs="Arial" w:eastAsia="Arial" w:hAnsi="Arial"/>
                <w:b/>
                <w:bCs/>
                <w:i w:val="false"/>
                <w:iCs w:val="false"/>
                <w:color w:val="16535B"/>
                <w:sz w:val="17"/>
                <w:szCs w:val="17"/>
                <w:rtl/>
              </w:rPr>
              <w:t xml:space="preserve">المنتج معتمد من الهيئة الشرعية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{{Sharia.SSBApprovalRef}}</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8. Underwriter Assessment</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٨. تقييم مسؤول الدراسة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Strengths</w:t>
            </w:r>
          </w:p>
          <w:p>
            <w:pPr>
              <w:keepNext w:val="false"/>
              <w:bidi/>
              <w:spacing w:after="0" w:before="0" w:line="250"/>
              <w:jc w:val="right"/>
            </w:pPr>
            <w:r>
              <w:rPr>
                <w:rFonts w:ascii="Arial" w:cs="Arial" w:eastAsia="Arial" w:hAnsi="Arial"/>
                <w:b/>
                <w:bCs/>
                <w:i w:val="false"/>
                <w:iCs w:val="false"/>
                <w:color w:val="16535B"/>
                <w:sz w:val="17"/>
                <w:szCs w:val="17"/>
                <w:rtl/>
              </w:rPr>
              <w:t xml:space="preserve">نقاط القوة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{{CAM.Strengths}}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Weaknesses / concerns</w:t>
            </w:r>
          </w:p>
          <w:p>
            <w:pPr>
              <w:keepNext w:val="false"/>
              <w:bidi/>
              <w:spacing w:after="0" w:before="0" w:line="250"/>
              <w:jc w:val="right"/>
            </w:pPr>
            <w:r>
              <w:rPr>
                <w:rFonts w:ascii="Arial" w:cs="Arial" w:eastAsia="Arial" w:hAnsi="Arial"/>
                <w:b/>
                <w:bCs/>
                <w:i w:val="false"/>
                <w:iCs w:val="false"/>
                <w:color w:val="16535B"/>
                <w:sz w:val="17"/>
                <w:szCs w:val="17"/>
                <w:rtl/>
              </w:rPr>
              <w:t xml:space="preserve">نقاط الضعف والملاحظات</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{{CAM.Weaknesses}}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Mitigants</w:t>
            </w:r>
          </w:p>
          <w:p>
            <w:pPr>
              <w:keepNext w:val="false"/>
              <w:bidi/>
              <w:spacing w:after="0" w:before="0" w:line="250"/>
              <w:jc w:val="right"/>
            </w:pPr>
            <w:r>
              <w:rPr>
                <w:rFonts w:ascii="Arial" w:cs="Arial" w:eastAsia="Arial" w:hAnsi="Arial"/>
                <w:b/>
                <w:bCs/>
                <w:i w:val="false"/>
                <w:iCs w:val="false"/>
                <w:color w:val="16535B"/>
                <w:sz w:val="17"/>
                <w:szCs w:val="17"/>
                <w:rtl/>
              </w:rPr>
              <w:t xml:space="preserve">عوامل التخفيف</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{{CAM.Mitigants}}</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Recommendation</w:t>
            </w:r>
          </w:p>
          <w:p>
            <w:pPr>
              <w:keepNext w:val="false"/>
              <w:bidi/>
              <w:spacing w:after="0" w:before="0" w:line="250"/>
              <w:jc w:val="right"/>
            </w:pPr>
            <w:r>
              <w:rPr>
                <w:rFonts w:ascii="Arial" w:cs="Arial" w:eastAsia="Arial" w:hAnsi="Arial"/>
                <w:b/>
                <w:bCs/>
                <w:i w:val="false"/>
                <w:iCs w:val="false"/>
                <w:color w:val="16535B"/>
                <w:sz w:val="17"/>
                <w:szCs w:val="17"/>
                <w:rtl/>
              </w:rPr>
              <w:t xml:space="preserve">التوصية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{{CAM.Recommendation}}</w:t>
            </w:r>
          </w:p>
        </w:tc>
      </w:tr>
    </w:tbl>
    <w:p>
      <w:pPr>
        <w:spacing w:after="16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9. Policy Exceptions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٩. الاستثناءات من السياسة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400"/>
        <w:gridCol w:w="1600"/>
        <w:gridCol w:w="1500"/>
        <w:gridCol w:w="2600"/>
        <w:gridCol w:w="1806"/>
      </w:tblGrid>
      <w:tr>
        <w:trPr>
          <w:tblHeader/>
        </w:trPr>
        <w:tc>
          <w:tcPr>
            <w:tcW w:type="dxa" w:w="2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item</w:t>
            </w:r>
          </w:p>
          <w:p>
            <w:pPr>
              <w:keepNext w:val="false"/>
              <w:bidi/>
              <w:spacing w:after="0" w:before="0" w:line="250"/>
              <w:jc w:val="right"/>
            </w:pPr>
            <w:r>
              <w:rPr>
                <w:rFonts w:ascii="Arial" w:cs="Arial" w:eastAsia="Arial" w:hAnsi="Arial"/>
                <w:b/>
                <w:bCs/>
                <w:i w:val="false"/>
                <w:iCs w:val="false"/>
                <w:color w:val="FFFFFF"/>
                <w:sz w:val="15"/>
                <w:szCs w:val="15"/>
                <w:rtl/>
              </w:rPr>
              <w:t xml:space="preserve">بند السياسة</w:t>
            </w:r>
          </w:p>
        </w:tc>
        <w:tc>
          <w:tcPr>
            <w:tcW w:type="dxa" w:w="1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Policy limit</w:t>
            </w:r>
          </w:p>
          <w:p>
            <w:pPr>
              <w:keepNext w:val="false"/>
              <w:bidi/>
              <w:spacing w:after="0" w:before="0" w:line="250"/>
              <w:jc w:val="right"/>
            </w:pPr>
            <w:r>
              <w:rPr>
                <w:rFonts w:ascii="Arial" w:cs="Arial" w:eastAsia="Arial" w:hAnsi="Arial"/>
                <w:b/>
                <w:bCs/>
                <w:i w:val="false"/>
                <w:iCs w:val="false"/>
                <w:color w:val="FFFFFF"/>
                <w:sz w:val="15"/>
                <w:szCs w:val="15"/>
                <w:rtl/>
              </w:rPr>
              <w:t xml:space="preserve">حد السياسة</w:t>
            </w:r>
          </w:p>
        </w:tc>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Actual</w:t>
            </w:r>
          </w:p>
          <w:p>
            <w:pPr>
              <w:keepNext w:val="false"/>
              <w:bidi/>
              <w:spacing w:after="0" w:before="0" w:line="250"/>
              <w:jc w:val="right"/>
            </w:pPr>
            <w:r>
              <w:rPr>
                <w:rFonts w:ascii="Arial" w:cs="Arial" w:eastAsia="Arial" w:hAnsi="Arial"/>
                <w:b/>
                <w:bCs/>
                <w:i w:val="false"/>
                <w:iCs w:val="false"/>
                <w:color w:val="FFFFFF"/>
                <w:sz w:val="15"/>
                <w:szCs w:val="15"/>
                <w:rtl/>
              </w:rPr>
              <w:t xml:space="preserve">الفعلي</w:t>
            </w:r>
          </w:p>
        </w:tc>
        <w:tc>
          <w:tcPr>
            <w:tcW w:type="dxa" w:w="26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Compensating factor</w:t>
            </w:r>
          </w:p>
          <w:p>
            <w:pPr>
              <w:keepNext w:val="false"/>
              <w:bidi/>
              <w:spacing w:after="0" w:before="0" w:line="250"/>
              <w:jc w:val="right"/>
            </w:pPr>
            <w:r>
              <w:rPr>
                <w:rFonts w:ascii="Arial" w:cs="Arial" w:eastAsia="Arial" w:hAnsi="Arial"/>
                <w:b/>
                <w:bCs/>
                <w:i w:val="false"/>
                <w:iCs w:val="false"/>
                <w:color w:val="FFFFFF"/>
                <w:sz w:val="15"/>
                <w:szCs w:val="15"/>
                <w:rtl/>
              </w:rPr>
              <w:t xml:space="preserve">العامل المعوّض</w:t>
            </w:r>
          </w:p>
        </w:tc>
        <w:tc>
          <w:tcPr>
            <w:tcW w:type="dxa" w:w="18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Escalated to</w:t>
            </w:r>
          </w:p>
          <w:p>
            <w:pPr>
              <w:keepNext w:val="false"/>
              <w:bidi/>
              <w:spacing w:after="0" w:before="0" w:line="250"/>
              <w:jc w:val="right"/>
            </w:pPr>
            <w:r>
              <w:rPr>
                <w:rFonts w:ascii="Arial" w:cs="Arial" w:eastAsia="Arial" w:hAnsi="Arial"/>
                <w:b/>
                <w:bCs/>
                <w:i w:val="false"/>
                <w:iCs w:val="false"/>
                <w:color w:val="FFFFFF"/>
                <w:sz w:val="15"/>
                <w:szCs w:val="15"/>
                <w:rtl/>
              </w:rPr>
              <w:t xml:space="preserve">أحيل إلى</w:t>
            </w:r>
          </w:p>
        </w:tc>
      </w:tr>
      <w:tr>
        <w:tc>
          <w:tcPr>
            <w:tcW w:type="dxa" w:w="2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{{Exception.1.Item}}</w:t>
            </w:r>
          </w:p>
        </w:tc>
        <w:tc>
          <w:tcPr>
            <w:tcW w:type="dxa" w:w="1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{{Exception.1.Limit}}</w:t>
            </w:r>
          </w:p>
        </w:tc>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{{Exception.1.Actual}}</w:t>
            </w:r>
          </w:p>
        </w:tc>
        <w:tc>
          <w:tcPr>
            <w:tcW w:type="dxa" w:w="26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{{Exception.1.Mitigant}}</w:t>
            </w:r>
          </w:p>
        </w:tc>
        <w:tc>
          <w:tcPr>
            <w:tcW w:type="dxa" w:w="18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{{Exception.1.EscalatedTo}}</w:t>
            </w:r>
          </w:p>
        </w:tc>
      </w:tr>
      <w:tr>
        <w:tc>
          <w:tcPr>
            <w:tcW w:type="dxa" w:w="2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{{Exception.2.Item}}</w:t>
            </w:r>
          </w:p>
        </w:tc>
        <w:tc>
          <w:tcPr>
            <w:tcW w:type="dxa" w:w="1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{{Exception.2.Limit}}</w:t>
            </w:r>
          </w:p>
        </w:tc>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{{Exception.2.Actual}}</w:t>
            </w:r>
          </w:p>
        </w:tc>
        <w:tc>
          <w:tcPr>
            <w:tcW w:type="dxa" w:w="26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{{Exception.2.Mitigant}}</w:t>
            </w:r>
          </w:p>
        </w:tc>
        <w:tc>
          <w:tcPr>
            <w:tcW w:type="dxa" w:w="18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{{Exception.2.EscalatedTo}}</w:t>
            </w:r>
          </w:p>
        </w:tc>
      </w:tr>
    </w:tbl>
    <w:p>
      <w:pPr>
        <w:spacing w:after="10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4953"/>
        <w:gridCol w:w="4953"/>
      </w:tblGrid>
      <w:tr>
        <w:tc>
          <w:tcPr>
            <w:tcW w:type="dxa" w:w="4953"/>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Reporting rule</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Every row rendered here is reported in the monthly exception report to the Board Risk Committee. A facility approved outside policy without a row here is an audit finding by definition.</w:t>
            </w:r>
          </w:p>
        </w:tc>
        <w:tc>
          <w:tcPr>
            <w:tcW w:type="dxa" w:w="4953"/>
            <w:shd w:fill="EEF4F4"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قاعدة الإبلاغ</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يدرج كل بند يظهر هنا في تقرير الاستثناءات الشهري المرفوع للجنة المخاطر بالمجلس. ويعد اعتماد أي تسهيل خارج السياسة دون تسجيله هنا ملاحظة تدقيق بحكم التعريف.</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10. Approved Structure &amp; Conditions</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١٠. الهيكل المعتمد والشروط</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2179"/>
        <w:gridCol w:w="2774"/>
        <w:gridCol w:w="2179"/>
        <w:gridCol w:w="2774"/>
      </w:tblGrid>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Decision</w:t>
            </w:r>
          </w:p>
          <w:p>
            <w:pPr>
              <w:keepNext w:val="false"/>
              <w:bidi/>
              <w:spacing w:after="0" w:before="0" w:line="250"/>
              <w:jc w:val="right"/>
            </w:pPr>
            <w:r>
              <w:rPr>
                <w:rFonts w:ascii="Arial" w:cs="Arial" w:eastAsia="Arial" w:hAnsi="Arial"/>
                <w:b/>
                <w:bCs/>
                <w:i w:val="false"/>
                <w:iCs w:val="false"/>
                <w:color w:val="16535B"/>
                <w:sz w:val="17"/>
                <w:szCs w:val="17"/>
                <w:rtl/>
              </w:rPr>
              <w:t xml:space="preserve">القرار</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{{Decision.Outcome}}</w:t>
            </w:r>
            <w:r>
              <w:rPr>
                <w:rFonts w:ascii="Arial" w:cs="Arial" w:eastAsia="Arial" w:hAnsi="Arial"/>
                <w:b w:val="false"/>
                <w:bCs w:val="false"/>
                <w:i w:val="false"/>
                <w:iCs w:val="false"/>
                <w:color w:val="1F2933"/>
                <w:sz w:val="18"/>
                <w:szCs w:val="18"/>
                <w:rtl w:val="false"/>
              </w:rPr>
              <w:t xml:space="preserve">  (Approve / Approve with conditions / Decline)</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BloX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مساهمة بلوكس المعتمدة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{{Decision.ApprovedAmount}}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term</w:t>
            </w:r>
          </w:p>
          <w:p>
            <w:pPr>
              <w:keepNext w:val="false"/>
              <w:bidi/>
              <w:spacing w:after="0" w:before="0" w:line="250"/>
              <w:jc w:val="right"/>
            </w:pPr>
            <w:r>
              <w:rPr>
                <w:rFonts w:ascii="Arial" w:cs="Arial" w:eastAsia="Arial" w:hAnsi="Arial"/>
                <w:b/>
                <w:bCs/>
                <w:i w:val="false"/>
                <w:iCs w:val="false"/>
                <w:color w:val="16535B"/>
                <w:sz w:val="17"/>
                <w:szCs w:val="17"/>
                <w:rtl/>
              </w:rPr>
              <w:t xml:space="preserve">المدة المعتمدة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{{Decision.ApprovedTermMonths}}</w:t>
            </w:r>
            <w:r>
              <w:rPr>
                <w:rFonts w:ascii="Arial" w:cs="Arial" w:eastAsia="Arial" w:hAnsi="Arial"/>
                <w:b w:val="false"/>
                <w:bCs w:val="false"/>
                <w:i w:val="false"/>
                <w:iCs w:val="false"/>
                <w:color w:val="1F2933"/>
                <w:sz w:val="18"/>
                <w:szCs w:val="18"/>
                <w:rtl w:val="false"/>
              </w:rPr>
              <w:t xml:space="preserve"> months</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Approved rental rate</w:t>
            </w:r>
          </w:p>
          <w:p>
            <w:pPr>
              <w:keepNext w:val="false"/>
              <w:bidi/>
              <w:spacing w:after="0" w:before="0" w:line="250"/>
              <w:jc w:val="right"/>
            </w:pPr>
            <w:r>
              <w:rPr>
                <w:rFonts w:ascii="Arial" w:cs="Arial" w:eastAsia="Arial" w:hAnsi="Arial"/>
                <w:b/>
                <w:bCs/>
                <w:i w:val="false"/>
                <w:iCs w:val="false"/>
                <w:color w:val="16535B"/>
                <w:sz w:val="17"/>
                <w:szCs w:val="17"/>
                <w:rtl/>
              </w:rPr>
              <w:t xml:space="preserve">معدل الأجرة المعتمد</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{{Decision.ApprovedRentalRate}}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Required contribution</w:t>
            </w:r>
          </w:p>
          <w:p>
            <w:pPr>
              <w:keepNext w:val="false"/>
              <w:bidi/>
              <w:spacing w:after="0" w:before="0" w:line="250"/>
              <w:jc w:val="right"/>
            </w:pPr>
            <w:r>
              <w:rPr>
                <w:rFonts w:ascii="Arial" w:cs="Arial" w:eastAsia="Arial" w:hAnsi="Arial"/>
                <w:b/>
                <w:bCs/>
                <w:i w:val="false"/>
                <w:iCs w:val="false"/>
                <w:color w:val="16535B"/>
                <w:sz w:val="17"/>
                <w:szCs w:val="17"/>
                <w:rtl/>
              </w:rPr>
              <w:t xml:space="preserve">المساهمة المطلوبة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8"/>
                <w:szCs w:val="18"/>
                <w:rtl w:val="false"/>
              </w:rPr>
              <w:t xml:space="preserve">QAR </w:t>
            </w:r>
            <w:r>
              <w:rPr>
                <w:rFonts w:ascii="Arial" w:cs="Arial" w:eastAsia="Arial" w:hAnsi="Arial"/>
                <w:b/>
                <w:bCs/>
                <w:i w:val="false"/>
                <w:iCs w:val="false"/>
                <w:color w:val="16535B"/>
                <w:sz w:val="18"/>
                <w:szCs w:val="18"/>
                <w:rtl w:val="false"/>
              </w:rPr>
              <w:t xml:space="preserve">{{Decision.RequiredContribution}}</w:t>
            </w:r>
          </w:p>
        </w:tc>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Approval expiry</w:t>
            </w:r>
          </w:p>
          <w:p>
            <w:pPr>
              <w:keepNext w:val="false"/>
              <w:bidi/>
              <w:spacing w:after="0" w:before="0" w:line="250"/>
              <w:jc w:val="right"/>
            </w:pPr>
            <w:r>
              <w:rPr>
                <w:rFonts w:ascii="Arial" w:cs="Arial" w:eastAsia="Arial" w:hAnsi="Arial"/>
                <w:b/>
                <w:bCs/>
                <w:i w:val="false"/>
                <w:iCs w:val="false"/>
                <w:color w:val="16535B"/>
                <w:sz w:val="17"/>
                <w:szCs w:val="17"/>
                <w:rtl/>
              </w:rPr>
              <w:t xml:space="preserve">انتهاء صلاحية الموافقة</w:t>
            </w:r>
          </w:p>
        </w:tc>
        <w:tc>
          <w:tcPr>
            <w:tcW w:type="dxa" w:w="2774"/>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{{Decision.ExpiryDate}}</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Conditions precedent</w:t>
            </w:r>
          </w:p>
          <w:p>
            <w:pPr>
              <w:keepNext w:val="false"/>
              <w:bidi/>
              <w:spacing w:after="0" w:before="0" w:line="250"/>
              <w:jc w:val="right"/>
            </w:pPr>
            <w:r>
              <w:rPr>
                <w:rFonts w:ascii="Arial" w:cs="Arial" w:eastAsia="Arial" w:hAnsi="Arial"/>
                <w:b/>
                <w:bCs/>
                <w:i w:val="false"/>
                <w:iCs w:val="false"/>
                <w:color w:val="16535B"/>
                <w:sz w:val="17"/>
                <w:szCs w:val="17"/>
                <w:rtl/>
              </w:rPr>
              <w:t xml:space="preserve">الشروط الواجب استيفاؤها</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{{Decision.ConditionsPrecedent}}</w:t>
            </w:r>
          </w:p>
        </w:tc>
      </w:tr>
      <w:tr>
        <w:tc>
          <w:tcPr>
            <w:tcW w:type="dxa" w:w="2179"/>
            <w:shd w:fill="EEF4F4" w:color="auto" w:val="clear"/>
            <w:tcMar>
              <w:top w:type="dxa" w:w="70"/>
              <w:left w:type="dxa" w:w="110"/>
              <w:bottom w:type="dxa" w:w="70"/>
              <w:right w:type="dxa" w:w="110"/>
            </w:tcMar>
            <w:vAlign w:val="top"/>
          </w:tcPr>
          <w:p>
            <w:pPr>
              <w:keepNext w:val="false"/>
              <w:bidi w:val="false"/>
              <w:spacing w:after="20" w:before="0" w:line="250"/>
              <w:jc w:val="left"/>
            </w:pPr>
            <w:r>
              <w:rPr>
                <w:rFonts w:ascii="Arial" w:cs="Arial" w:eastAsia="Arial" w:hAnsi="Arial"/>
                <w:b/>
                <w:bCs/>
                <w:i w:val="false"/>
                <w:iCs w:val="false"/>
                <w:color w:val="16535B"/>
                <w:sz w:val="17"/>
                <w:szCs w:val="17"/>
                <w:rtl w:val="false"/>
              </w:rPr>
              <w:t xml:space="preserve">Conditions subsequent</w:t>
            </w:r>
          </w:p>
          <w:p>
            <w:pPr>
              <w:keepNext w:val="false"/>
              <w:bidi/>
              <w:spacing w:after="0" w:before="0" w:line="250"/>
              <w:jc w:val="right"/>
            </w:pPr>
            <w:r>
              <w:rPr>
                <w:rFonts w:ascii="Arial" w:cs="Arial" w:eastAsia="Arial" w:hAnsi="Arial"/>
                <w:b/>
                <w:bCs/>
                <w:i w:val="false"/>
                <w:iCs w:val="false"/>
                <w:color w:val="16535B"/>
                <w:sz w:val="17"/>
                <w:szCs w:val="17"/>
                <w:rtl/>
              </w:rPr>
              <w:t xml:space="preserve">الشروط اللاحقة</w:t>
            </w:r>
          </w:p>
        </w:tc>
        <w:tc>
          <w:tcPr>
            <w:tcW w:type="dxa" w:w="7727"/>
            <w:gridSpan w:val="3"/>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8"/>
                <w:szCs w:val="18"/>
                <w:rtl w:val="false"/>
              </w:rPr>
              <w:t xml:space="preserve">{{Decision.ConditionsSubsequent}}</w:t>
            </w:r>
          </w:p>
        </w:tc>
      </w:tr>
    </w:tbl>
    <w:p>
      <w:pPr>
        <w:spacing w:after="180"/>
      </w:pPr>
      <w:r>
        <w:t xml:space="preserve"/>
      </w:r>
    </w:p>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53"/>
        <w:gridCol w:w="4953"/>
      </w:tblGrid>
      <w:tr>
        <w:tc>
          <w:tcPr>
            <w:tcW w:type="dxa" w:w="4953"/>
            <w:shd w:fill="16535B" w:color="auto" w:val="clear"/>
            <w:tcMar>
              <w:top w:type="dxa" w:w="60"/>
              <w:left w:type="dxa" w:w="110"/>
              <w:bottom w:type="dxa" w:w="60"/>
              <w:right w:type="dxa" w:w="110"/>
            </w:tcMar>
            <w:vAlign w:val="top"/>
          </w:tcPr>
          <w:p>
            <w:pPr>
              <w:keepNext w:val="false"/>
              <w:bidi w:val="false"/>
              <w:spacing w:after="0" w:before="0" w:line="250"/>
              <w:jc w:val="left"/>
            </w:pPr>
            <w:r>
              <w:rPr>
                <w:rFonts w:ascii="Arial" w:cs="Arial" w:eastAsia="Arial" w:hAnsi="Arial"/>
                <w:b/>
                <w:bCs/>
                <w:i w:val="false"/>
                <w:iCs w:val="false"/>
                <w:color w:val="FFFFFF"/>
                <w:sz w:val="20"/>
                <w:szCs w:val="20"/>
                <w:rtl w:val="false"/>
              </w:rPr>
              <w:t xml:space="preserve">11. Approval — Delegated Authority</w:t>
            </w:r>
          </w:p>
        </w:tc>
        <w:tc>
          <w:tcPr>
            <w:tcW w:type="dxa" w:w="4953"/>
            <w:shd w:fill="16535B" w:color="auto" w:val="clear"/>
            <w:tcMar>
              <w:top w:type="dxa" w:w="60"/>
              <w:left w:type="dxa" w:w="110"/>
              <w:bottom w:type="dxa" w:w="60"/>
              <w:right w:type="dxa" w:w="110"/>
            </w:tcMar>
            <w:vAlign w:val="top"/>
          </w:tcPr>
          <w:p>
            <w:pPr>
              <w:keepNext w:val="false"/>
              <w:bidi/>
              <w:spacing w:after="0" w:before="0" w:line="250"/>
              <w:jc w:val="right"/>
            </w:pPr>
            <w:r>
              <w:rPr>
                <w:rFonts w:ascii="Arial" w:cs="Arial" w:eastAsia="Arial" w:hAnsi="Arial"/>
                <w:b/>
                <w:bCs/>
                <w:i w:val="false"/>
                <w:iCs w:val="false"/>
                <w:color w:val="FFFFFF"/>
                <w:sz w:val="20"/>
                <w:szCs w:val="20"/>
                <w:rtl/>
              </w:rPr>
              <w:t xml:space="preserve">١١. الاعتماد — الصلاحيات المفوضة</w:t>
            </w:r>
          </w:p>
        </w:tc>
      </w:tr>
    </w:tbl>
    <w:p>
      <w:pPr>
        <w:spacing w:after="70"/>
      </w:pPr>
      <w:r>
        <w:t xml:space="preserve"/>
      </w:r>
    </w:p>
    <w:tbl>
      <w:tblPr>
        <w:tblW w:type="dxa" w:w="9906"/>
        <w:tblBorders>
          <w:top w:val="single" w:color="C9D6D8" w:sz="4"/>
          <w:left w:val="single" w:color="C9D6D8" w:sz="4"/>
          <w:bottom w:val="single" w:color="C9D6D8" w:sz="4"/>
          <w:right w:val="single" w:color="C9D6D8" w:sz="4"/>
          <w:insideH w:val="single" w:color="C9D6D8" w:sz="4"/>
          <w:insideV w:val="single" w:color="C9D6D8" w:sz="4"/>
        </w:tblBorders>
        <w:tblLayout w:type="fixed"/>
      </w:tblPr>
      <w:tblGrid>
        <w:gridCol w:w="1500"/>
        <w:gridCol w:w="1900"/>
        <w:gridCol w:w="1700"/>
        <w:gridCol w:w="1700"/>
        <w:gridCol w:w="1400"/>
        <w:gridCol w:w="1706"/>
      </w:tblGrid>
      <w:tr>
        <w:trPr>
          <w:tblHeader/>
        </w:trPr>
        <w:tc>
          <w:tcPr>
            <w:tcW w:type="dxa" w:w="15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Stage</w:t>
            </w:r>
          </w:p>
          <w:p>
            <w:pPr>
              <w:keepNext w:val="false"/>
              <w:bidi/>
              <w:spacing w:after="0" w:before="0" w:line="250"/>
              <w:jc w:val="right"/>
            </w:pPr>
            <w:r>
              <w:rPr>
                <w:rFonts w:ascii="Arial" w:cs="Arial" w:eastAsia="Arial" w:hAnsi="Arial"/>
                <w:b/>
                <w:bCs/>
                <w:i w:val="false"/>
                <w:iCs w:val="false"/>
                <w:color w:val="FFFFFF"/>
                <w:sz w:val="15"/>
                <w:szCs w:val="15"/>
                <w:rtl/>
              </w:rPr>
              <w:t xml:space="preserve">المرحلة</w:t>
            </w:r>
          </w:p>
        </w:tc>
        <w:tc>
          <w:tcPr>
            <w:tcW w:type="dxa" w:w="19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Name</w:t>
            </w:r>
          </w:p>
          <w:p>
            <w:pPr>
              <w:keepNext w:val="false"/>
              <w:bidi/>
              <w:spacing w:after="0" w:before="0" w:line="250"/>
              <w:jc w:val="right"/>
            </w:pPr>
            <w:r>
              <w:rPr>
                <w:rFonts w:ascii="Arial" w:cs="Arial" w:eastAsia="Arial" w:hAnsi="Arial"/>
                <w:b/>
                <w:bCs/>
                <w:i w:val="false"/>
                <w:iCs w:val="false"/>
                <w:color w:val="FFFFFF"/>
                <w:sz w:val="15"/>
                <w:szCs w:val="15"/>
                <w:rtl/>
              </w:rPr>
              <w:t xml:space="preserve">الاسم</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Role</w:t>
            </w:r>
          </w:p>
          <w:p>
            <w:pPr>
              <w:keepNext w:val="false"/>
              <w:bidi/>
              <w:spacing w:after="0" w:before="0" w:line="250"/>
              <w:jc w:val="right"/>
            </w:pPr>
            <w:r>
              <w:rPr>
                <w:rFonts w:ascii="Arial" w:cs="Arial" w:eastAsia="Arial" w:hAnsi="Arial"/>
                <w:b/>
                <w:bCs/>
                <w:i w:val="false"/>
                <w:iCs w:val="false"/>
                <w:color w:val="FFFFFF"/>
                <w:sz w:val="15"/>
                <w:szCs w:val="15"/>
                <w:rtl/>
              </w:rPr>
              <w:t xml:space="preserve">الصفة</w:t>
            </w:r>
          </w:p>
        </w:tc>
        <w:tc>
          <w:tcPr>
            <w:tcW w:type="dxa" w:w="17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Authority limit (QAR)</w:t>
            </w:r>
          </w:p>
          <w:p>
            <w:pPr>
              <w:keepNext w:val="false"/>
              <w:bidi/>
              <w:spacing w:after="0" w:before="0" w:line="250"/>
              <w:jc w:val="right"/>
            </w:pPr>
            <w:r>
              <w:rPr>
                <w:rFonts w:ascii="Arial" w:cs="Arial" w:eastAsia="Arial" w:hAnsi="Arial"/>
                <w:b/>
                <w:bCs/>
                <w:i w:val="false"/>
                <w:iCs w:val="false"/>
                <w:color w:val="FFFFFF"/>
                <w:sz w:val="15"/>
                <w:szCs w:val="15"/>
                <w:rtl/>
              </w:rPr>
              <w:t xml:space="preserve">حد الصلاحية</w:t>
            </w:r>
          </w:p>
        </w:tc>
        <w:tc>
          <w:tcPr>
            <w:tcW w:type="dxa" w:w="1400"/>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Decision</w:t>
            </w:r>
          </w:p>
          <w:p>
            <w:pPr>
              <w:keepNext w:val="false"/>
              <w:bidi/>
              <w:spacing w:after="0" w:before="0" w:line="250"/>
              <w:jc w:val="right"/>
            </w:pPr>
            <w:r>
              <w:rPr>
                <w:rFonts w:ascii="Arial" w:cs="Arial" w:eastAsia="Arial" w:hAnsi="Arial"/>
                <w:b/>
                <w:bCs/>
                <w:i w:val="false"/>
                <w:iCs w:val="false"/>
                <w:color w:val="FFFFFF"/>
                <w:sz w:val="15"/>
                <w:szCs w:val="15"/>
                <w:rtl/>
              </w:rPr>
              <w:t xml:space="preserve">القرار</w:t>
            </w:r>
          </w:p>
        </w:tc>
        <w:tc>
          <w:tcPr>
            <w:tcW w:type="dxa" w:w="1706"/>
            <w:shd w:fill="16535B" w:color="auto" w:val="clear"/>
            <w:tcMar>
              <w:top w:type="dxa" w:w="60"/>
              <w:left w:type="dxa" w:w="110"/>
              <w:bottom w:type="dxa" w:w="60"/>
              <w:right w:type="dxa" w:w="110"/>
            </w:tcMar>
            <w:vAlign w:val="top"/>
          </w:tcPr>
          <w:p>
            <w:pPr>
              <w:keepNext w:val="false"/>
              <w:bidi w:val="false"/>
              <w:spacing w:after="20" w:before="0" w:line="250"/>
              <w:jc w:val="left"/>
            </w:pPr>
            <w:r>
              <w:rPr>
                <w:rFonts w:ascii="Arial" w:cs="Arial" w:eastAsia="Arial" w:hAnsi="Arial"/>
                <w:b/>
                <w:bCs/>
                <w:i w:val="false"/>
                <w:iCs w:val="false"/>
                <w:color w:val="FFFFFF"/>
                <w:sz w:val="16"/>
                <w:szCs w:val="16"/>
                <w:rtl w:val="false"/>
              </w:rPr>
              <w:t xml:space="preserve">Date &amp; time</w:t>
            </w:r>
          </w:p>
          <w:p>
            <w:pPr>
              <w:keepNext w:val="false"/>
              <w:bidi/>
              <w:spacing w:after="0" w:before="0" w:line="250"/>
              <w:jc w:val="right"/>
            </w:pPr>
            <w:r>
              <w:rPr>
                <w:rFonts w:ascii="Arial" w:cs="Arial" w:eastAsia="Arial" w:hAnsi="Arial"/>
                <w:b/>
                <w:bCs/>
                <w:i w:val="false"/>
                <w:iCs w:val="false"/>
                <w:color w:val="FFFFFF"/>
                <w:sz w:val="15"/>
                <w:szCs w:val="15"/>
                <w:rtl/>
              </w:rPr>
              <w:t xml:space="preserve">التاريخ والوقت</w:t>
            </w:r>
          </w:p>
        </w:tc>
      </w:tr>
      <w:tr>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Maker / معدّ</w:t>
            </w:r>
          </w:p>
        </w:tc>
        <w:tc>
          <w:tcPr>
            <w:tcW w:type="dxa" w:w="19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{{Approval.Maker.Name}}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{{Approval.Maker.Role}}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w:t>
            </w:r>
          </w:p>
        </w:tc>
        <w:tc>
          <w:tcPr>
            <w:tcW w:type="dxa" w:w="1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{{Approval.Maker.Action}}</w:t>
            </w:r>
          </w:p>
        </w:tc>
        <w:tc>
          <w:tcPr>
            <w:tcW w:type="dxa" w:w="17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{{Approval.Maker.Timestamp}}</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Checker / مراجع</w:t>
            </w:r>
          </w:p>
        </w:tc>
        <w:tc>
          <w:tcPr>
            <w:tcW w:type="dxa" w:w="19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{{Approval.Checker.Name}}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{{Approval.Checker.Role}}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{{Approval.Checker.Limit}}</w:t>
            </w:r>
          </w:p>
        </w:tc>
        <w:tc>
          <w:tcPr>
            <w:tcW w:type="dxa" w:w="1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{{Approval.Checker.Action}}</w:t>
            </w:r>
          </w:p>
        </w:tc>
        <w:tc>
          <w:tcPr>
            <w:tcW w:type="dxa" w:w="17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{{Approval.Checker.Timestamp}}</w:t>
            </w:r>
          </w:p>
        </w:tc>
      </w:tr>
      <w:tr>
        <w:tc>
          <w:tcPr>
            <w:tcW w:type="dxa" w:w="15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Approver / معتمد</w:t>
            </w:r>
          </w:p>
        </w:tc>
        <w:tc>
          <w:tcPr>
            <w:tcW w:type="dxa" w:w="19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{{Approval.Approver.Name}}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{{Approval.Approver.Role}}</w:t>
            </w:r>
          </w:p>
        </w:tc>
        <w:tc>
          <w:tcPr>
            <w:tcW w:type="dxa" w:w="17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{{Approval.Approver.Limit}}</w:t>
            </w:r>
          </w:p>
        </w:tc>
        <w:tc>
          <w:tcPr>
            <w:tcW w:type="dxa" w:w="1400"/>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{{Approval.Approver.Action}}</w:t>
            </w:r>
          </w:p>
        </w:tc>
        <w:tc>
          <w:tcPr>
            <w:tcW w:type="dxa" w:w="1706"/>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{{Approval.Approver.Timestamp}}</w:t>
            </w:r>
          </w:p>
        </w:tc>
      </w:tr>
      <w:tr>
        <w:tc>
          <w:tcPr>
            <w:tcW w:type="dxa" w:w="15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Escalation / تصعيد</w:t>
            </w:r>
          </w:p>
        </w:tc>
        <w:tc>
          <w:tcPr>
            <w:tcW w:type="dxa" w:w="19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{{Approval.Escalation.Name}}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{{Approval.Escalation.Role}}</w:t>
            </w:r>
          </w:p>
        </w:tc>
        <w:tc>
          <w:tcPr>
            <w:tcW w:type="dxa" w:w="17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{{Approval.Escalation.Limit}}</w:t>
            </w:r>
          </w:p>
        </w:tc>
        <w:tc>
          <w:tcPr>
            <w:tcW w:type="dxa" w:w="1400"/>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{{Approval.Escalation.Action}}</w:t>
            </w:r>
          </w:p>
        </w:tc>
        <w:tc>
          <w:tcPr>
            <w:tcW w:type="dxa" w:w="1706"/>
            <w:shd w:fill="EEF4F4"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{{Approval.Escalation.Timestamp}}</w:t>
            </w:r>
          </w:p>
        </w:tc>
      </w:tr>
    </w:tbl>
    <w:p>
      <w:pPr>
        <w:spacing w:after="100"/>
      </w:pPr>
      <w:r>
        <w:t xml:space="preserve"/>
      </w:r>
    </w:p>
    <w:tbl>
      <w:tblPr>
        <w:tblW w:type="dxa" w:w="9906"/>
        <w:tblBorders>
          <w:top w:val="single" w:color="C79A00" w:sz="4"/>
          <w:left w:val="single" w:color="C79A00" w:sz="4"/>
          <w:bottom w:val="single" w:color="C79A00" w:sz="4"/>
          <w:right w:val="single" w:color="C79A00" w:sz="4"/>
          <w:insideH w:val="single" w:color="C79A00" w:sz="4"/>
          <w:insideV w:val="single" w:color="C79A00" w:sz="4"/>
        </w:tblBorders>
        <w:tblLayout w:type="fixed"/>
      </w:tblPr>
      <w:tblGrid>
        <w:gridCol w:w="4953"/>
        <w:gridCol w:w="4953"/>
      </w:tblGrid>
      <w:tr>
        <w:tc>
          <w:tcPr>
            <w:tcW w:type="dxa" w:w="4953"/>
            <w:shd w:fill="FFF8DC" w:color="auto" w:val="clear"/>
            <w:tcMar>
              <w:top w:type="dxa" w:w="70"/>
              <w:left w:type="dxa" w:w="110"/>
              <w:bottom w:type="dxa" w:w="70"/>
              <w:right w:type="dxa" w:w="110"/>
            </w:tcMar>
            <w:vAlign w:val="top"/>
          </w:tcPr>
          <w:p>
            <w:pPr>
              <w:keepNext w:val="false"/>
              <w:bidi w:val="false"/>
              <w:spacing w:after="90" w:before="0" w:line="250"/>
              <w:jc w:val="left"/>
            </w:pPr>
            <w:r>
              <w:rPr>
                <w:rFonts w:ascii="Arial" w:cs="Arial" w:eastAsia="Arial" w:hAnsi="Arial"/>
                <w:b/>
                <w:bCs/>
                <w:i w:val="false"/>
                <w:iCs w:val="false"/>
                <w:color w:val="16535B"/>
                <w:sz w:val="17"/>
                <w:szCs w:val="17"/>
                <w:rtl w:val="false"/>
              </w:rPr>
              <w:t xml:space="preserve">Four eyes, enforced by the system</w:t>
            </w:r>
          </w:p>
          <w:p>
            <w:pPr>
              <w:keepNext w:val="false"/>
              <w:bidi w:val="false"/>
              <w:spacing w:after="90" w:before="0" w:line="250"/>
              <w:jc w:val="left"/>
            </w:pPr>
            <w:r>
              <w:rPr>
                <w:rFonts w:ascii="Arial" w:cs="Arial" w:eastAsia="Arial" w:hAnsi="Arial"/>
                <w:b w:val="false"/>
                <w:bCs w:val="false"/>
                <w:i w:val="false"/>
                <w:iCs w:val="false"/>
                <w:color w:val="1F2933"/>
                <w:sz w:val="17"/>
                <w:szCs w:val="17"/>
                <w:rtl w:val="false"/>
              </w:rPr>
              <w:t xml:space="preserve">Maker and Approver must be different users. The Approver's delegated authority limit is drawn from the BloX Credit Risk Management Policy and printed on the memorandum. Where the approved amount exceeds that limit, the system routes to escalation and the memorandum cannot be marked approved until the escalation row is complete. Timestamps are system-generated and immutable.</w:t>
            </w:r>
          </w:p>
        </w:tc>
        <w:tc>
          <w:tcPr>
            <w:tcW w:type="dxa" w:w="4953"/>
            <w:shd w:fill="FFF8DC" w:color="auto" w:val="clear"/>
            <w:tcMar>
              <w:top w:type="dxa" w:w="70"/>
              <w:left w:type="dxa" w:w="110"/>
              <w:bottom w:type="dxa" w:w="70"/>
              <w:right w:type="dxa" w:w="110"/>
            </w:tcMar>
            <w:vAlign w:val="top"/>
          </w:tcPr>
          <w:p>
            <w:pPr>
              <w:keepNext w:val="false"/>
              <w:bidi/>
              <w:spacing w:after="90" w:before="0" w:line="250"/>
              <w:jc w:val="right"/>
            </w:pPr>
            <w:r>
              <w:rPr>
                <w:rFonts w:ascii="Arial" w:cs="Arial" w:eastAsia="Arial" w:hAnsi="Arial"/>
                <w:b/>
                <w:bCs/>
                <w:i w:val="false"/>
                <w:iCs w:val="false"/>
                <w:color w:val="16535B"/>
                <w:sz w:val="17"/>
                <w:szCs w:val="17"/>
                <w:rtl/>
              </w:rPr>
              <w:t xml:space="preserve">مبدأ الأربع أعين مفروض بالنظام</w:t>
            </w:r>
          </w:p>
          <w:p>
            <w:pPr>
              <w:keepNext w:val="false"/>
              <w:bidi/>
              <w:spacing w:after="90" w:before="0" w:line="250"/>
              <w:jc w:val="right"/>
            </w:pPr>
            <w:r>
              <w:rPr>
                <w:rFonts w:ascii="Arial" w:cs="Arial" w:eastAsia="Arial" w:hAnsi="Arial"/>
                <w:b w:val="false"/>
                <w:bCs w:val="false"/>
                <w:i w:val="false"/>
                <w:iCs w:val="false"/>
                <w:color w:val="1F2933"/>
                <w:sz w:val="17"/>
                <w:szCs w:val="17"/>
                <w:rtl/>
              </w:rPr>
              <w:t xml:space="preserve">يجب أن يكون المعدّ والمعتمد مستخدمين مختلفين. ويؤخذ حد الصلاحية المفوضة للمعتمد من سياسة إدارة مخاطر الائتمان لدى بلوكس ويطبع على المذكرة. وإذا تجاوز المبلغ المعتمد ذلك الحد يحيل النظام الطلب للتصعيد، ولا يمكن اعتماد المذكرة حتى يكتمل سطر التصعيد. والطوابع الزمنية تولد آلياً وغير قابلة للتعديل.</w:t>
            </w:r>
          </w:p>
        </w:tc>
      </w:tr>
    </w:tbl>
    <w:sectPr>
      <w:headerReference w:type="default" r:id="rId7"/>
      <w:footerReference w:type="default" r:id="rId8"/>
      <w:pgSz w:w="11906" w:h="16838" w:orient="portrait"/>
      <w:pgMar w:top="1000" w:right="1000" w:bottom="10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C9D6D8" w:sz="4"/>
      </w:pBdr>
      <w:spacing w:after="60"/>
    </w:pPr>
    <w:r>
      <w:t xml:space="preserve"/>
    </w:r>
  </w:p>
  <w:p>
    <w:pPr>
      <w:tabs>
        <w:tab w:val="right" w:pos="9906"/>
      </w:tabs>
    </w:pPr>
    <w:r>
      <w:rPr>
        <w:rFonts w:ascii="Arial" w:cs="Arial" w:eastAsia="Arial" w:hAnsi="Arial"/>
        <w:color w:val="708090"/>
        <w:sz w:val="13"/>
        <w:szCs w:val="13"/>
      </w:rPr>
      <w:t xml:space="preserve">BLX-TPL-004 · BloX LLC · INTERNAL · CONFIDENTIAL · blox-it.com</w:t>
    </w:r>
    <w:r>
      <w:rPr>
        <w:rFonts w:ascii="Arial" w:cs="Arial" w:eastAsia="Arial" w:hAnsi="Arial"/>
        <w:sz w:val="13"/>
        <w:szCs w:val="13"/>
      </w:rPr>
      <w:t xml:space="preserve">	</w:t>
    </w:r>
    <w:r>
      <w:rPr>
        <w:rFonts w:ascii="Arial" w:cs="Arial" w:eastAsia="Arial" w:hAnsi="Arial"/>
        <w:color w:val="708090"/>
        <w:sz w:val="13"/>
        <w:szCs w:val="13"/>
      </w:rPr>
      <w:t xml:space="preserve">Page </w:t>
    </w:r>
    <w:r>
      <w:rPr>
        <w:rFonts w:ascii="Arial" w:cs="Arial" w:eastAsia="Arial" w:hAnsi="Arial"/>
        <w:color w:val="708090"/>
        <w:sz w:val="13"/>
        <w:szCs w:val="13"/>
      </w:rPr>
      <w:fldChar w:fldCharType="begin"/>
      <w:instrText xml:space="preserve">PAGE</w:instrText>
      <w:fldChar w:fldCharType="separate"/>
      <w:fldChar w:fldCharType="end"/>
    </w:r>
    <w:r>
      <w:rPr>
        <w:rFonts w:ascii="Arial" w:cs="Arial" w:eastAsia="Arial" w:hAnsi="Arial"/>
        <w:color w:val="708090"/>
        <w:sz w:val="13"/>
        <w:szCs w:val="13"/>
      </w:rPr>
      <w:t xml:space="preserve"> of </w:t>
    </w:r>
    <w:r>
      <w:rPr>
        <w:rFonts w:ascii="Arial" w:cs="Arial" w:eastAsia="Arial" w:hAnsi="Arial"/>
        <w:color w:val="708090"/>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906"/>
    </w:tblGrid>
    <w:tr>
      <w:tc>
        <w:tcPr>
          <w:tcW w:type="dxa" w:w="4000"/>
          <w:tcMar>
            <w:top w:type="dxa" w:w="0"/>
            <w:left w:type="dxa" w:w="0"/>
            <w:bottom w:type="dxa" w:w="0"/>
            <w:right w:type="dxa" w:w="110"/>
          </w:tcMar>
          <w:vAlign w:val="top"/>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pPr>
            <w:spacing w:after="0"/>
          </w:pPr>
          <w:r>
            <w:rPr>
              <w:rFonts w:ascii="Arial" w:cs="Arial" w:eastAsia="Arial" w:hAnsi="Arial"/>
              <w:color w:val="708090"/>
              <w:sz w:val="11"/>
              <w:szCs w:val="11"/>
            </w:rPr>
            <w:t xml:space="preserve">F I N A N C E   U N B O X E D</w:t>
          </w:r>
        </w:p>
      </w:tc>
      <w:tc>
        <w:tcPr>
          <w:tcW w:type="dxa" w:w="5906"/>
          <w:tcMar>
            <w:top w:type="dxa" w:w="0"/>
            <w:left w:type="dxa" w:w="110"/>
            <w:bottom w:type="dxa" w:w="0"/>
            <w:right w:type="dxa" w:w="0"/>
          </w:tcMar>
          <w:vAlign w:val="top"/>
        </w:tcPr>
        <w:p>
          <w:pPr>
            <w:spacing w:after="0"/>
            <w:jc w:val="right"/>
          </w:pPr>
          <w:r>
            <w:rPr>
              <w:rFonts w:ascii="Arial" w:cs="Arial" w:eastAsia="Arial" w:hAnsi="Arial"/>
              <w:b/>
              <w:bCs/>
              <w:color w:val="708090"/>
              <w:sz w:val="15"/>
              <w:szCs w:val="15"/>
            </w:rPr>
            <w:t xml:space="preserve">BloX LLC</w:t>
          </w:r>
        </w:p>
        <w:p>
          <w:pPr>
            <w:spacing w:after="0"/>
            <w:jc w:val="right"/>
          </w:pPr>
          <w:r>
            <w:rPr>
              <w:rFonts w:ascii="Arial" w:cs="Arial" w:eastAsia="Arial" w:hAnsi="Arial"/>
              <w:color w:val="708090"/>
              <w:sz w:val="13"/>
              <w:szCs w:val="13"/>
            </w:rPr>
            <w:t xml:space="preserve">Qatar Financial Centre · QFC No. 03403 · Doha, Qatar</w:t>
          </w:r>
        </w:p>
      </w:tc>
    </w:tr>
  </w:tbl>
  <w:p>
    <w:pPr>
      <w:pBdr>
        <w:bottom w:val="single" w:color="00CFA2" w:sz="8"/>
      </w:pBdr>
      <w:spacing w:after="160" w:before="2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Appraisal Memorandum</dc:title>
  <dc:creator>BloX LLC</dc:creator>
  <dc:description>BloX LLC document template BLX-TPL-004 v1.1</dc:description>
  <cp:lastModifiedBy>Un-named</cp:lastModifiedBy>
  <cp:revision>1</cp:revision>
  <dcterms:created xsi:type="dcterms:W3CDTF">2026-09-10T08:44:36.763Z</dcterms:created>
  <dcterms:modified xsi:type="dcterms:W3CDTF">2026-09-10T08:44:36.763Z</dcterms:modified>
</cp:coreProperties>
</file>

<file path=docProps/custom.xml><?xml version="1.0" encoding="utf-8"?>
<Properties xmlns="http://schemas.openxmlformats.org/officeDocument/2006/custom-properties" xmlns:vt="http://schemas.openxmlformats.org/officeDocument/2006/docPropsVTypes"/>
</file>