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tcMar>
              <w:top w:type="dxa" w:w="70"/>
              <w:left w:type="dxa" w:w="110"/>
              <w:bottom w:type="dxa" w:w="70"/>
              <w:right w:type="dxa" w:w="110"/>
            </w:tcMar>
            <w:vAlign w:val="top"/>
          </w:tcPr>
          <w:p>
            <w:pPr>
              <w:keepNext w:val="false"/>
              <w:bidi w:val="false"/>
              <w:spacing w:after="40" w:before="0" w:line="250"/>
              <w:jc w:val="left"/>
            </w:pPr>
            <w:r>
              <w:rPr>
                <w:rFonts w:ascii="Arial" w:cs="Arial" w:eastAsia="Arial" w:hAnsi="Arial"/>
                <w:b/>
                <w:bCs/>
                <w:i w:val="false"/>
                <w:iCs w:val="false"/>
                <w:color w:val="16535B"/>
                <w:sz w:val="28"/>
                <w:szCs w:val="28"/>
                <w:rtl w:val="false"/>
              </w:rPr>
              <w:t xml:space="preserve">Credit Appraisal Memorandum</w:t>
            </w:r>
          </w:p>
          <w:p>
            <w:pPr>
              <w:keepNext w:val="false"/>
              <w:bidi w:val="false"/>
              <w:spacing w:after="0" w:before="0" w:line="250"/>
              <w:jc w:val="left"/>
            </w:pPr>
            <w:r>
              <w:rPr>
                <w:rFonts w:ascii="Arial" w:cs="Arial" w:eastAsia="Arial" w:hAnsi="Arial"/>
                <w:b w:val="false"/>
                <w:bCs w:val="false"/>
                <w:i w:val="false"/>
                <w:iCs w:val="false"/>
                <w:color w:val="708090"/>
                <w:sz w:val="17"/>
                <w:szCs w:val="17"/>
                <w:rtl w:val="false"/>
              </w:rPr>
              <w:t xml:space="preserve">INTERNAL — not to be disclosed to the applicant or the dealer</w:t>
            </w:r>
          </w:p>
        </w:tc>
        <w:tc>
          <w:tcPr>
            <w:tcW w:type="dxa" w:w="4953"/>
            <w:tcMar>
              <w:top w:type="dxa" w:w="70"/>
              <w:left w:type="dxa" w:w="110"/>
              <w:bottom w:type="dxa" w:w="70"/>
              <w:right w:type="dxa" w:w="110"/>
            </w:tcMar>
            <w:vAlign w:val="top"/>
          </w:tcPr>
          <w:p>
            <w:pPr>
              <w:keepNext w:val="false"/>
              <w:bidi/>
              <w:spacing w:after="40" w:before="0" w:line="250"/>
              <w:jc w:val="right"/>
            </w:pPr>
            <w:r>
              <w:rPr>
                <w:rFonts w:ascii="Arial" w:cs="Arial" w:eastAsia="Arial" w:hAnsi="Arial"/>
                <w:b/>
                <w:bCs/>
                <w:i w:val="false"/>
                <w:iCs w:val="false"/>
                <w:color w:val="16535B"/>
                <w:sz w:val="28"/>
                <w:szCs w:val="28"/>
                <w:rtl/>
              </w:rPr>
              <w:t xml:space="preserve">مذكرة التقييم الائتماني</w:t>
            </w:r>
          </w:p>
          <w:p>
            <w:pPr>
              <w:keepNext w:val="false"/>
              <w:bidi/>
              <w:spacing w:after="0" w:before="0" w:line="250"/>
              <w:jc w:val="right"/>
            </w:pPr>
            <w:r>
              <w:rPr>
                <w:rFonts w:ascii="Arial" w:cs="Arial" w:eastAsia="Arial" w:hAnsi="Arial"/>
                <w:b w:val="false"/>
                <w:bCs w:val="false"/>
                <w:i w:val="false"/>
                <w:iCs w:val="false"/>
                <w:color w:val="708090"/>
                <w:sz w:val="17"/>
                <w:szCs w:val="17"/>
                <w:rtl/>
              </w:rPr>
              <w:t xml:space="preserve">داخلي — لا يفصح عنه لمقدم الطلب أو الوكيل</w:t>
            </w:r>
          </w:p>
        </w:tc>
      </w:tr>
    </w:tbl>
    <w:p>
      <w:pPr>
        <w:pBdr>
          <w:bottom w:val="single" w:color="00CFA2" w:sz="12"/>
        </w:pBdr>
        <w:spacing w:after="200" w:before="4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1500"/>
        <w:gridCol w:w="3450"/>
        <w:gridCol w:w="1500"/>
        <w:gridCol w:w="3456"/>
      </w:tblGrid>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TEMPLATE ID</w:t>
            </w:r>
          </w:p>
        </w:tc>
        <w:tc>
          <w:tcPr>
            <w:tcW w:type="dxa" w:w="345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BLX-TPL-004</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VERSION</w:t>
            </w:r>
          </w:p>
        </w:tc>
        <w:tc>
          <w:tcPr>
            <w:tcW w:type="dxa" w:w="345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1.1</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OWNER</w:t>
            </w:r>
          </w:p>
        </w:tc>
        <w:tc>
          <w:tcPr>
            <w:tcW w:type="dxa" w:w="345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BloX Credit Risk</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STATUS</w:t>
            </w:r>
          </w:p>
        </w:tc>
        <w:tc>
          <w:tcPr>
            <w:tcW w:type="dxa" w:w="345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Final</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SIGN-OFF GATE</w:t>
            </w:r>
          </w:p>
        </w:tc>
        <w:tc>
          <w:tcPr>
            <w:tcW w:type="dxa" w:w="8406"/>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Chief Credit Officer · aligned to BloX Credit Risk Management Policy</w:t>
            </w:r>
          </w:p>
        </w:tc>
      </w:tr>
    </w:tbl>
    <w:p>
      <w:pPr>
        <w:spacing w:after="140"/>
      </w:pPr>
      <w:r>
        <w:t xml:space="preserve"/>
      </w:r>
    </w:p>
    <w:tbl>
      <w:tblPr>
        <w:tblW w:type="dxa" w:w="9906"/>
        <w:tblBorders>
          <w:top w:val="single" w:color="C79A00" w:sz="4"/>
          <w:left w:val="single" w:color="C79A00" w:sz="4"/>
          <w:bottom w:val="single" w:color="C79A00" w:sz="4"/>
          <w:right w:val="single" w:color="C79A00" w:sz="4"/>
          <w:insideH w:val="single" w:color="C79A00" w:sz="4"/>
          <w:insideV w:val="single" w:color="C79A00" w:sz="4"/>
        </w:tblBorders>
        <w:tblLayout w:type="fixed"/>
      </w:tblPr>
      <w:tblGrid>
        <w:gridCol w:w="4953"/>
        <w:gridCol w:w="4953"/>
      </w:tblGrid>
      <w:tr>
        <w:tc>
          <w:tcPr>
            <w:tcW w:type="dxa" w:w="4953"/>
            <w:shd w:fill="FFF8DC"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INTERNAL DOCUMENT</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This memorandum must never render in the customer portal, the dealer portal, or any customer-facing communication. Access is restricted to Credit, Risk, Compliance, Internal Audit and the approving authority.</w:t>
            </w:r>
          </w:p>
        </w:tc>
        <w:tc>
          <w:tcPr>
            <w:tcW w:type="dxa" w:w="4953"/>
            <w:shd w:fill="FFF8DC"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مستند داخلي</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لا يجوز إظهار هذه المذكرة في بوابة العملاء أو بوابة الوكلاء أو أي مراسلة موجهة للعميل. ويقتصر الاطلاع عليها على الائتمان والمخاطر والالتزام والتدقيق الداخلي وصاحب صلاحية الاعتماد.</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1. Facility Summary</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١. ملخص التسهيل</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CAM Reference</w:t>
            </w:r>
          </w:p>
          <w:p>
            <w:pPr>
              <w:keepNext w:val="false"/>
              <w:bidi/>
              <w:spacing w:after="0" w:before="0" w:line="250"/>
              <w:jc w:val="right"/>
            </w:pPr>
            <w:r>
              <w:rPr>
                <w:rFonts w:ascii="Arial" w:cs="Arial" w:eastAsia="Arial" w:hAnsi="Arial"/>
                <w:b/>
                <w:bCs/>
                <w:i w:val="false"/>
                <w:iCs w:val="false"/>
                <w:color w:val="16535B"/>
                <w:sz w:val="17"/>
                <w:szCs w:val="17"/>
                <w:rtl/>
              </w:rPr>
              <w:t xml:space="preserve">رقم المذكرة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{{CAM.Ref}}</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Application No.</w:t>
            </w:r>
          </w:p>
          <w:p>
            <w:pPr>
              <w:keepNext w:val="false"/>
              <w:bidi/>
              <w:spacing w:after="0" w:before="0" w:line="250"/>
              <w:jc w:val="right"/>
            </w:pPr>
            <w:r>
              <w:rPr>
                <w:rFonts w:ascii="Arial" w:cs="Arial" w:eastAsia="Arial" w:hAnsi="Arial"/>
                <w:b/>
                <w:bCs/>
                <w:i w:val="false"/>
                <w:iCs w:val="false"/>
                <w:color w:val="16535B"/>
                <w:sz w:val="17"/>
                <w:szCs w:val="17"/>
                <w:rtl/>
              </w:rPr>
              <w:t xml:space="preserve">رقم الطلب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{{Application.Number}}</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Applicant</w:t>
            </w:r>
          </w:p>
          <w:p>
            <w:pPr>
              <w:keepNext w:val="false"/>
              <w:bidi/>
              <w:spacing w:after="0" w:before="0" w:line="250"/>
              <w:jc w:val="right"/>
            </w:pPr>
            <w:r>
              <w:rPr>
                <w:rFonts w:ascii="Arial" w:cs="Arial" w:eastAsia="Arial" w:hAnsi="Arial"/>
                <w:b/>
                <w:bCs/>
                <w:i w:val="false"/>
                <w:iCs w:val="false"/>
                <w:color w:val="16535B"/>
                <w:sz w:val="17"/>
                <w:szCs w:val="17"/>
                <w:rtl/>
              </w:rPr>
              <w:t xml:space="preserve">مقدم الطلب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{{Customer.FullNameEN}}</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Qatar ID No.</w:t>
            </w:r>
          </w:p>
          <w:p>
            <w:pPr>
              <w:keepNext w:val="false"/>
              <w:bidi/>
              <w:spacing w:after="0" w:before="0" w:line="250"/>
              <w:jc w:val="right"/>
            </w:pPr>
            <w:r>
              <w:rPr>
                <w:rFonts w:ascii="Arial" w:cs="Arial" w:eastAsia="Arial" w:hAnsi="Arial"/>
                <w:b/>
                <w:bCs/>
                <w:i w:val="false"/>
                <w:iCs w:val="false"/>
                <w:color w:val="16535B"/>
                <w:sz w:val="17"/>
                <w:szCs w:val="17"/>
                <w:rtl/>
              </w:rPr>
              <w:t xml:space="preserve">رقم البطاقة الشخصية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{{Customer.QID}}</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Product</w:t>
            </w:r>
          </w:p>
          <w:p>
            <w:pPr>
              <w:keepNext w:val="false"/>
              <w:bidi/>
              <w:spacing w:after="0" w:before="0" w:line="250"/>
              <w:jc w:val="right"/>
            </w:pPr>
            <w:r>
              <w:rPr>
                <w:rFonts w:ascii="Arial" w:cs="Arial" w:eastAsia="Arial" w:hAnsi="Arial"/>
                <w:b/>
                <w:bCs/>
                <w:i w:val="false"/>
                <w:iCs w:val="false"/>
                <w:color w:val="16535B"/>
                <w:sz w:val="17"/>
                <w:szCs w:val="17"/>
                <w:rtl/>
              </w:rPr>
              <w:t xml:space="preserve">المنتج</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Diminishing Musharakah + Ijarah</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Vehicle condition</w:t>
            </w:r>
          </w:p>
          <w:p>
            <w:pPr>
              <w:keepNext w:val="false"/>
              <w:bidi/>
              <w:spacing w:after="0" w:before="0" w:line="250"/>
              <w:jc w:val="right"/>
            </w:pPr>
            <w:r>
              <w:rPr>
                <w:rFonts w:ascii="Arial" w:cs="Arial" w:eastAsia="Arial" w:hAnsi="Arial"/>
                <w:b/>
                <w:bCs/>
                <w:i w:val="false"/>
                <w:iCs w:val="false"/>
                <w:color w:val="16535B"/>
                <w:sz w:val="17"/>
                <w:szCs w:val="17"/>
                <w:rtl/>
              </w:rPr>
              <w:t xml:space="preserve">حالة المركبة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{{Vehicle.Condition}}</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Vehicle</w:t>
            </w:r>
          </w:p>
          <w:p>
            <w:pPr>
              <w:keepNext w:val="false"/>
              <w:bidi/>
              <w:spacing w:after="0" w:before="0" w:line="250"/>
              <w:jc w:val="right"/>
            </w:pPr>
            <w:r>
              <w:rPr>
                <w:rFonts w:ascii="Arial" w:cs="Arial" w:eastAsia="Arial" w:hAnsi="Arial"/>
                <w:b/>
                <w:bCs/>
                <w:i w:val="false"/>
                <w:iCs w:val="false"/>
                <w:color w:val="16535B"/>
                <w:sz w:val="17"/>
                <w:szCs w:val="17"/>
                <w:rtl/>
              </w:rPr>
              <w:t xml:space="preserve">المركبة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{{Vehicle.Make}}</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{{Vehicle.Model}}</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{{Vehicle.Year}}</w:t>
            </w:r>
            <w:r>
              <w:rPr>
                <w:rFonts w:ascii="Arial" w:cs="Arial" w:eastAsia="Arial" w:hAnsi="Arial"/>
                <w:b w:val="false"/>
                <w:bCs w:val="false"/>
                <w:i w:val="false"/>
                <w:iCs w:val="false"/>
                <w:color w:val="1F2933"/>
                <w:sz w:val="18"/>
                <w:szCs w:val="18"/>
                <w:rtl w:val="false"/>
              </w:rPr>
              <w:t xml:space="preserve"> · VIN </w:t>
            </w:r>
            <w:r>
              <w:rPr>
                <w:rFonts w:ascii="Arial" w:cs="Arial" w:eastAsia="Arial" w:hAnsi="Arial"/>
                <w:b/>
                <w:bCs/>
                <w:i w:val="false"/>
                <w:iCs w:val="false"/>
                <w:color w:val="16535B"/>
                <w:sz w:val="18"/>
                <w:szCs w:val="18"/>
                <w:rtl w:val="false"/>
              </w:rPr>
              <w:t xml:space="preserve">{{Vehicle.VIN}}</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vehicle cost</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تكلفة المركبة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{{Price.TotalCost}}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Independent valuation</w:t>
            </w:r>
          </w:p>
          <w:p>
            <w:pPr>
              <w:keepNext w:val="false"/>
              <w:bidi/>
              <w:spacing w:after="0" w:before="0" w:line="250"/>
              <w:jc w:val="right"/>
            </w:pPr>
            <w:r>
              <w:rPr>
                <w:rFonts w:ascii="Arial" w:cs="Arial" w:eastAsia="Arial" w:hAnsi="Arial"/>
                <w:b/>
                <w:bCs/>
                <w:i w:val="false"/>
                <w:iCs w:val="false"/>
                <w:color w:val="16535B"/>
                <w:sz w:val="17"/>
                <w:szCs w:val="17"/>
                <w:rtl/>
              </w:rPr>
              <w:t xml:space="preserve">التقييم المستقل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{{Vehicle.ValuationAmount}}</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{{Vehicle.ValuationSource}}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Customer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مساهمة العميل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{{Price.CustomerContribution}}</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{{Ownership.CustomerOpeningPct}}</w:t>
            </w:r>
            <w:r>
              <w:rPr>
                <w:rFonts w:ascii="Arial" w:cs="Arial" w:eastAsia="Arial" w:hAnsi="Arial"/>
                <w:b w:val="false"/>
                <w:bCs w:val="false"/>
                <w:i w:val="false"/>
                <w:iCs w:val="false"/>
                <w:color w:val="1F2933"/>
                <w:sz w:val="18"/>
                <w:szCs w:val="18"/>
                <w:rtl w:val="false"/>
              </w:rPr>
              <w:t xml:space="preserv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BloX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مساهمة بلوكس</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{{Price.BloXContribution}}</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{{Ownership.BloXOpeningPct}}</w:t>
            </w:r>
            <w:r>
              <w:rPr>
                <w:rFonts w:ascii="Arial" w:cs="Arial" w:eastAsia="Arial" w:hAnsi="Arial"/>
                <w:b w:val="false"/>
                <w:bCs w:val="false"/>
                <w:i w:val="false"/>
                <w:iCs w:val="false"/>
                <w:color w:val="1F2933"/>
                <w:sz w:val="18"/>
                <w:szCs w:val="18"/>
                <w:rtl w:val="false"/>
              </w:rPr>
              <w:t xml:space="preserv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Loan-to-value</w:t>
            </w:r>
          </w:p>
          <w:p>
            <w:pPr>
              <w:keepNext w:val="false"/>
              <w:bidi/>
              <w:spacing w:after="0" w:before="0" w:line="250"/>
              <w:jc w:val="right"/>
            </w:pPr>
            <w:r>
              <w:rPr>
                <w:rFonts w:ascii="Arial" w:cs="Arial" w:eastAsia="Arial" w:hAnsi="Arial"/>
                <w:b/>
                <w:bCs/>
                <w:i w:val="false"/>
                <w:iCs w:val="false"/>
                <w:color w:val="16535B"/>
                <w:sz w:val="17"/>
                <w:szCs w:val="17"/>
                <w:rtl/>
              </w:rPr>
              <w:t xml:space="preserve">نسبة التمويل إلى القيمة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{{Credit.LTV}}</w:t>
            </w:r>
            <w:r>
              <w:rPr>
                <w:rFonts w:ascii="Arial" w:cs="Arial" w:eastAsia="Arial" w:hAnsi="Arial"/>
                <w:b w:val="false"/>
                <w:bCs w:val="false"/>
                <w:i w:val="false"/>
                <w:iCs w:val="false"/>
                <w:color w:val="1F2933"/>
                <w:sz w:val="18"/>
                <w:szCs w:val="18"/>
                <w:rtl w:val="false"/>
              </w:rPr>
              <w:t xml:space="preserve"> · policy max </w:t>
            </w:r>
            <w:r>
              <w:rPr>
                <w:rFonts w:ascii="Arial" w:cs="Arial" w:eastAsia="Arial" w:hAnsi="Arial"/>
                <w:b/>
                <w:bCs/>
                <w:i w:val="false"/>
                <w:iCs w:val="false"/>
                <w:color w:val="16535B"/>
                <w:sz w:val="18"/>
                <w:szCs w:val="18"/>
                <w:rtl w:val="false"/>
              </w:rPr>
              <w:t xml:space="preserve">{{Policy.LTVMax}}</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{{Credit.LTVResult}}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Term requested</w:t>
            </w:r>
          </w:p>
          <w:p>
            <w:pPr>
              <w:keepNext w:val="false"/>
              <w:bidi/>
              <w:spacing w:after="0" w:before="0" w:line="250"/>
              <w:jc w:val="right"/>
            </w:pPr>
            <w:r>
              <w:rPr>
                <w:rFonts w:ascii="Arial" w:cs="Arial" w:eastAsia="Arial" w:hAnsi="Arial"/>
                <w:b/>
                <w:bCs/>
                <w:i w:val="false"/>
                <w:iCs w:val="false"/>
                <w:color w:val="16535B"/>
                <w:sz w:val="17"/>
                <w:szCs w:val="17"/>
                <w:rtl/>
              </w:rPr>
              <w:t xml:space="preserve">المدة المطلوبة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{{Offer.TermMonths}}</w:t>
            </w:r>
            <w:r>
              <w:rPr>
                <w:rFonts w:ascii="Arial" w:cs="Arial" w:eastAsia="Arial" w:hAnsi="Arial"/>
                <w:b w:val="false"/>
                <w:bCs w:val="false"/>
                <w:i w:val="false"/>
                <w:iCs w:val="false"/>
                <w:color w:val="1F2933"/>
                <w:sz w:val="18"/>
                <w:szCs w:val="18"/>
                <w:rtl w:val="false"/>
              </w:rPr>
              <w:t xml:space="preserve"> months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Vehicle age at maturity</w:t>
            </w:r>
          </w:p>
          <w:p>
            <w:pPr>
              <w:keepNext w:val="false"/>
              <w:bidi/>
              <w:spacing w:after="0" w:before="0" w:line="250"/>
              <w:jc w:val="right"/>
            </w:pPr>
            <w:r>
              <w:rPr>
                <w:rFonts w:ascii="Arial" w:cs="Arial" w:eastAsia="Arial" w:hAnsi="Arial"/>
                <w:b/>
                <w:bCs/>
                <w:i w:val="false"/>
                <w:iCs w:val="false"/>
                <w:color w:val="16535B"/>
                <w:sz w:val="17"/>
                <w:szCs w:val="17"/>
                <w:rtl/>
              </w:rPr>
              <w:t xml:space="preserve">عمر المركبة عند الاستحقاق</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{{Credit.VehicleAgeAtMaturity}}</w:t>
            </w:r>
            <w:r>
              <w:rPr>
                <w:rFonts w:ascii="Arial" w:cs="Arial" w:eastAsia="Arial" w:hAnsi="Arial"/>
                <w:b w:val="false"/>
                <w:bCs w:val="false"/>
                <w:i w:val="false"/>
                <w:iCs w:val="false"/>
                <w:color w:val="1F2933"/>
                <w:sz w:val="18"/>
                <w:szCs w:val="18"/>
                <w:rtl w:val="false"/>
              </w:rPr>
              <w:t xml:space="preserve"> yrs · policy max </w:t>
            </w:r>
            <w:r>
              <w:rPr>
                <w:rFonts w:ascii="Arial" w:cs="Arial" w:eastAsia="Arial" w:hAnsi="Arial"/>
                <w:b/>
                <w:bCs/>
                <w:i w:val="false"/>
                <w:iCs w:val="false"/>
                <w:color w:val="16535B"/>
                <w:sz w:val="18"/>
                <w:szCs w:val="18"/>
                <w:rtl w:val="false"/>
              </w:rPr>
              <w:t xml:space="preserve">{{Policy.VehicleAgeMax}}</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{{Credit.VehicleAgeResult}}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Rental rate applied</w:t>
            </w:r>
          </w:p>
          <w:p>
            <w:pPr>
              <w:keepNext w:val="false"/>
              <w:bidi/>
              <w:spacing w:after="0" w:before="0" w:line="250"/>
              <w:jc w:val="right"/>
            </w:pPr>
            <w:r>
              <w:rPr>
                <w:rFonts w:ascii="Arial" w:cs="Arial" w:eastAsia="Arial" w:hAnsi="Arial"/>
                <w:b/>
                <w:bCs/>
                <w:i w:val="false"/>
                <w:iCs w:val="false"/>
                <w:color w:val="16535B"/>
                <w:sz w:val="17"/>
                <w:szCs w:val="17"/>
                <w:rtl/>
              </w:rPr>
              <w:t xml:space="preserve">معدل الأجرة المطبق</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{{Deal.RentalRate}}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Periodic payment</w:t>
            </w:r>
          </w:p>
          <w:p>
            <w:pPr>
              <w:keepNext w:val="false"/>
              <w:bidi/>
              <w:spacing w:after="0" w:before="0" w:line="250"/>
              <w:jc w:val="right"/>
            </w:pPr>
            <w:r>
              <w:rPr>
                <w:rFonts w:ascii="Arial" w:cs="Arial" w:eastAsia="Arial" w:hAnsi="Arial"/>
                <w:b/>
                <w:bCs/>
                <w:i w:val="false"/>
                <w:iCs w:val="false"/>
                <w:color w:val="16535B"/>
                <w:sz w:val="17"/>
                <w:szCs w:val="17"/>
                <w:rtl/>
              </w:rPr>
              <w:t xml:space="preserve">الدفعة الدورية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{{Deal.PeriodicPayment}}</w:t>
            </w:r>
          </w:p>
        </w:tc>
        <w:tc>
          <w:tcPr>
            <w:tcW w:type="dxa" w:w="2179"/>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9"/>
                <w:szCs w:val="19"/>
                <w:rtl w:val="false"/>
              </w:rPr>
              <w:t xml:space="preserve"/>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9"/>
                <w:szCs w:val="19"/>
                <w:rtl w:val="false"/>
              </w:rPr>
              <w:t xml:space="preserve"/>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2. Affordability &amp; Debt Burden</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٢. القدرة على السداد ونسبة الالتزامات</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3600"/>
        <w:gridCol w:w="2200"/>
        <w:gridCol w:w="2100"/>
        <w:gridCol w:w="2006"/>
      </w:tblGrid>
      <w:tr>
        <w:trPr>
          <w:tblHeader/>
        </w:trPr>
        <w:tc>
          <w:tcPr>
            <w:tcW w:type="dxa" w:w="3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Measure</w:t>
            </w:r>
          </w:p>
          <w:p>
            <w:pPr>
              <w:keepNext w:val="false"/>
              <w:bidi/>
              <w:spacing w:after="0" w:before="0" w:line="250"/>
              <w:jc w:val="right"/>
            </w:pPr>
            <w:r>
              <w:rPr>
                <w:rFonts w:ascii="Arial" w:cs="Arial" w:eastAsia="Arial" w:hAnsi="Arial"/>
                <w:b/>
                <w:bCs/>
                <w:i w:val="false"/>
                <w:iCs w:val="false"/>
                <w:color w:val="FFFFFF"/>
                <w:sz w:val="15"/>
                <w:szCs w:val="15"/>
                <w:rtl/>
              </w:rPr>
              <w:t xml:space="preserve">المقياس</w:t>
            </w:r>
          </w:p>
        </w:tc>
        <w:tc>
          <w:tcPr>
            <w:tcW w:type="dxa" w:w="22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Value</w:t>
            </w:r>
          </w:p>
          <w:p>
            <w:pPr>
              <w:keepNext w:val="false"/>
              <w:bidi/>
              <w:spacing w:after="0" w:before="0" w:line="250"/>
              <w:jc w:val="right"/>
            </w:pPr>
            <w:r>
              <w:rPr>
                <w:rFonts w:ascii="Arial" w:cs="Arial" w:eastAsia="Arial" w:hAnsi="Arial"/>
                <w:b/>
                <w:bCs/>
                <w:i w:val="false"/>
                <w:iCs w:val="false"/>
                <w:color w:val="FFFFFF"/>
                <w:sz w:val="15"/>
                <w:szCs w:val="15"/>
                <w:rtl/>
              </w:rPr>
              <w:t xml:space="preserve">القيمة</w:t>
            </w:r>
          </w:p>
        </w:tc>
        <w:tc>
          <w:tcPr>
            <w:tcW w:type="dxa" w:w="21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Policy limit</w:t>
            </w:r>
          </w:p>
          <w:p>
            <w:pPr>
              <w:keepNext w:val="false"/>
              <w:bidi/>
              <w:spacing w:after="0" w:before="0" w:line="250"/>
              <w:jc w:val="right"/>
            </w:pPr>
            <w:r>
              <w:rPr>
                <w:rFonts w:ascii="Arial" w:cs="Arial" w:eastAsia="Arial" w:hAnsi="Arial"/>
                <w:b/>
                <w:bCs/>
                <w:i w:val="false"/>
                <w:iCs w:val="false"/>
                <w:color w:val="FFFFFF"/>
                <w:sz w:val="15"/>
                <w:szCs w:val="15"/>
                <w:rtl/>
              </w:rPr>
              <w:t xml:space="preserve">حد السياسة</w:t>
            </w:r>
          </w:p>
        </w:tc>
        <w:tc>
          <w:tcPr>
            <w:tcW w:type="dxa" w:w="20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Result</w:t>
            </w:r>
          </w:p>
          <w:p>
            <w:pPr>
              <w:keepNext w:val="false"/>
              <w:bidi/>
              <w:spacing w:after="0" w:before="0" w:line="250"/>
              <w:jc w:val="right"/>
            </w:pPr>
            <w:r>
              <w:rPr>
                <w:rFonts w:ascii="Arial" w:cs="Arial" w:eastAsia="Arial" w:hAnsi="Arial"/>
                <w:b/>
                <w:bCs/>
                <w:i w:val="false"/>
                <w:iCs w:val="false"/>
                <w:color w:val="FFFFFF"/>
                <w:sz w:val="15"/>
                <w:szCs w:val="15"/>
                <w:rtl/>
              </w:rPr>
              <w:t xml:space="preserve">النتيجة</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Total monthly income (verified) / الدخل الشهري الموثق</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{{Income.TotalMonthly}}</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{{Income.VerificationSource}}</w:t>
            </w:r>
          </w:p>
        </w:tc>
      </w:tr>
      <w:tr>
        <w:tc>
          <w:tcPr>
            <w:tcW w:type="dxa" w:w="3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Existing monthly obligations / الالتزامات الشهرية القائمة</w:t>
            </w:r>
          </w:p>
        </w:tc>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{{Obligation.TotalMonthly}}</w:t>
            </w:r>
          </w:p>
        </w:tc>
        <w:tc>
          <w:tcPr>
            <w:tcW w:type="dxa" w:w="21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{{Obligation.BureauReconciled}}</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Proposed BloX payment / دفعة بلوكس المقترحة</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{{Deal.PeriodicPayment}}</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r>
      <w:tr>
        <w:tc>
          <w:tcPr>
            <w:tcW w:type="dxa" w:w="3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Debt Burden Ratio (DBR) / نسبة عبء الدين</w:t>
            </w:r>
          </w:p>
        </w:tc>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{{Credit.DBR}}</w:t>
            </w:r>
          </w:p>
        </w:tc>
        <w:tc>
          <w:tcPr>
            <w:tcW w:type="dxa" w:w="21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{{Policy.DBRMax}}</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{{Credit.DBRResult}}</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Residual income after obligations / الدخل المتبقي</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{{Credit.ResidualIncome}}</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{{Policy.ResidualIncomeMin}}</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{{Credit.ResidualIncomeResult}}</w:t>
            </w:r>
          </w:p>
        </w:tc>
      </w:tr>
      <w:tr>
        <w:tc>
          <w:tcPr>
            <w:tcW w:type="dxa" w:w="3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Average 6-month bank balance / متوسط رصيد ٦ أشهر</w:t>
            </w:r>
          </w:p>
        </w:tc>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{{Credit.AvgBankBalance}}</w:t>
            </w:r>
          </w:p>
        </w:tc>
        <w:tc>
          <w:tcPr>
            <w:tcW w:type="dxa" w:w="21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Salary transfer / assignment / تحويل الراتب</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{{Income.SalaryTransferUndertaking}}</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{{Policy.SalaryTransferRequired}}</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{{Credit.SalaryTransferResult}}</w:t>
            </w:r>
          </w:p>
        </w:tc>
      </w:tr>
    </w:tbl>
    <w:p>
      <w:pPr>
        <w:spacing w:after="10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4953"/>
        <w:gridCol w:w="4953"/>
      </w:tblGrid>
      <w:tr>
        <w:tc>
          <w:tcPr>
            <w:tcW w:type="dxa" w:w="4953"/>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Calculation rule</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DBR is computed as (existing monthly obligations + proposed BloX periodic payment) ÷ total verified monthly income. The applicable policy limit is drawn from the BloX Credit Risk Management Policy by residency status and employer category, and must render alongside the computed value with an explicit pass, fail or exception result. The memorandum must not generate where verified income is null.</w:t>
            </w:r>
          </w:p>
        </w:tc>
        <w:tc>
          <w:tcPr>
            <w:tcW w:type="dxa" w:w="4953"/>
            <w:shd w:fill="EEF4F4"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قاعدة الاحتساب</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تحتسب نسبة عبء الدين على أساس (الالتزامات الشهرية القائمة + الدفعة الدورية المقترحة من بلوكس) ÷ إجمالي الدخل الشهري الموثق. ويؤخذ الحد المطبق من سياسة إدارة مخاطر الائتمان لدى بلوكس بحسب حالة الإقامة وتصنيف جهة العمل، ويجب إظهاره إلى جانب القيمة المحتسبة مع نتيجة صريحة بالقبول أو الرفض أو الاستثناء. ولا تصدر المذكرة إذا كان الدخل الموثق غير مسجل.</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3. Credit Bureau &amp; Decisioning</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٣. المكتب الائتماني واتخاذ القرار</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Bureau report ref.</w:t>
            </w:r>
          </w:p>
          <w:p>
            <w:pPr>
              <w:keepNext w:val="false"/>
              <w:bidi/>
              <w:spacing w:after="0" w:before="0" w:line="250"/>
              <w:jc w:val="right"/>
            </w:pPr>
            <w:r>
              <w:rPr>
                <w:rFonts w:ascii="Arial" w:cs="Arial" w:eastAsia="Arial" w:hAnsi="Arial"/>
                <w:b/>
                <w:bCs/>
                <w:i w:val="false"/>
                <w:iCs w:val="false"/>
                <w:color w:val="16535B"/>
                <w:sz w:val="17"/>
                <w:szCs w:val="17"/>
                <w:rtl/>
              </w:rPr>
              <w:t xml:space="preserve">رقم تقرير المكتب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{{Bureau.ReportRef}}</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Report date</w:t>
            </w:r>
          </w:p>
          <w:p>
            <w:pPr>
              <w:keepNext w:val="false"/>
              <w:bidi/>
              <w:spacing w:after="0" w:before="0" w:line="250"/>
              <w:jc w:val="right"/>
            </w:pPr>
            <w:r>
              <w:rPr>
                <w:rFonts w:ascii="Arial" w:cs="Arial" w:eastAsia="Arial" w:hAnsi="Arial"/>
                <w:b/>
                <w:bCs/>
                <w:i w:val="false"/>
                <w:iCs w:val="false"/>
                <w:color w:val="16535B"/>
                <w:sz w:val="17"/>
                <w:szCs w:val="17"/>
                <w:rtl/>
              </w:rPr>
              <w:t xml:space="preserve">تاريخ التقرير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{{Bureau.ReportDate}}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Bureau score</w:t>
            </w:r>
          </w:p>
          <w:p>
            <w:pPr>
              <w:keepNext w:val="false"/>
              <w:bidi/>
              <w:spacing w:after="0" w:before="0" w:line="250"/>
              <w:jc w:val="right"/>
            </w:pPr>
            <w:r>
              <w:rPr>
                <w:rFonts w:ascii="Arial" w:cs="Arial" w:eastAsia="Arial" w:hAnsi="Arial"/>
                <w:b/>
                <w:bCs/>
                <w:i w:val="false"/>
                <w:iCs w:val="false"/>
                <w:color w:val="16535B"/>
                <w:sz w:val="17"/>
                <w:szCs w:val="17"/>
                <w:rtl/>
              </w:rPr>
              <w:t xml:space="preserve">درجة المكتب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{{Bureau.Score}}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Policy cut-off</w:t>
            </w:r>
          </w:p>
          <w:p>
            <w:pPr>
              <w:keepNext w:val="false"/>
              <w:bidi/>
              <w:spacing w:after="0" w:before="0" w:line="250"/>
              <w:jc w:val="right"/>
            </w:pPr>
            <w:r>
              <w:rPr>
                <w:rFonts w:ascii="Arial" w:cs="Arial" w:eastAsia="Arial" w:hAnsi="Arial"/>
                <w:b/>
                <w:bCs/>
                <w:i w:val="false"/>
                <w:iCs w:val="false"/>
                <w:color w:val="16535B"/>
                <w:sz w:val="17"/>
                <w:szCs w:val="17"/>
                <w:rtl/>
              </w:rPr>
              <w:t xml:space="preserve">حد السياسة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{{Policy.BureauScoreMin}}</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{{Bureau.ScoreResult}}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Worst arrears — 24 months</w:t>
            </w:r>
          </w:p>
          <w:p>
            <w:pPr>
              <w:keepNext w:val="false"/>
              <w:bidi/>
              <w:spacing w:after="0" w:before="0" w:line="250"/>
              <w:jc w:val="right"/>
            </w:pPr>
            <w:r>
              <w:rPr>
                <w:rFonts w:ascii="Arial" w:cs="Arial" w:eastAsia="Arial" w:hAnsi="Arial"/>
                <w:b/>
                <w:bCs/>
                <w:i w:val="false"/>
                <w:iCs w:val="false"/>
                <w:color w:val="16535B"/>
                <w:sz w:val="17"/>
                <w:szCs w:val="17"/>
                <w:rtl/>
              </w:rPr>
              <w:t xml:space="preserve">أسوأ تأخر خلال ٢٤ شهراً</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{{Bureau.WorstArrears}}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Defaults / write-offs</w:t>
            </w:r>
          </w:p>
          <w:p>
            <w:pPr>
              <w:keepNext w:val="false"/>
              <w:bidi/>
              <w:spacing w:after="0" w:before="0" w:line="250"/>
              <w:jc w:val="right"/>
            </w:pPr>
            <w:r>
              <w:rPr>
                <w:rFonts w:ascii="Arial" w:cs="Arial" w:eastAsia="Arial" w:hAnsi="Arial"/>
                <w:b/>
                <w:bCs/>
                <w:i w:val="false"/>
                <w:iCs w:val="false"/>
                <w:color w:val="16535B"/>
                <w:sz w:val="17"/>
                <w:szCs w:val="17"/>
                <w:rtl/>
              </w:rPr>
              <w:t xml:space="preserve">التعثرات / الديون المعدومة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{{Bureau.Defaults}}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Undeclared obligations found</w:t>
            </w:r>
          </w:p>
          <w:p>
            <w:pPr>
              <w:keepNext w:val="false"/>
              <w:bidi/>
              <w:spacing w:after="0" w:before="0" w:line="250"/>
              <w:jc w:val="right"/>
            </w:pPr>
            <w:r>
              <w:rPr>
                <w:rFonts w:ascii="Arial" w:cs="Arial" w:eastAsia="Arial" w:hAnsi="Arial"/>
                <w:b/>
                <w:bCs/>
                <w:i w:val="false"/>
                <w:iCs w:val="false"/>
                <w:color w:val="16535B"/>
                <w:sz w:val="17"/>
                <w:szCs w:val="17"/>
                <w:rtl/>
              </w:rPr>
              <w:t xml:space="preserve">التزامات غير معلنة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{{Bureau.UndeclaredObligations}}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Enquiries — 6 months</w:t>
            </w:r>
          </w:p>
          <w:p>
            <w:pPr>
              <w:keepNext w:val="false"/>
              <w:bidi/>
              <w:spacing w:after="0" w:before="0" w:line="250"/>
              <w:jc w:val="right"/>
            </w:pPr>
            <w:r>
              <w:rPr>
                <w:rFonts w:ascii="Arial" w:cs="Arial" w:eastAsia="Arial" w:hAnsi="Arial"/>
                <w:b/>
                <w:bCs/>
                <w:i w:val="false"/>
                <w:iCs w:val="false"/>
                <w:color w:val="16535B"/>
                <w:sz w:val="17"/>
                <w:szCs w:val="17"/>
                <w:rtl/>
              </w:rPr>
              <w:t xml:space="preserve">الاستعلامات خلال ٦ أشهر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{{Bureau.RecentEnquiries}}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Existing BloX exposure</w:t>
            </w:r>
          </w:p>
          <w:p>
            <w:pPr>
              <w:keepNext w:val="false"/>
              <w:bidi/>
              <w:spacing w:after="0" w:before="0" w:line="250"/>
              <w:jc w:val="right"/>
            </w:pPr>
            <w:r>
              <w:rPr>
                <w:rFonts w:ascii="Arial" w:cs="Arial" w:eastAsia="Arial" w:hAnsi="Arial"/>
                <w:b/>
                <w:bCs/>
                <w:i w:val="false"/>
                <w:iCs w:val="false"/>
                <w:color w:val="16535B"/>
                <w:sz w:val="17"/>
                <w:szCs w:val="17"/>
                <w:rtl/>
              </w:rPr>
              <w:t xml:space="preserve">الانكشاف القائم لدى بلوكس</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{{Credit.ExistingBloXExposure}}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exposure post-facility</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الانكشاف بعد التسهيل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{{Credit.TotalExposurePost}}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decision</w:t>
            </w:r>
          </w:p>
          <w:p>
            <w:pPr>
              <w:keepNext w:val="false"/>
              <w:bidi/>
              <w:spacing w:after="0" w:before="0" w:line="250"/>
              <w:jc w:val="right"/>
            </w:pPr>
            <w:r>
              <w:rPr>
                <w:rFonts w:ascii="Arial" w:cs="Arial" w:eastAsia="Arial" w:hAnsi="Arial"/>
                <w:b/>
                <w:bCs/>
                <w:i w:val="false"/>
                <w:iCs w:val="false"/>
                <w:color w:val="16535B"/>
                <w:sz w:val="17"/>
                <w:szCs w:val="17"/>
                <w:rtl/>
              </w:rPr>
              <w:t xml:space="preserve">قرار محرك القواعد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{{BRE.Decision}}</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score / grade</w:t>
            </w:r>
          </w:p>
          <w:p>
            <w:pPr>
              <w:keepNext w:val="false"/>
              <w:bidi/>
              <w:spacing w:after="0" w:before="0" w:line="250"/>
              <w:jc w:val="right"/>
            </w:pPr>
            <w:r>
              <w:rPr>
                <w:rFonts w:ascii="Arial" w:cs="Arial" w:eastAsia="Arial" w:hAnsi="Arial"/>
                <w:b/>
                <w:bCs/>
                <w:i w:val="false"/>
                <w:iCs w:val="false"/>
                <w:color w:val="16535B"/>
                <w:sz w:val="17"/>
                <w:szCs w:val="17"/>
                <w:rtl/>
              </w:rPr>
              <w:t xml:space="preserve">درجة محرك القواعد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{{BRE.Score}}</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{{BRE.RiskGrade}}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rules triggered</w:t>
            </w:r>
          </w:p>
          <w:p>
            <w:pPr>
              <w:keepNext w:val="false"/>
              <w:bidi/>
              <w:spacing w:after="0" w:before="0" w:line="250"/>
              <w:jc w:val="right"/>
            </w:pPr>
            <w:r>
              <w:rPr>
                <w:rFonts w:ascii="Arial" w:cs="Arial" w:eastAsia="Arial" w:hAnsi="Arial"/>
                <w:b/>
                <w:bCs/>
                <w:i w:val="false"/>
                <w:iCs w:val="false"/>
                <w:color w:val="16535B"/>
                <w:sz w:val="17"/>
                <w:szCs w:val="17"/>
                <w:rtl/>
              </w:rPr>
              <w:t xml:space="preserve">القواعد التي تم تفعيلها</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{{BRE.RulesTriggered}}</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override applied</w:t>
            </w:r>
          </w:p>
          <w:p>
            <w:pPr>
              <w:keepNext w:val="false"/>
              <w:bidi/>
              <w:spacing w:after="0" w:before="0" w:line="250"/>
              <w:jc w:val="right"/>
            </w:pPr>
            <w:r>
              <w:rPr>
                <w:rFonts w:ascii="Arial" w:cs="Arial" w:eastAsia="Arial" w:hAnsi="Arial"/>
                <w:b/>
                <w:bCs/>
                <w:i w:val="false"/>
                <w:iCs w:val="false"/>
                <w:color w:val="16535B"/>
                <w:sz w:val="17"/>
                <w:szCs w:val="17"/>
                <w:rtl/>
              </w:rPr>
              <w:t xml:space="preserve">تجاوز قرار المحرك</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{{BRE.OverrideApplied}}</w:t>
            </w:r>
            <w:r>
              <w:rPr>
                <w:rFonts w:ascii="Arial" w:cs="Arial" w:eastAsia="Arial" w:hAnsi="Arial"/>
                <w:b w:val="false"/>
                <w:bCs w:val="false"/>
                <w:i w:val="false"/>
                <w:iCs w:val="false"/>
                <w:color w:val="1F2933"/>
                <w:sz w:val="18"/>
                <w:szCs w:val="18"/>
                <w:rtl w:val="false"/>
              </w:rPr>
              <w:t xml:space="preserve"> · by </w:t>
            </w:r>
            <w:r>
              <w:rPr>
                <w:rFonts w:ascii="Arial" w:cs="Arial" w:eastAsia="Arial" w:hAnsi="Arial"/>
                <w:b/>
                <w:bCs/>
                <w:i w:val="false"/>
                <w:iCs w:val="false"/>
                <w:color w:val="16535B"/>
                <w:sz w:val="18"/>
                <w:szCs w:val="18"/>
                <w:rtl w:val="false"/>
              </w:rPr>
              <w:t xml:space="preserve">{{BRE.OverrideBy}}</w:t>
            </w:r>
            <w:r>
              <w:rPr>
                <w:rFonts w:ascii="Arial" w:cs="Arial" w:eastAsia="Arial" w:hAnsi="Arial"/>
                <w:b w:val="false"/>
                <w:bCs w:val="false"/>
                <w:i w:val="false"/>
                <w:iCs w:val="false"/>
                <w:color w:val="1F2933"/>
                <w:sz w:val="18"/>
                <w:szCs w:val="18"/>
                <w:rtl w:val="false"/>
              </w:rPr>
              <w:t xml:space="preserve"> · reason: </w:t>
            </w:r>
            <w:r>
              <w:rPr>
                <w:rFonts w:ascii="Arial" w:cs="Arial" w:eastAsia="Arial" w:hAnsi="Arial"/>
                <w:b/>
                <w:bCs/>
                <w:i w:val="false"/>
                <w:iCs w:val="false"/>
                <w:color w:val="16535B"/>
                <w:sz w:val="18"/>
                <w:szCs w:val="18"/>
                <w:rtl w:val="false"/>
              </w:rPr>
              <w:t xml:space="preserve">{{BRE.OverrideReason}}</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4. Compliance &amp; Screening</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٤. الالتزام والفحص</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3400"/>
        <w:gridCol w:w="2600"/>
        <w:gridCol w:w="1700"/>
        <w:gridCol w:w="2206"/>
      </w:tblGrid>
      <w:tr>
        <w:trPr>
          <w:tblHeader/>
        </w:trPr>
        <w:tc>
          <w:tcPr>
            <w:tcW w:type="dxa" w:w="34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Check</w:t>
            </w:r>
          </w:p>
          <w:p>
            <w:pPr>
              <w:keepNext w:val="false"/>
              <w:bidi/>
              <w:spacing w:after="0" w:before="0" w:line="250"/>
              <w:jc w:val="right"/>
            </w:pPr>
            <w:r>
              <w:rPr>
                <w:rFonts w:ascii="Arial" w:cs="Arial" w:eastAsia="Arial" w:hAnsi="Arial"/>
                <w:b/>
                <w:bCs/>
                <w:i w:val="false"/>
                <w:iCs w:val="false"/>
                <w:color w:val="FFFFFF"/>
                <w:sz w:val="15"/>
                <w:szCs w:val="15"/>
                <w:rtl/>
              </w:rPr>
              <w:t xml:space="preserve">الفحص</w:t>
            </w:r>
          </w:p>
        </w:tc>
        <w:tc>
          <w:tcPr>
            <w:tcW w:type="dxa" w:w="2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Tool / source</w:t>
            </w:r>
          </w:p>
          <w:p>
            <w:pPr>
              <w:keepNext w:val="false"/>
              <w:bidi/>
              <w:spacing w:after="0" w:before="0" w:line="250"/>
              <w:jc w:val="right"/>
            </w:pPr>
            <w:r>
              <w:rPr>
                <w:rFonts w:ascii="Arial" w:cs="Arial" w:eastAsia="Arial" w:hAnsi="Arial"/>
                <w:b/>
                <w:bCs/>
                <w:i w:val="false"/>
                <w:iCs w:val="false"/>
                <w:color w:val="FFFFFF"/>
                <w:sz w:val="15"/>
                <w:szCs w:val="15"/>
                <w:rtl/>
              </w:rPr>
              <w:t xml:space="preserve">الأداة / المصدر</w:t>
            </w:r>
          </w:p>
        </w:tc>
        <w:tc>
          <w:tcPr>
            <w:tcW w:type="dxa" w:w="17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Date</w:t>
            </w:r>
          </w:p>
          <w:p>
            <w:pPr>
              <w:keepNext w:val="false"/>
              <w:bidi/>
              <w:spacing w:after="0" w:before="0" w:line="250"/>
              <w:jc w:val="right"/>
            </w:pPr>
            <w:r>
              <w:rPr>
                <w:rFonts w:ascii="Arial" w:cs="Arial" w:eastAsia="Arial" w:hAnsi="Arial"/>
                <w:b/>
                <w:bCs/>
                <w:i w:val="false"/>
                <w:iCs w:val="false"/>
                <w:color w:val="FFFFFF"/>
                <w:sz w:val="15"/>
                <w:szCs w:val="15"/>
                <w:rtl/>
              </w:rPr>
              <w:t xml:space="preserve">التاريخ</w:t>
            </w:r>
          </w:p>
        </w:tc>
        <w:tc>
          <w:tcPr>
            <w:tcW w:type="dxa" w:w="22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Result</w:t>
            </w:r>
          </w:p>
          <w:p>
            <w:pPr>
              <w:keepNext w:val="false"/>
              <w:bidi/>
              <w:spacing w:after="0" w:before="0" w:line="250"/>
              <w:jc w:val="right"/>
            </w:pPr>
            <w:r>
              <w:rPr>
                <w:rFonts w:ascii="Arial" w:cs="Arial" w:eastAsia="Arial" w:hAnsi="Arial"/>
                <w:b/>
                <w:bCs/>
                <w:i w:val="false"/>
                <w:iCs w:val="false"/>
                <w:color w:val="FFFFFF"/>
                <w:sz w:val="15"/>
                <w:szCs w:val="15"/>
                <w:rtl/>
              </w:rPr>
              <w:t xml:space="preserve">النتيجة</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Identity verification (eKYC) / التحقق من الهوية</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{{Screen.eKYCTool}}</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{{Screen.eKYCDate}}</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{{Screen.eKYCResult}}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Liveness / face match / مطابقة الوجه</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{{Screen.LivenessTool}}</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{{Screen.LivenessDate}}</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{{Screen.LivenessResult}}</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Sanctions screening / فحص العقوبات</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{{Screen.SanctionsTool}}</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{{Screen.SanctionsDate}}</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{{Screen.SanctionsResult}}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PEP screening / فحص الأشخاص المعرضين سياسياً</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{{Screen.PEPTool}}</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{{Screen.PEPDate}}</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{{Screen.PEPResult}}</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PEP relationship / صلة بشخص معرض سياسياً</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{{Screen.PEPRelationTool}}</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{{Screen.PEPRelationDate}}</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{{Screen.PEPRelationResult}}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Adverse media / الأخبار السلبية</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{{Screen.AdverseMediaTool}}</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{{Screen.AdverseMediaDate}}</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{{Screen.AdverseMediaResult}}</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Source of funds — contribution / مصدر أموال المساهمة</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{{Screen.SoFMethod}}</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{{Screen.SoFDate}}</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{{Screen.SoFResult}}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Customer risk rating / تصنيف مخاطر العميل</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BloX AML methodology</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{{Screen.RiskRatingDate}}</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{{Screen.RiskRating}}</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MLRO referral required / إحالة لمسؤول الإبلاغ</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{{Screen.MLROReferralDate}}</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{{Screen.MLROReferralResult}}</w:t>
            </w:r>
          </w:p>
        </w:tc>
      </w:tr>
    </w:tbl>
    <w:p>
      <w:pPr>
        <w:spacing w:after="100"/>
      </w:pPr>
      <w:r>
        <w:t xml:space="preserve"/>
      </w:r>
    </w:p>
    <w:tbl>
      <w:tblPr>
        <w:tblW w:type="dxa" w:w="9906"/>
        <w:tblBorders>
          <w:top w:val="single" w:color="C79A00" w:sz="4"/>
          <w:left w:val="single" w:color="C79A00" w:sz="4"/>
          <w:bottom w:val="single" w:color="C79A00" w:sz="4"/>
          <w:right w:val="single" w:color="C79A00" w:sz="4"/>
          <w:insideH w:val="single" w:color="C79A00" w:sz="4"/>
          <w:insideV w:val="single" w:color="C79A00" w:sz="4"/>
        </w:tblBorders>
        <w:tblLayout w:type="fixed"/>
      </w:tblPr>
      <w:tblGrid>
        <w:gridCol w:w="4953"/>
        <w:gridCol w:w="4953"/>
      </w:tblGrid>
      <w:tr>
        <w:tc>
          <w:tcPr>
            <w:tcW w:type="dxa" w:w="4953"/>
            <w:shd w:fill="FFF8DC"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Blocking rule</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Any screening result other than a clear pass, and any true PEP match, blocks approval until the MLRO has recorded a disposition against this memorandum. The LOS must enforce this; it cannot be a procedural instruction.</w:t>
            </w:r>
          </w:p>
        </w:tc>
        <w:tc>
          <w:tcPr>
            <w:tcW w:type="dxa" w:w="4953"/>
            <w:shd w:fill="FFF8DC"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قاعدة حاجزة</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أي نتيجة فحص غير النجاح الصريح، وأي تطابق مؤكد مع شخص معرض سياسياً، يوقف الاعتماد إلى أن يسجل مسؤول الإبلاغ عن غسل الأموال قراره على هذه المذكرة. ويجب أن يفرض النظام ذلك آلياً لا إجرائياً.</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5. Applicant Profile</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٥. ملف مقدم الطلب</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Nationality</w:t>
            </w:r>
          </w:p>
          <w:p>
            <w:pPr>
              <w:keepNext w:val="false"/>
              <w:bidi/>
              <w:spacing w:after="0" w:before="0" w:line="250"/>
              <w:jc w:val="right"/>
            </w:pPr>
            <w:r>
              <w:rPr>
                <w:rFonts w:ascii="Arial" w:cs="Arial" w:eastAsia="Arial" w:hAnsi="Arial"/>
                <w:b/>
                <w:bCs/>
                <w:i w:val="false"/>
                <w:iCs w:val="false"/>
                <w:color w:val="16535B"/>
                <w:sz w:val="17"/>
                <w:szCs w:val="17"/>
                <w:rtl/>
              </w:rPr>
              <w:t xml:space="preserve">الجنسية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{{Customer.Nationality}}</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Residency status</w:t>
            </w:r>
          </w:p>
          <w:p>
            <w:pPr>
              <w:keepNext w:val="false"/>
              <w:bidi/>
              <w:spacing w:after="0" w:before="0" w:line="250"/>
              <w:jc w:val="right"/>
            </w:pPr>
            <w:r>
              <w:rPr>
                <w:rFonts w:ascii="Arial" w:cs="Arial" w:eastAsia="Arial" w:hAnsi="Arial"/>
                <w:b/>
                <w:bCs/>
                <w:i w:val="false"/>
                <w:iCs w:val="false"/>
                <w:color w:val="16535B"/>
                <w:sz w:val="17"/>
                <w:szCs w:val="17"/>
                <w:rtl/>
              </w:rPr>
              <w:t xml:space="preserve">حالة الإقامة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{{Customer.ResidencyStatus}}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Age</w:t>
            </w:r>
          </w:p>
          <w:p>
            <w:pPr>
              <w:keepNext w:val="false"/>
              <w:bidi/>
              <w:spacing w:after="0" w:before="0" w:line="250"/>
              <w:jc w:val="right"/>
            </w:pPr>
            <w:r>
              <w:rPr>
                <w:rFonts w:ascii="Arial" w:cs="Arial" w:eastAsia="Arial" w:hAnsi="Arial"/>
                <w:b/>
                <w:bCs/>
                <w:i w:val="false"/>
                <w:iCs w:val="false"/>
                <w:color w:val="16535B"/>
                <w:sz w:val="17"/>
                <w:szCs w:val="17"/>
                <w:rtl/>
              </w:rPr>
              <w:t xml:space="preserve">العمر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{{Customer.Age}}</w:t>
            </w:r>
            <w:r>
              <w:rPr>
                <w:rFonts w:ascii="Arial" w:cs="Arial" w:eastAsia="Arial" w:hAnsi="Arial"/>
                <w:b w:val="false"/>
                <w:bCs w:val="false"/>
                <w:i w:val="false"/>
                <w:iCs w:val="false"/>
                <w:color w:val="1F2933"/>
                <w:sz w:val="18"/>
                <w:szCs w:val="18"/>
                <w:rtl w:val="false"/>
              </w:rPr>
              <w:t xml:space="preserve"> · at maturity </w:t>
            </w:r>
            <w:r>
              <w:rPr>
                <w:rFonts w:ascii="Arial" w:cs="Arial" w:eastAsia="Arial" w:hAnsi="Arial"/>
                <w:b/>
                <w:bCs/>
                <w:i w:val="false"/>
                <w:iCs w:val="false"/>
                <w:color w:val="16535B"/>
                <w:sz w:val="18"/>
                <w:szCs w:val="18"/>
                <w:rtl w:val="false"/>
              </w:rPr>
              <w:t xml:space="preserve">{{Credit.AgeAtMaturity}}</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Years in Qatar</w:t>
            </w:r>
          </w:p>
          <w:p>
            <w:pPr>
              <w:keepNext w:val="false"/>
              <w:bidi/>
              <w:spacing w:after="0" w:before="0" w:line="250"/>
              <w:jc w:val="right"/>
            </w:pPr>
            <w:r>
              <w:rPr>
                <w:rFonts w:ascii="Arial" w:cs="Arial" w:eastAsia="Arial" w:hAnsi="Arial"/>
                <w:b/>
                <w:bCs/>
                <w:i w:val="false"/>
                <w:iCs w:val="false"/>
                <w:color w:val="16535B"/>
                <w:sz w:val="17"/>
                <w:szCs w:val="17"/>
                <w:rtl/>
              </w:rPr>
              <w:t xml:space="preserve">سنوات الإقامة في قطر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{{Customer.YearsInQatar}}</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Employer</w:t>
            </w:r>
          </w:p>
          <w:p>
            <w:pPr>
              <w:keepNext w:val="false"/>
              <w:bidi/>
              <w:spacing w:after="0" w:before="0" w:line="250"/>
              <w:jc w:val="right"/>
            </w:pPr>
            <w:r>
              <w:rPr>
                <w:rFonts w:ascii="Arial" w:cs="Arial" w:eastAsia="Arial" w:hAnsi="Arial"/>
                <w:b/>
                <w:bCs/>
                <w:i w:val="false"/>
                <w:iCs w:val="false"/>
                <w:color w:val="16535B"/>
                <w:sz w:val="17"/>
                <w:szCs w:val="17"/>
                <w:rtl/>
              </w:rPr>
              <w:t xml:space="preserve">جهة العمل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{{Employment.EmployerName}}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Employer category</w:t>
            </w:r>
          </w:p>
          <w:p>
            <w:pPr>
              <w:keepNext w:val="false"/>
              <w:bidi/>
              <w:spacing w:after="0" w:before="0" w:line="250"/>
              <w:jc w:val="right"/>
            </w:pPr>
            <w:r>
              <w:rPr>
                <w:rFonts w:ascii="Arial" w:cs="Arial" w:eastAsia="Arial" w:hAnsi="Arial"/>
                <w:b/>
                <w:bCs/>
                <w:i w:val="false"/>
                <w:iCs w:val="false"/>
                <w:color w:val="16535B"/>
                <w:sz w:val="17"/>
                <w:szCs w:val="17"/>
                <w:rtl/>
              </w:rPr>
              <w:t xml:space="preserve">تصنيف جهة العمل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{{Employment.EmployerCategory}}</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{{Credit.EmployerCategoryResult}}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Length of service</w:t>
            </w:r>
          </w:p>
          <w:p>
            <w:pPr>
              <w:keepNext w:val="false"/>
              <w:bidi/>
              <w:spacing w:after="0" w:before="0" w:line="250"/>
              <w:jc w:val="right"/>
            </w:pPr>
            <w:r>
              <w:rPr>
                <w:rFonts w:ascii="Arial" w:cs="Arial" w:eastAsia="Arial" w:hAnsi="Arial"/>
                <w:b/>
                <w:bCs/>
                <w:i w:val="false"/>
                <w:iCs w:val="false"/>
                <w:color w:val="16535B"/>
                <w:sz w:val="17"/>
                <w:szCs w:val="17"/>
                <w:rtl/>
              </w:rPr>
              <w:t xml:space="preserve">مدة الخدمة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{{Employment.ServiceYears}}</w:t>
            </w:r>
            <w:r>
              <w:rPr>
                <w:rFonts w:ascii="Arial" w:cs="Arial" w:eastAsia="Arial" w:hAnsi="Arial"/>
                <w:b w:val="false"/>
                <w:bCs w:val="false"/>
                <w:i w:val="false"/>
                <w:iCs w:val="false"/>
                <w:color w:val="1F2933"/>
                <w:sz w:val="18"/>
                <w:szCs w:val="18"/>
                <w:rtl w:val="false"/>
              </w:rPr>
              <w:t xml:space="preserve"> yrs · policy min </w:t>
            </w:r>
            <w:r>
              <w:rPr>
                <w:rFonts w:ascii="Arial" w:cs="Arial" w:eastAsia="Arial" w:hAnsi="Arial"/>
                <w:b/>
                <w:bCs/>
                <w:i w:val="false"/>
                <w:iCs w:val="false"/>
                <w:color w:val="16535B"/>
                <w:sz w:val="18"/>
                <w:szCs w:val="18"/>
                <w:rtl w:val="false"/>
              </w:rPr>
              <w:t xml:space="preserve">{{Policy.ServiceYearsMin}}</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{{Credit.ServiceResult}}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experience</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الخبرة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{{Employment.TotalExperienceYears}}</w:t>
            </w:r>
            <w:r>
              <w:rPr>
                <w:rFonts w:ascii="Arial" w:cs="Arial" w:eastAsia="Arial" w:hAnsi="Arial"/>
                <w:b w:val="false"/>
                <w:bCs w:val="false"/>
                <w:i w:val="false"/>
                <w:iCs w:val="false"/>
                <w:color w:val="1F2933"/>
                <w:sz w:val="18"/>
                <w:szCs w:val="18"/>
                <w:rtl w:val="false"/>
              </w:rPr>
              <w:t xml:space="preserve"> yrs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Contract type</w:t>
            </w:r>
          </w:p>
          <w:p>
            <w:pPr>
              <w:keepNext w:val="false"/>
              <w:bidi/>
              <w:spacing w:after="0" w:before="0" w:line="250"/>
              <w:jc w:val="right"/>
            </w:pPr>
            <w:r>
              <w:rPr>
                <w:rFonts w:ascii="Arial" w:cs="Arial" w:eastAsia="Arial" w:hAnsi="Arial"/>
                <w:b/>
                <w:bCs/>
                <w:i w:val="false"/>
                <w:iCs w:val="false"/>
                <w:color w:val="16535B"/>
                <w:sz w:val="17"/>
                <w:szCs w:val="17"/>
                <w:rtl/>
              </w:rPr>
              <w:t xml:space="preserve">نوع العقد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{{Employment.ContractType}}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Housing status</w:t>
            </w:r>
          </w:p>
          <w:p>
            <w:pPr>
              <w:keepNext w:val="false"/>
              <w:bidi/>
              <w:spacing w:after="0" w:before="0" w:line="250"/>
              <w:jc w:val="right"/>
            </w:pPr>
            <w:r>
              <w:rPr>
                <w:rFonts w:ascii="Arial" w:cs="Arial" w:eastAsia="Arial" w:hAnsi="Arial"/>
                <w:b/>
                <w:bCs/>
                <w:i w:val="false"/>
                <w:iCs w:val="false"/>
                <w:color w:val="16535B"/>
                <w:sz w:val="17"/>
                <w:szCs w:val="17"/>
                <w:rtl/>
              </w:rPr>
              <w:t xml:space="preserve">وضع السكن</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{{Customer.HousingStatus}}</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6. Co-Applicant &amp; Guarantor Assessment</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٦. تقييم المشارك والضامن</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200"/>
        <w:gridCol w:w="1500"/>
        <w:gridCol w:w="1500"/>
        <w:gridCol w:w="1200"/>
        <w:gridCol w:w="1500"/>
        <w:gridCol w:w="2006"/>
      </w:tblGrid>
      <w:tr>
        <w:trPr>
          <w:tblHeader/>
        </w:trPr>
        <w:tc>
          <w:tcPr>
            <w:tcW w:type="dxa" w:w="22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Party</w:t>
            </w:r>
          </w:p>
          <w:p>
            <w:pPr>
              <w:keepNext w:val="false"/>
              <w:bidi/>
              <w:spacing w:after="0" w:before="0" w:line="250"/>
              <w:jc w:val="right"/>
            </w:pPr>
            <w:r>
              <w:rPr>
                <w:rFonts w:ascii="Arial" w:cs="Arial" w:eastAsia="Arial" w:hAnsi="Arial"/>
                <w:b/>
                <w:bCs/>
                <w:i w:val="false"/>
                <w:iCs w:val="false"/>
                <w:color w:val="FFFFFF"/>
                <w:sz w:val="15"/>
                <w:szCs w:val="15"/>
                <w:rtl/>
              </w:rPr>
              <w:t xml:space="preserve">الطرف</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Role</w:t>
            </w:r>
          </w:p>
          <w:p>
            <w:pPr>
              <w:keepNext w:val="false"/>
              <w:bidi/>
              <w:spacing w:after="0" w:before="0" w:line="250"/>
              <w:jc w:val="right"/>
            </w:pPr>
            <w:r>
              <w:rPr>
                <w:rFonts w:ascii="Arial" w:cs="Arial" w:eastAsia="Arial" w:hAnsi="Arial"/>
                <w:b/>
                <w:bCs/>
                <w:i w:val="false"/>
                <w:iCs w:val="false"/>
                <w:color w:val="FFFFFF"/>
                <w:sz w:val="15"/>
                <w:szCs w:val="15"/>
                <w:rtl/>
              </w:rPr>
              <w:t xml:space="preserve">الصفة</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Income (QAR)</w:t>
            </w:r>
          </w:p>
          <w:p>
            <w:pPr>
              <w:keepNext w:val="false"/>
              <w:bidi/>
              <w:spacing w:after="0" w:before="0" w:line="250"/>
              <w:jc w:val="right"/>
            </w:pPr>
            <w:r>
              <w:rPr>
                <w:rFonts w:ascii="Arial" w:cs="Arial" w:eastAsia="Arial" w:hAnsi="Arial"/>
                <w:b/>
                <w:bCs/>
                <w:i w:val="false"/>
                <w:iCs w:val="false"/>
                <w:color w:val="FFFFFF"/>
                <w:sz w:val="15"/>
                <w:szCs w:val="15"/>
                <w:rtl/>
              </w:rPr>
              <w:t xml:space="preserve">الدخل</w:t>
            </w:r>
          </w:p>
        </w:tc>
        <w:tc>
          <w:tcPr>
            <w:tcW w:type="dxa" w:w="12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DBR</w:t>
            </w:r>
          </w:p>
          <w:p>
            <w:pPr>
              <w:keepNext w:val="false"/>
              <w:bidi/>
              <w:spacing w:after="0" w:before="0" w:line="250"/>
              <w:jc w:val="right"/>
            </w:pPr>
            <w:r>
              <w:rPr>
                <w:rFonts w:ascii="Arial" w:cs="Arial" w:eastAsia="Arial" w:hAnsi="Arial"/>
                <w:b/>
                <w:bCs/>
                <w:i w:val="false"/>
                <w:iCs w:val="false"/>
                <w:color w:val="FFFFFF"/>
                <w:sz w:val="15"/>
                <w:szCs w:val="15"/>
                <w:rtl/>
              </w:rPr>
              <w:t xml:space="preserve">نسبة الالتزام</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Bureau score</w:t>
            </w:r>
          </w:p>
          <w:p>
            <w:pPr>
              <w:keepNext w:val="false"/>
              <w:bidi/>
              <w:spacing w:after="0" w:before="0" w:line="250"/>
              <w:jc w:val="right"/>
            </w:pPr>
            <w:r>
              <w:rPr>
                <w:rFonts w:ascii="Arial" w:cs="Arial" w:eastAsia="Arial" w:hAnsi="Arial"/>
                <w:b/>
                <w:bCs/>
                <w:i w:val="false"/>
                <w:iCs w:val="false"/>
                <w:color w:val="FFFFFF"/>
                <w:sz w:val="15"/>
                <w:szCs w:val="15"/>
                <w:rtl/>
              </w:rPr>
              <w:t xml:space="preserve">الدرجة</w:t>
            </w:r>
          </w:p>
        </w:tc>
        <w:tc>
          <w:tcPr>
            <w:tcW w:type="dxa" w:w="20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Assessment</w:t>
            </w:r>
          </w:p>
          <w:p>
            <w:pPr>
              <w:keepNext w:val="false"/>
              <w:bidi/>
              <w:spacing w:after="0" w:before="0" w:line="250"/>
              <w:jc w:val="right"/>
            </w:pPr>
            <w:r>
              <w:rPr>
                <w:rFonts w:ascii="Arial" w:cs="Arial" w:eastAsia="Arial" w:hAnsi="Arial"/>
                <w:b/>
                <w:bCs/>
                <w:i w:val="false"/>
                <w:iCs w:val="false"/>
                <w:color w:val="FFFFFF"/>
                <w:sz w:val="15"/>
                <w:szCs w:val="15"/>
                <w:rtl/>
              </w:rPr>
              <w:t xml:space="preserve">التقييم</w:t>
            </w:r>
          </w:p>
        </w:tc>
      </w:tr>
      <w:tr>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{{Party.1.Name}}</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{{Party.1.Role}}</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{{Party.1.Income}}</w:t>
            </w:r>
          </w:p>
        </w:tc>
        <w:tc>
          <w:tcPr>
            <w:tcW w:type="dxa" w:w="1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{{Party.1.DBR}}</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{{Party.1.BureauScore}}</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{{Party.1.Assessment}}</w:t>
            </w:r>
          </w:p>
        </w:tc>
      </w:tr>
      <w:tr>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{{Party.2.Name}}</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{{Party.2.Role}}</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{{Party.2.Income}}</w:t>
            </w:r>
          </w:p>
        </w:tc>
        <w:tc>
          <w:tcPr>
            <w:tcW w:type="dxa" w:w="1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{{Party.2.DBR}}</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{{Party.2.BureauScore}}</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{{Party.2.Assessment}}</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7. Structure &amp; Sharia Parameters</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٧. الهيكل والمعايير الشرعية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ownership units</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وحدات الملكية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{{Deal.TotalUnits}}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Customer opening units</w:t>
            </w:r>
          </w:p>
          <w:p>
            <w:pPr>
              <w:keepNext w:val="false"/>
              <w:bidi/>
              <w:spacing w:after="0" w:before="0" w:line="250"/>
              <w:jc w:val="right"/>
            </w:pPr>
            <w:r>
              <w:rPr>
                <w:rFonts w:ascii="Arial" w:cs="Arial" w:eastAsia="Arial" w:hAnsi="Arial"/>
                <w:b/>
                <w:bCs/>
                <w:i w:val="false"/>
                <w:iCs w:val="false"/>
                <w:color w:val="16535B"/>
                <w:sz w:val="17"/>
                <w:szCs w:val="17"/>
                <w:rtl/>
              </w:rPr>
              <w:t xml:space="preserve">وحدات العميل الافتتاحية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{{Deal.CustomerOpeningUnits}}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BloX opening units</w:t>
            </w:r>
          </w:p>
          <w:p>
            <w:pPr>
              <w:keepNext w:val="false"/>
              <w:bidi/>
              <w:spacing w:after="0" w:before="0" w:line="250"/>
              <w:jc w:val="right"/>
            </w:pPr>
            <w:r>
              <w:rPr>
                <w:rFonts w:ascii="Arial" w:cs="Arial" w:eastAsia="Arial" w:hAnsi="Arial"/>
                <w:b/>
                <w:bCs/>
                <w:i w:val="false"/>
                <w:iCs w:val="false"/>
                <w:color w:val="16535B"/>
                <w:sz w:val="17"/>
                <w:szCs w:val="17"/>
                <w:rtl/>
              </w:rPr>
              <w:t xml:space="preserve">وحدات بلوكس الافتتاحية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{{Deal.BloXOpeningUnits}}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Units purchased per period</w:t>
            </w:r>
          </w:p>
          <w:p>
            <w:pPr>
              <w:keepNext w:val="false"/>
              <w:bidi/>
              <w:spacing w:after="0" w:before="0" w:line="250"/>
              <w:jc w:val="right"/>
            </w:pPr>
            <w:r>
              <w:rPr>
                <w:rFonts w:ascii="Arial" w:cs="Arial" w:eastAsia="Arial" w:hAnsi="Arial"/>
                <w:b/>
                <w:bCs/>
                <w:i w:val="false"/>
                <w:iCs w:val="false"/>
                <w:color w:val="16535B"/>
                <w:sz w:val="17"/>
                <w:szCs w:val="17"/>
                <w:rtl/>
              </w:rPr>
              <w:t xml:space="preserve">الوحدات المشتراة كل فترة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{{Deal.UnitsPerPeriod}}</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Unit price basis</w:t>
            </w:r>
          </w:p>
          <w:p>
            <w:pPr>
              <w:keepNext w:val="false"/>
              <w:bidi/>
              <w:spacing w:after="0" w:before="0" w:line="250"/>
              <w:jc w:val="right"/>
            </w:pPr>
            <w:r>
              <w:rPr>
                <w:rFonts w:ascii="Arial" w:cs="Arial" w:eastAsia="Arial" w:hAnsi="Arial"/>
                <w:b/>
                <w:bCs/>
                <w:i w:val="false"/>
                <w:iCs w:val="false"/>
                <w:color w:val="16535B"/>
                <w:sz w:val="17"/>
                <w:szCs w:val="17"/>
                <w:rtl/>
              </w:rPr>
              <w:t xml:space="preserve">أساس سعر الوحدة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{{Deal.UnitPriceBasis}}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Ijarah rental basis</w:t>
            </w:r>
          </w:p>
          <w:p>
            <w:pPr>
              <w:keepNext w:val="false"/>
              <w:bidi/>
              <w:spacing w:after="0" w:before="0" w:line="250"/>
              <w:jc w:val="right"/>
            </w:pPr>
            <w:r>
              <w:rPr>
                <w:rFonts w:ascii="Arial" w:cs="Arial" w:eastAsia="Arial" w:hAnsi="Arial"/>
                <w:b/>
                <w:bCs/>
                <w:i w:val="false"/>
                <w:iCs w:val="false"/>
                <w:color w:val="16535B"/>
                <w:sz w:val="17"/>
                <w:szCs w:val="17"/>
                <w:rtl/>
              </w:rPr>
              <w:t xml:space="preserve">أساس أجرة الإجارة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{{Deal.RentalBasis}}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Takaful operator</w:t>
            </w:r>
          </w:p>
          <w:p>
            <w:pPr>
              <w:keepNext w:val="false"/>
              <w:bidi/>
              <w:spacing w:after="0" w:before="0" w:line="250"/>
              <w:jc w:val="right"/>
            </w:pPr>
            <w:r>
              <w:rPr>
                <w:rFonts w:ascii="Arial" w:cs="Arial" w:eastAsia="Arial" w:hAnsi="Arial"/>
                <w:b/>
                <w:bCs/>
                <w:i w:val="false"/>
                <w:iCs w:val="false"/>
                <w:color w:val="16535B"/>
                <w:sz w:val="17"/>
                <w:szCs w:val="17"/>
                <w:rtl/>
              </w:rPr>
              <w:t xml:space="preserve">مشغل التكافل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{{Takaful.Operator}}</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Takaful borne by</w:t>
            </w:r>
          </w:p>
          <w:p>
            <w:pPr>
              <w:keepNext w:val="false"/>
              <w:bidi/>
              <w:spacing w:after="0" w:before="0" w:line="250"/>
              <w:jc w:val="right"/>
            </w:pPr>
            <w:r>
              <w:rPr>
                <w:rFonts w:ascii="Arial" w:cs="Arial" w:eastAsia="Arial" w:hAnsi="Arial"/>
                <w:b/>
                <w:bCs/>
                <w:i w:val="false"/>
                <w:iCs w:val="false"/>
                <w:color w:val="16535B"/>
                <w:sz w:val="17"/>
                <w:szCs w:val="17"/>
                <w:rtl/>
              </w:rPr>
              <w:t xml:space="preserve">من يتحمل التكافل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{{Takaful.BorneBy}}</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Asset Sharia-permissible</w:t>
            </w:r>
          </w:p>
          <w:p>
            <w:pPr>
              <w:keepNext w:val="false"/>
              <w:bidi/>
              <w:spacing w:after="0" w:before="0" w:line="250"/>
              <w:jc w:val="right"/>
            </w:pPr>
            <w:r>
              <w:rPr>
                <w:rFonts w:ascii="Arial" w:cs="Arial" w:eastAsia="Arial" w:hAnsi="Arial"/>
                <w:b/>
                <w:bCs/>
                <w:i w:val="false"/>
                <w:iCs w:val="false"/>
                <w:color w:val="16535B"/>
                <w:sz w:val="17"/>
                <w:szCs w:val="17"/>
                <w:rtl/>
              </w:rPr>
              <w:t xml:space="preserve">الأصل جائز شرعاً</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{{Sharia.AssetPermissible}}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Product approved by SSB</w:t>
            </w:r>
          </w:p>
          <w:p>
            <w:pPr>
              <w:keepNext w:val="false"/>
              <w:bidi/>
              <w:spacing w:after="0" w:before="0" w:line="250"/>
              <w:jc w:val="right"/>
            </w:pPr>
            <w:r>
              <w:rPr>
                <w:rFonts w:ascii="Arial" w:cs="Arial" w:eastAsia="Arial" w:hAnsi="Arial"/>
                <w:b/>
                <w:bCs/>
                <w:i w:val="false"/>
                <w:iCs w:val="false"/>
                <w:color w:val="16535B"/>
                <w:sz w:val="17"/>
                <w:szCs w:val="17"/>
                <w:rtl/>
              </w:rPr>
              <w:t xml:space="preserve">المنتج معتمد من الهيئة الشرعية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{{Sharia.SSBApprovalRef}}</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8. Underwriter Assessment</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٨. تقييم مسؤول الدراسة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Strengths</w:t>
            </w:r>
          </w:p>
          <w:p>
            <w:pPr>
              <w:keepNext w:val="false"/>
              <w:bidi/>
              <w:spacing w:after="0" w:before="0" w:line="250"/>
              <w:jc w:val="right"/>
            </w:pPr>
            <w:r>
              <w:rPr>
                <w:rFonts w:ascii="Arial" w:cs="Arial" w:eastAsia="Arial" w:hAnsi="Arial"/>
                <w:b/>
                <w:bCs/>
                <w:i w:val="false"/>
                <w:iCs w:val="false"/>
                <w:color w:val="16535B"/>
                <w:sz w:val="17"/>
                <w:szCs w:val="17"/>
                <w:rtl/>
              </w:rPr>
              <w:t xml:space="preserve">نقاط القوة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{{CAM.Strengths}}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Weaknesses / concerns</w:t>
            </w:r>
          </w:p>
          <w:p>
            <w:pPr>
              <w:keepNext w:val="false"/>
              <w:bidi/>
              <w:spacing w:after="0" w:before="0" w:line="250"/>
              <w:jc w:val="right"/>
            </w:pPr>
            <w:r>
              <w:rPr>
                <w:rFonts w:ascii="Arial" w:cs="Arial" w:eastAsia="Arial" w:hAnsi="Arial"/>
                <w:b/>
                <w:bCs/>
                <w:i w:val="false"/>
                <w:iCs w:val="false"/>
                <w:color w:val="16535B"/>
                <w:sz w:val="17"/>
                <w:szCs w:val="17"/>
                <w:rtl/>
              </w:rPr>
              <w:t xml:space="preserve">نقاط الضعف والملاحظات</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{{CAM.Weaknesses}}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Mitigants</w:t>
            </w:r>
          </w:p>
          <w:p>
            <w:pPr>
              <w:keepNext w:val="false"/>
              <w:bidi/>
              <w:spacing w:after="0" w:before="0" w:line="250"/>
              <w:jc w:val="right"/>
            </w:pPr>
            <w:r>
              <w:rPr>
                <w:rFonts w:ascii="Arial" w:cs="Arial" w:eastAsia="Arial" w:hAnsi="Arial"/>
                <w:b/>
                <w:bCs/>
                <w:i w:val="false"/>
                <w:iCs w:val="false"/>
                <w:color w:val="16535B"/>
                <w:sz w:val="17"/>
                <w:szCs w:val="17"/>
                <w:rtl/>
              </w:rPr>
              <w:t xml:space="preserve">عوامل التخفيف</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{{CAM.Mitigants}}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Recommendation</w:t>
            </w:r>
          </w:p>
          <w:p>
            <w:pPr>
              <w:keepNext w:val="false"/>
              <w:bidi/>
              <w:spacing w:after="0" w:before="0" w:line="250"/>
              <w:jc w:val="right"/>
            </w:pPr>
            <w:r>
              <w:rPr>
                <w:rFonts w:ascii="Arial" w:cs="Arial" w:eastAsia="Arial" w:hAnsi="Arial"/>
                <w:b/>
                <w:bCs/>
                <w:i w:val="false"/>
                <w:iCs w:val="false"/>
                <w:color w:val="16535B"/>
                <w:sz w:val="17"/>
                <w:szCs w:val="17"/>
                <w:rtl/>
              </w:rPr>
              <w:t xml:space="preserve">التوصية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{{CAM.Recommendation}}</w:t>
            </w:r>
          </w:p>
        </w:tc>
      </w:tr>
    </w:tbl>
    <w:p>
      <w:pPr>
        <w:spacing w:after="16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9. Policy Exceptions</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٩. الاستثناءات من السياسة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400"/>
        <w:gridCol w:w="1600"/>
        <w:gridCol w:w="1500"/>
        <w:gridCol w:w="2600"/>
        <w:gridCol w:w="1806"/>
      </w:tblGrid>
      <w:tr>
        <w:trPr>
          <w:tblHeader/>
        </w:trPr>
        <w:tc>
          <w:tcPr>
            <w:tcW w:type="dxa" w:w="24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Policy item</w:t>
            </w:r>
          </w:p>
          <w:p>
            <w:pPr>
              <w:keepNext w:val="false"/>
              <w:bidi/>
              <w:spacing w:after="0" w:before="0" w:line="250"/>
              <w:jc w:val="right"/>
            </w:pPr>
            <w:r>
              <w:rPr>
                <w:rFonts w:ascii="Arial" w:cs="Arial" w:eastAsia="Arial" w:hAnsi="Arial"/>
                <w:b/>
                <w:bCs/>
                <w:i w:val="false"/>
                <w:iCs w:val="false"/>
                <w:color w:val="FFFFFF"/>
                <w:sz w:val="15"/>
                <w:szCs w:val="15"/>
                <w:rtl/>
              </w:rPr>
              <w:t xml:space="preserve">بند السياسة</w:t>
            </w:r>
          </w:p>
        </w:tc>
        <w:tc>
          <w:tcPr>
            <w:tcW w:type="dxa" w:w="1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Policy limit</w:t>
            </w:r>
          </w:p>
          <w:p>
            <w:pPr>
              <w:keepNext w:val="false"/>
              <w:bidi/>
              <w:spacing w:after="0" w:before="0" w:line="250"/>
              <w:jc w:val="right"/>
            </w:pPr>
            <w:r>
              <w:rPr>
                <w:rFonts w:ascii="Arial" w:cs="Arial" w:eastAsia="Arial" w:hAnsi="Arial"/>
                <w:b/>
                <w:bCs/>
                <w:i w:val="false"/>
                <w:iCs w:val="false"/>
                <w:color w:val="FFFFFF"/>
                <w:sz w:val="15"/>
                <w:szCs w:val="15"/>
                <w:rtl/>
              </w:rPr>
              <w:t xml:space="preserve">حد السياسة</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Actual</w:t>
            </w:r>
          </w:p>
          <w:p>
            <w:pPr>
              <w:keepNext w:val="false"/>
              <w:bidi/>
              <w:spacing w:after="0" w:before="0" w:line="250"/>
              <w:jc w:val="right"/>
            </w:pPr>
            <w:r>
              <w:rPr>
                <w:rFonts w:ascii="Arial" w:cs="Arial" w:eastAsia="Arial" w:hAnsi="Arial"/>
                <w:b/>
                <w:bCs/>
                <w:i w:val="false"/>
                <w:iCs w:val="false"/>
                <w:color w:val="FFFFFF"/>
                <w:sz w:val="15"/>
                <w:szCs w:val="15"/>
                <w:rtl/>
              </w:rPr>
              <w:t xml:space="preserve">الفعلي</w:t>
            </w:r>
          </w:p>
        </w:tc>
        <w:tc>
          <w:tcPr>
            <w:tcW w:type="dxa" w:w="2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Compensating factor</w:t>
            </w:r>
          </w:p>
          <w:p>
            <w:pPr>
              <w:keepNext w:val="false"/>
              <w:bidi/>
              <w:spacing w:after="0" w:before="0" w:line="250"/>
              <w:jc w:val="right"/>
            </w:pPr>
            <w:r>
              <w:rPr>
                <w:rFonts w:ascii="Arial" w:cs="Arial" w:eastAsia="Arial" w:hAnsi="Arial"/>
                <w:b/>
                <w:bCs/>
                <w:i w:val="false"/>
                <w:iCs w:val="false"/>
                <w:color w:val="FFFFFF"/>
                <w:sz w:val="15"/>
                <w:szCs w:val="15"/>
                <w:rtl/>
              </w:rPr>
              <w:t xml:space="preserve">العامل المعوّض</w:t>
            </w:r>
          </w:p>
        </w:tc>
        <w:tc>
          <w:tcPr>
            <w:tcW w:type="dxa" w:w="18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Escalated to</w:t>
            </w:r>
          </w:p>
          <w:p>
            <w:pPr>
              <w:keepNext w:val="false"/>
              <w:bidi/>
              <w:spacing w:after="0" w:before="0" w:line="250"/>
              <w:jc w:val="right"/>
            </w:pPr>
            <w:r>
              <w:rPr>
                <w:rFonts w:ascii="Arial" w:cs="Arial" w:eastAsia="Arial" w:hAnsi="Arial"/>
                <w:b/>
                <w:bCs/>
                <w:i w:val="false"/>
                <w:iCs w:val="false"/>
                <w:color w:val="FFFFFF"/>
                <w:sz w:val="15"/>
                <w:szCs w:val="15"/>
                <w:rtl/>
              </w:rPr>
              <w:t xml:space="preserve">أحيل إلى</w:t>
            </w:r>
          </w:p>
        </w:tc>
      </w:tr>
      <w:tr>
        <w:tc>
          <w:tcPr>
            <w:tcW w:type="dxa" w:w="2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{{Exception.1.Item}}</w:t>
            </w:r>
          </w:p>
        </w:tc>
        <w:tc>
          <w:tcPr>
            <w:tcW w:type="dxa" w:w="1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{{Exception.1.Limit}}</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{{Exception.1.Actual}}</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{{Exception.1.Mitigant}}</w:t>
            </w:r>
          </w:p>
        </w:tc>
        <w:tc>
          <w:tcPr>
            <w:tcW w:type="dxa" w:w="18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{{Exception.1.EscalatedTo}}</w:t>
            </w:r>
          </w:p>
        </w:tc>
      </w:tr>
      <w:tr>
        <w:tc>
          <w:tcPr>
            <w:tcW w:type="dxa" w:w="2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{{Exception.2.Item}}</w:t>
            </w:r>
          </w:p>
        </w:tc>
        <w:tc>
          <w:tcPr>
            <w:tcW w:type="dxa" w:w="1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{{Exception.2.Limit}}</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{{Exception.2.Actual}}</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{{Exception.2.Mitigant}}</w:t>
            </w:r>
          </w:p>
        </w:tc>
        <w:tc>
          <w:tcPr>
            <w:tcW w:type="dxa" w:w="18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{{Exception.2.EscalatedTo}}</w:t>
            </w:r>
          </w:p>
        </w:tc>
      </w:tr>
    </w:tbl>
    <w:p>
      <w:pPr>
        <w:spacing w:after="10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4953"/>
        <w:gridCol w:w="4953"/>
      </w:tblGrid>
      <w:tr>
        <w:tc>
          <w:tcPr>
            <w:tcW w:type="dxa" w:w="4953"/>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Reporting rule</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Every row rendered here is reported in the monthly exception report to the Board Risk Committee. A facility approved outside policy without a row here is an audit finding by definition.</w:t>
            </w:r>
          </w:p>
        </w:tc>
        <w:tc>
          <w:tcPr>
            <w:tcW w:type="dxa" w:w="4953"/>
            <w:shd w:fill="EEF4F4"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قاعدة الإبلاغ</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يدرج كل بند يظهر هنا في تقرير الاستثناءات الشهري المرفوع للجنة المخاطر بالمجلس. ويعد اعتماد أي تسهيل خارج السياسة دون تسجيله هنا ملاحظة تدقيق بحكم التعريف.</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10. Approved Structure &amp; Conditions</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١٠. الهيكل المعتمد والشروط</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Decision</w:t>
            </w:r>
          </w:p>
          <w:p>
            <w:pPr>
              <w:keepNext w:val="false"/>
              <w:bidi/>
              <w:spacing w:after="0" w:before="0" w:line="250"/>
              <w:jc w:val="right"/>
            </w:pPr>
            <w:r>
              <w:rPr>
                <w:rFonts w:ascii="Arial" w:cs="Arial" w:eastAsia="Arial" w:hAnsi="Arial"/>
                <w:b/>
                <w:bCs/>
                <w:i w:val="false"/>
                <w:iCs w:val="false"/>
                <w:color w:val="16535B"/>
                <w:sz w:val="17"/>
                <w:szCs w:val="17"/>
                <w:rtl/>
              </w:rPr>
              <w:t xml:space="preserve">القرار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{{Decision.Outcome}}</w:t>
            </w:r>
            <w:r>
              <w:rPr>
                <w:rFonts w:ascii="Arial" w:cs="Arial" w:eastAsia="Arial" w:hAnsi="Arial"/>
                <w:b w:val="false"/>
                <w:bCs w:val="false"/>
                <w:i w:val="false"/>
                <w:iCs w:val="false"/>
                <w:color w:val="1F2933"/>
                <w:sz w:val="18"/>
                <w:szCs w:val="18"/>
                <w:rtl w:val="false"/>
              </w:rPr>
              <w:t xml:space="preserve">  (Approve / Approve with conditions / Decline)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Approved BloX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مساهمة بلوكس المعتمدة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{{Decision.ApprovedAmount}}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Approved term</w:t>
            </w:r>
          </w:p>
          <w:p>
            <w:pPr>
              <w:keepNext w:val="false"/>
              <w:bidi/>
              <w:spacing w:after="0" w:before="0" w:line="250"/>
              <w:jc w:val="right"/>
            </w:pPr>
            <w:r>
              <w:rPr>
                <w:rFonts w:ascii="Arial" w:cs="Arial" w:eastAsia="Arial" w:hAnsi="Arial"/>
                <w:b/>
                <w:bCs/>
                <w:i w:val="false"/>
                <w:iCs w:val="false"/>
                <w:color w:val="16535B"/>
                <w:sz w:val="17"/>
                <w:szCs w:val="17"/>
                <w:rtl/>
              </w:rPr>
              <w:t xml:space="preserve">المدة المعتمدة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{{Decision.ApprovedTermMonths}}</w:t>
            </w:r>
            <w:r>
              <w:rPr>
                <w:rFonts w:ascii="Arial" w:cs="Arial" w:eastAsia="Arial" w:hAnsi="Arial"/>
                <w:b w:val="false"/>
                <w:bCs w:val="false"/>
                <w:i w:val="false"/>
                <w:iCs w:val="false"/>
                <w:color w:val="1F2933"/>
                <w:sz w:val="18"/>
                <w:szCs w:val="18"/>
                <w:rtl w:val="false"/>
              </w:rPr>
              <w:t xml:space="preserve"> months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Approved rental rate</w:t>
            </w:r>
          </w:p>
          <w:p>
            <w:pPr>
              <w:keepNext w:val="false"/>
              <w:bidi/>
              <w:spacing w:after="0" w:before="0" w:line="250"/>
              <w:jc w:val="right"/>
            </w:pPr>
            <w:r>
              <w:rPr>
                <w:rFonts w:ascii="Arial" w:cs="Arial" w:eastAsia="Arial" w:hAnsi="Arial"/>
                <w:b/>
                <w:bCs/>
                <w:i w:val="false"/>
                <w:iCs w:val="false"/>
                <w:color w:val="16535B"/>
                <w:sz w:val="17"/>
                <w:szCs w:val="17"/>
                <w:rtl/>
              </w:rPr>
              <w:t xml:space="preserve">معدل الأجرة المعتمد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{{Decision.ApprovedRentalRate}}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Required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المساهمة المطلوبة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{{Decision.RequiredContribution}}</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Approval expiry</w:t>
            </w:r>
          </w:p>
          <w:p>
            <w:pPr>
              <w:keepNext w:val="false"/>
              <w:bidi/>
              <w:spacing w:after="0" w:before="0" w:line="250"/>
              <w:jc w:val="right"/>
            </w:pPr>
            <w:r>
              <w:rPr>
                <w:rFonts w:ascii="Arial" w:cs="Arial" w:eastAsia="Arial" w:hAnsi="Arial"/>
                <w:b/>
                <w:bCs/>
                <w:i w:val="false"/>
                <w:iCs w:val="false"/>
                <w:color w:val="16535B"/>
                <w:sz w:val="17"/>
                <w:szCs w:val="17"/>
                <w:rtl/>
              </w:rPr>
              <w:t xml:space="preserve">انتهاء صلاحية الموافقة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{{Decision.ExpiryDate}}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Conditions precedent</w:t>
            </w:r>
          </w:p>
          <w:p>
            <w:pPr>
              <w:keepNext w:val="false"/>
              <w:bidi/>
              <w:spacing w:after="0" w:before="0" w:line="250"/>
              <w:jc w:val="right"/>
            </w:pPr>
            <w:r>
              <w:rPr>
                <w:rFonts w:ascii="Arial" w:cs="Arial" w:eastAsia="Arial" w:hAnsi="Arial"/>
                <w:b/>
                <w:bCs/>
                <w:i w:val="false"/>
                <w:iCs w:val="false"/>
                <w:color w:val="16535B"/>
                <w:sz w:val="17"/>
                <w:szCs w:val="17"/>
                <w:rtl/>
              </w:rPr>
              <w:t xml:space="preserve">الشروط الواجب استيفاؤها</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{{Decision.ConditionsPrecedent}}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Conditions subsequent</w:t>
            </w:r>
          </w:p>
          <w:p>
            <w:pPr>
              <w:keepNext w:val="false"/>
              <w:bidi/>
              <w:spacing w:after="0" w:before="0" w:line="250"/>
              <w:jc w:val="right"/>
            </w:pPr>
            <w:r>
              <w:rPr>
                <w:rFonts w:ascii="Arial" w:cs="Arial" w:eastAsia="Arial" w:hAnsi="Arial"/>
                <w:b/>
                <w:bCs/>
                <w:i w:val="false"/>
                <w:iCs w:val="false"/>
                <w:color w:val="16535B"/>
                <w:sz w:val="17"/>
                <w:szCs w:val="17"/>
                <w:rtl/>
              </w:rPr>
              <w:t xml:space="preserve">الشروط اللاحقة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{{Decision.ConditionsSubsequent}}</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11. Approval — Delegated Authority</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١١. الاعتماد — الصلاحيات المفوضة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1500"/>
        <w:gridCol w:w="1900"/>
        <w:gridCol w:w="1700"/>
        <w:gridCol w:w="1700"/>
        <w:gridCol w:w="1400"/>
        <w:gridCol w:w="1706"/>
      </w:tblGrid>
      <w:tr>
        <w:trPr>
          <w:tblHeader/>
        </w:trPr>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Stage</w:t>
            </w:r>
          </w:p>
          <w:p>
            <w:pPr>
              <w:keepNext w:val="false"/>
              <w:bidi/>
              <w:spacing w:after="0" w:before="0" w:line="250"/>
              <w:jc w:val="right"/>
            </w:pPr>
            <w:r>
              <w:rPr>
                <w:rFonts w:ascii="Arial" w:cs="Arial" w:eastAsia="Arial" w:hAnsi="Arial"/>
                <w:b/>
                <w:bCs/>
                <w:i w:val="false"/>
                <w:iCs w:val="false"/>
                <w:color w:val="FFFFFF"/>
                <w:sz w:val="15"/>
                <w:szCs w:val="15"/>
                <w:rtl/>
              </w:rPr>
              <w:t xml:space="preserve">المرحلة</w:t>
            </w:r>
          </w:p>
        </w:tc>
        <w:tc>
          <w:tcPr>
            <w:tcW w:type="dxa" w:w="19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Name</w:t>
            </w:r>
          </w:p>
          <w:p>
            <w:pPr>
              <w:keepNext w:val="false"/>
              <w:bidi/>
              <w:spacing w:after="0" w:before="0" w:line="250"/>
              <w:jc w:val="right"/>
            </w:pPr>
            <w:r>
              <w:rPr>
                <w:rFonts w:ascii="Arial" w:cs="Arial" w:eastAsia="Arial" w:hAnsi="Arial"/>
                <w:b/>
                <w:bCs/>
                <w:i w:val="false"/>
                <w:iCs w:val="false"/>
                <w:color w:val="FFFFFF"/>
                <w:sz w:val="15"/>
                <w:szCs w:val="15"/>
                <w:rtl/>
              </w:rPr>
              <w:t xml:space="preserve">الاسم</w:t>
            </w:r>
          </w:p>
        </w:tc>
        <w:tc>
          <w:tcPr>
            <w:tcW w:type="dxa" w:w="17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Role</w:t>
            </w:r>
          </w:p>
          <w:p>
            <w:pPr>
              <w:keepNext w:val="false"/>
              <w:bidi/>
              <w:spacing w:after="0" w:before="0" w:line="250"/>
              <w:jc w:val="right"/>
            </w:pPr>
            <w:r>
              <w:rPr>
                <w:rFonts w:ascii="Arial" w:cs="Arial" w:eastAsia="Arial" w:hAnsi="Arial"/>
                <w:b/>
                <w:bCs/>
                <w:i w:val="false"/>
                <w:iCs w:val="false"/>
                <w:color w:val="FFFFFF"/>
                <w:sz w:val="15"/>
                <w:szCs w:val="15"/>
                <w:rtl/>
              </w:rPr>
              <w:t xml:space="preserve">الصفة</w:t>
            </w:r>
          </w:p>
        </w:tc>
        <w:tc>
          <w:tcPr>
            <w:tcW w:type="dxa" w:w="17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Authority limit (QAR)</w:t>
            </w:r>
          </w:p>
          <w:p>
            <w:pPr>
              <w:keepNext w:val="false"/>
              <w:bidi/>
              <w:spacing w:after="0" w:before="0" w:line="250"/>
              <w:jc w:val="right"/>
            </w:pPr>
            <w:r>
              <w:rPr>
                <w:rFonts w:ascii="Arial" w:cs="Arial" w:eastAsia="Arial" w:hAnsi="Arial"/>
                <w:b/>
                <w:bCs/>
                <w:i w:val="false"/>
                <w:iCs w:val="false"/>
                <w:color w:val="FFFFFF"/>
                <w:sz w:val="15"/>
                <w:szCs w:val="15"/>
                <w:rtl/>
              </w:rPr>
              <w:t xml:space="preserve">حد الصلاحية</w:t>
            </w:r>
          </w:p>
        </w:tc>
        <w:tc>
          <w:tcPr>
            <w:tcW w:type="dxa" w:w="14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Decision</w:t>
            </w:r>
          </w:p>
          <w:p>
            <w:pPr>
              <w:keepNext w:val="false"/>
              <w:bidi/>
              <w:spacing w:after="0" w:before="0" w:line="250"/>
              <w:jc w:val="right"/>
            </w:pPr>
            <w:r>
              <w:rPr>
                <w:rFonts w:ascii="Arial" w:cs="Arial" w:eastAsia="Arial" w:hAnsi="Arial"/>
                <w:b/>
                <w:bCs/>
                <w:i w:val="false"/>
                <w:iCs w:val="false"/>
                <w:color w:val="FFFFFF"/>
                <w:sz w:val="15"/>
                <w:szCs w:val="15"/>
                <w:rtl/>
              </w:rPr>
              <w:t xml:space="preserve">القرار</w:t>
            </w:r>
          </w:p>
        </w:tc>
        <w:tc>
          <w:tcPr>
            <w:tcW w:type="dxa" w:w="17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Date &amp; time</w:t>
            </w:r>
          </w:p>
          <w:p>
            <w:pPr>
              <w:keepNext w:val="false"/>
              <w:bidi/>
              <w:spacing w:after="0" w:before="0" w:line="250"/>
              <w:jc w:val="right"/>
            </w:pPr>
            <w:r>
              <w:rPr>
                <w:rFonts w:ascii="Arial" w:cs="Arial" w:eastAsia="Arial" w:hAnsi="Arial"/>
                <w:b/>
                <w:bCs/>
                <w:i w:val="false"/>
                <w:iCs w:val="false"/>
                <w:color w:val="FFFFFF"/>
                <w:sz w:val="15"/>
                <w:szCs w:val="15"/>
                <w:rtl/>
              </w:rPr>
              <w:t xml:space="preserve">التاريخ والوقت</w:t>
            </w:r>
          </w:p>
        </w:tc>
      </w:tr>
      <w:tr>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Maker / معدّ</w:t>
            </w:r>
          </w:p>
        </w:tc>
        <w:tc>
          <w:tcPr>
            <w:tcW w:type="dxa" w:w="19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{{Approval.Maker.Name}}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{{Approval.Maker.Role}}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1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{{Approval.Maker.Action}}</w:t>
            </w:r>
          </w:p>
        </w:tc>
        <w:tc>
          <w:tcPr>
            <w:tcW w:type="dxa" w:w="17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{{Approval.Maker.Timestamp}}</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Checker / مراجع</w:t>
            </w:r>
          </w:p>
        </w:tc>
        <w:tc>
          <w:tcPr>
            <w:tcW w:type="dxa" w:w="19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{{Approval.Checker.Name}}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{{Approval.Checker.Role}}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{{Approval.Checker.Limit}}</w:t>
            </w:r>
          </w:p>
        </w:tc>
        <w:tc>
          <w:tcPr>
            <w:tcW w:type="dxa" w:w="1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{{Approval.Checker.Action}}</w:t>
            </w:r>
          </w:p>
        </w:tc>
        <w:tc>
          <w:tcPr>
            <w:tcW w:type="dxa" w:w="17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{{Approval.Checker.Timestamp}}</w:t>
            </w:r>
          </w:p>
        </w:tc>
      </w:tr>
      <w:tr>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Approver / معتمد</w:t>
            </w:r>
          </w:p>
        </w:tc>
        <w:tc>
          <w:tcPr>
            <w:tcW w:type="dxa" w:w="19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{{Approval.Approver.Name}}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{{Approval.Approver.Role}}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{{Approval.Approver.Limit}}</w:t>
            </w:r>
          </w:p>
        </w:tc>
        <w:tc>
          <w:tcPr>
            <w:tcW w:type="dxa" w:w="1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{{Approval.Approver.Action}}</w:t>
            </w:r>
          </w:p>
        </w:tc>
        <w:tc>
          <w:tcPr>
            <w:tcW w:type="dxa" w:w="17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{{Approval.Approver.Timestamp}}</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Escalation / تصعيد</w:t>
            </w:r>
          </w:p>
        </w:tc>
        <w:tc>
          <w:tcPr>
            <w:tcW w:type="dxa" w:w="19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{{Approval.Escalation.Name}}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{{Approval.Escalation.Role}}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{{Approval.Escalation.Limit}}</w:t>
            </w:r>
          </w:p>
        </w:tc>
        <w:tc>
          <w:tcPr>
            <w:tcW w:type="dxa" w:w="1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{{Approval.Escalation.Action}}</w:t>
            </w:r>
          </w:p>
        </w:tc>
        <w:tc>
          <w:tcPr>
            <w:tcW w:type="dxa" w:w="17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{{Approval.Escalation.Timestamp}}</w:t>
            </w:r>
          </w:p>
        </w:tc>
      </w:tr>
    </w:tbl>
    <w:p>
      <w:pPr>
        <w:spacing w:after="100"/>
      </w:pPr>
      <w:r>
        <w:t xml:space="preserve"/>
      </w:r>
    </w:p>
    <w:tbl>
      <w:tblPr>
        <w:tblW w:type="dxa" w:w="9906"/>
        <w:tblBorders>
          <w:top w:val="single" w:color="C79A00" w:sz="4"/>
          <w:left w:val="single" w:color="C79A00" w:sz="4"/>
          <w:bottom w:val="single" w:color="C79A00" w:sz="4"/>
          <w:right w:val="single" w:color="C79A00" w:sz="4"/>
          <w:insideH w:val="single" w:color="C79A00" w:sz="4"/>
          <w:insideV w:val="single" w:color="C79A00" w:sz="4"/>
        </w:tblBorders>
        <w:tblLayout w:type="fixed"/>
      </w:tblPr>
      <w:tblGrid>
        <w:gridCol w:w="4953"/>
        <w:gridCol w:w="4953"/>
      </w:tblGrid>
      <w:tr>
        <w:tc>
          <w:tcPr>
            <w:tcW w:type="dxa" w:w="4953"/>
            <w:shd w:fill="FFF8DC"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Four eyes, enforced by the system</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Maker and Approver must be different users. The Approver's delegated authority limit is drawn from the BloX Credit Risk Management Policy and printed on the memorandum. Where the approved amount exceeds that limit, the system routes to escalation and the memorandum cannot be marked approved until the escalation row is complete. Timestamps are system-generated and immutable.</w:t>
            </w:r>
          </w:p>
        </w:tc>
        <w:tc>
          <w:tcPr>
            <w:tcW w:type="dxa" w:w="4953"/>
            <w:shd w:fill="FFF8DC"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مبدأ الأربع أعين مفروض بالنظام</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يجب أن يكون المعدّ والمعتمد مستخدمين مختلفين. ويؤخذ حد الصلاحية المفوضة للمعتمد من سياسة إدارة مخاطر الائتمان لدى بلوكس ويطبع على المذكرة. وإذا تجاوز المبلغ المعتمد ذلك الحد يحيل النظام الطلب للتصعيد، ولا يمكن اعتماد المذكرة حتى يكتمل سطر التصعيد. والطوابع الزمنية تولد آلياً وغير قابلة للتعديل.</w:t>
            </w:r>
          </w:p>
        </w:tc>
      </w:tr>
    </w:tbl>
    <w:sectPr>
      <w:headerReference w:type="default" r:id="rId7"/>
      <w:footerReference w:type="default" r:id="rId8"/>
      <w:pgSz w:w="11906" w:h="16838" w:orient="portrait"/>
      <w:pgMar w:top="1000" w:right="1000" w:bottom="10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9D6D8" w:sz="4"/>
      </w:pBdr>
      <w:spacing w:after="60"/>
    </w:pPr>
    <w:r>
      <w:t xml:space="preserve"/>
    </w:r>
  </w:p>
  <w:p>
    <w:pPr>
      <w:tabs>
        <w:tab w:val="right" w:pos="9906"/>
      </w:tabs>
    </w:pPr>
    <w:r>
      <w:rPr>
        <w:rFonts w:ascii="Arial" w:cs="Arial" w:eastAsia="Arial" w:hAnsi="Arial"/>
        <w:color w:val="708090"/>
        <w:sz w:val="13"/>
        <w:szCs w:val="13"/>
      </w:rPr>
      <w:t xml:space="preserve">BLX-TPL-004 · BloX LLC · INTERNAL · CONFIDENTIAL · blox-it.com</w:t>
    </w:r>
    <w:r>
      <w:rPr>
        <w:rFonts w:ascii="Arial" w:cs="Arial" w:eastAsia="Arial" w:hAnsi="Arial"/>
        <w:sz w:val="13"/>
        <w:szCs w:val="13"/>
      </w:rPr>
      <w:t xml:space="preserve">	</w:t>
    </w:r>
    <w:r>
      <w:rPr>
        <w:rFonts w:ascii="Arial" w:cs="Arial" w:eastAsia="Arial" w:hAnsi="Arial"/>
        <w:color w:val="708090"/>
        <w:sz w:val="13"/>
        <w:szCs w:val="13"/>
      </w:rPr>
      <w:t xml:space="preserve">Page </w:t>
    </w:r>
    <w:r>
      <w:rPr>
        <w:rFonts w:ascii="Arial" w:cs="Arial" w:eastAsia="Arial" w:hAnsi="Arial"/>
        <w:color w:val="708090"/>
        <w:sz w:val="13"/>
        <w:szCs w:val="13"/>
      </w:rPr>
      <w:fldChar w:fldCharType="begin"/>
      <w:instrText xml:space="preserve">PAGE</w:instrText>
      <w:fldChar w:fldCharType="separate"/>
      <w:fldChar w:fldCharType="end"/>
    </w:r>
    <w:r>
      <w:rPr>
        <w:rFonts w:ascii="Arial" w:cs="Arial" w:eastAsia="Arial" w:hAnsi="Arial"/>
        <w:color w:val="708090"/>
        <w:sz w:val="13"/>
        <w:szCs w:val="13"/>
      </w:rPr>
      <w:t xml:space="preserve"> of </w:t>
    </w:r>
    <w:r>
      <w:rPr>
        <w:rFonts w:ascii="Arial" w:cs="Arial" w:eastAsia="Arial" w:hAnsi="Arial"/>
        <w:color w:val="70809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5906"/>
    </w:tblGrid>
    <w:tr>
      <w:tc>
        <w:tcPr>
          <w:tcW w:type="dxa" w:w="4000"/>
          <w:tcMar>
            <w:top w:type="dxa" w:w="0"/>
            <w:left w:type="dxa" w:w="0"/>
            <w:bottom w:type="dxa" w:w="0"/>
            <w:right w:type="dxa" w:w="110"/>
          </w:tcMar>
          <w:vAlign w:val="top"/>
        </w:tcPr>
        <w:p w14:paraId="BLOXLOGO01" w14:textId="77777777" w:rsidR="00000000" w:rsidRDefault="00000000">
          <w:r>
            <w:drawing>
              <wp:inline xmlns:wp="http://schemas.openxmlformats.org/drawingml/2006/wordprocessingDrawing" distT="0" distB="0" distL="0" distR="0">
                <wp:extent cx="1320800" cy="392430"/>
                <wp:effectExtent l="0" t="0" r="0" b="0"/>
                <wp:docPr id="100001" name="Bl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BloX Logo"/>
                        <pic:cNvPicPr/>
                      </pic:nvPicPr>
                      <pic:blipFill>
                        <a:blip xmlns:r="http://schemas.openxmlformats.org/officeDocument/2006/relationships" r:embed="rIdLogo"/>
                        <a:stretch>
                          <a:fillRect/>
                        </a:stretch>
                      </pic:blipFill>
                      <pic:spPr>
                        <a:xfrm>
                          <a:off x="0" y="0"/>
                          <a:ext cx="1320800" cy="392430"/>
                        </a:xfrm>
                        <a:prstGeom prst="rect">
                          <a:avLst/>
                        </a:prstGeom>
                      </pic:spPr>
                    </pic:pic>
                  </a:graphicData>
                </a:graphic>
              </wp:inline>
            </w:drawing>
          </w:r>
        </w:p>
        <w:p>
          <w:pPr>
            <w:spacing w:after="0"/>
          </w:pPr>
          <w:r>
            <w:rPr>
              <w:rFonts w:ascii="Arial" w:cs="Arial" w:eastAsia="Arial" w:hAnsi="Arial"/>
              <w:color w:val="708090"/>
              <w:sz w:val="11"/>
              <w:szCs w:val="11"/>
            </w:rPr>
            <w:t xml:space="preserve">F I N A N C E   U N B O X E D</w:t>
          </w:r>
        </w:p>
      </w:tc>
      <w:tc>
        <w:tcPr>
          <w:tcW w:type="dxa" w:w="5906"/>
          <w:tcMar>
            <w:top w:type="dxa" w:w="0"/>
            <w:left w:type="dxa" w:w="110"/>
            <w:bottom w:type="dxa" w:w="0"/>
            <w:right w:type="dxa" w:w="0"/>
          </w:tcMar>
          <w:vAlign w:val="top"/>
        </w:tcPr>
        <w:p>
          <w:pPr>
            <w:spacing w:after="0"/>
            <w:jc w:val="right"/>
          </w:pPr>
          <w:r>
            <w:rPr>
              <w:rFonts w:ascii="Arial" w:cs="Arial" w:eastAsia="Arial" w:hAnsi="Arial"/>
              <w:b/>
              <w:bCs/>
              <w:color w:val="708090"/>
              <w:sz w:val="15"/>
              <w:szCs w:val="15"/>
            </w:rPr>
            <w:t xml:space="preserve">BloX LLC</w:t>
          </w:r>
        </w:p>
        <w:p>
          <w:pPr>
            <w:spacing w:after="0"/>
            <w:jc w:val="right"/>
          </w:pPr>
          <w:r>
            <w:rPr>
              <w:rFonts w:ascii="Arial" w:cs="Arial" w:eastAsia="Arial" w:hAnsi="Arial"/>
              <w:color w:val="708090"/>
              <w:sz w:val="13"/>
              <w:szCs w:val="13"/>
            </w:rPr>
            <w:t xml:space="preserve">Qatar Financial Centre · QFC No. 03403 · Doha, Qatar</w:t>
          </w:r>
        </w:p>
      </w:tc>
    </w:tr>
  </w:tbl>
  <w:p>
    <w:pPr>
      <w:pBdr>
        <w:bottom w:val="single" w:color="00CFA2" w:sz="8"/>
      </w:pBdr>
      <w:spacing w:after="160" w:before="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
  <Relationship Id="rIdLogo" Type="http://schemas.openxmlformats.org/officeDocument/2006/relationships/image" Target="media/blox-logo-nav.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Appraisal Memorandum</dc:title>
  <dc:creator>BloX LLC</dc:creator>
  <dc:description>BloX LLC document template BLX-TPL-004 v1.1</dc:description>
  <cp:lastModifiedBy>Un-named</cp:lastModifiedBy>
  <cp:revision>1</cp:revision>
  <dcterms:created xsi:type="dcterms:W3CDTF">2026-09-10T08:44:36.763Z</dcterms:created>
  <dcterms:modified xsi:type="dcterms:W3CDTF">2026-09-10T08:44:36.763Z</dcterms:modified>
</cp:coreProperties>
</file>

<file path=docProps/custom.xml><?xml version="1.0" encoding="utf-8"?>
<Properties xmlns="http://schemas.openxmlformats.org/officeDocument/2006/custom-properties" xmlns:vt="http://schemas.openxmlformats.org/officeDocument/2006/docPropsVTypes"/>
</file>