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8D246" w14:textId="6791B5DA" w:rsidR="00EE692C" w:rsidRDefault="00607A0D">
      <w:pPr>
        <w:spacing w:before="1200"/>
        <w:jc w:val="center"/>
      </w:pPr>
      <w:r>
        <w:rPr>
          <w:b/>
          <w:bCs/>
          <w:color w:val="16535B"/>
          <w:sz w:val="56"/>
          <w:szCs w:val="56"/>
        </w:rPr>
        <w:t>BloX</w:t>
      </w:r>
    </w:p>
    <w:p w14:paraId="65078D7C" w14:textId="77777777" w:rsidR="00EE692C" w:rsidRDefault="00000000">
      <w:pPr>
        <w:spacing w:after="800"/>
        <w:jc w:val="center"/>
      </w:pPr>
      <w:r>
        <w:rPr>
          <w:b/>
          <w:bCs/>
          <w:color w:val="00CFA2"/>
          <w:sz w:val="16"/>
          <w:szCs w:val="16"/>
        </w:rPr>
        <w:t>F I N A N C E   U N B O X E D</w:t>
      </w:r>
    </w:p>
    <w:p w14:paraId="6DCBC7E1" w14:textId="77777777" w:rsidR="00EE692C" w:rsidRDefault="00000000">
      <w:pPr>
        <w:spacing w:before="400" w:after="60"/>
        <w:jc w:val="center"/>
      </w:pPr>
      <w:r>
        <w:rPr>
          <w:b/>
          <w:bCs/>
          <w:sz w:val="40"/>
          <w:szCs w:val="40"/>
        </w:rPr>
        <w:t>Diminishing Musharakah Agreement</w:t>
      </w:r>
    </w:p>
    <w:p w14:paraId="3DBFE9EA" w14:textId="77777777" w:rsidR="00EE692C" w:rsidRDefault="00000000">
      <w:pPr>
        <w:bidi/>
        <w:spacing w:after="300"/>
        <w:jc w:val="center"/>
      </w:pPr>
      <w:r>
        <w:rPr>
          <w:rFonts w:ascii="IBM Plex Sans Arabic" w:eastAsia="IBM Plex Sans Arabic" w:hAnsi="IBM Plex Sans Arabic" w:cs="IBM Plex Sans Arabic"/>
          <w:b/>
          <w:bCs/>
          <w:sz w:val="40"/>
          <w:szCs w:val="40"/>
          <w:rtl/>
        </w:rPr>
        <w:t>عقد المشاركة المتناقصة</w:t>
      </w:r>
    </w:p>
    <w:p w14:paraId="067D947F" w14:textId="77777777" w:rsidR="00EE692C" w:rsidRDefault="00000000">
      <w:pPr>
        <w:spacing w:after="40"/>
        <w:jc w:val="center"/>
      </w:pPr>
      <w:r>
        <w:rPr>
          <w:color w:val="708090"/>
          <w:sz w:val="22"/>
          <w:szCs w:val="22"/>
        </w:rPr>
        <w:t>Joint Ownership &amp; Diminishing Musharakah (Shirkat Al-Milk) Structure</w:t>
      </w:r>
    </w:p>
    <w:p w14:paraId="1AB6817D" w14:textId="77777777" w:rsidR="00EE692C" w:rsidRDefault="00000000">
      <w:pPr>
        <w:bidi/>
        <w:spacing w:after="700"/>
        <w:jc w:val="center"/>
      </w:pPr>
      <w:r>
        <w:rPr>
          <w:rFonts w:ascii="IBM Plex Sans Arabic" w:eastAsia="IBM Plex Sans Arabic" w:hAnsi="IBM Plex Sans Arabic" w:cs="IBM Plex Sans Arabic"/>
          <w:color w:val="708090"/>
          <w:sz w:val="22"/>
          <w:szCs w:val="22"/>
          <w:rtl/>
        </w:rPr>
        <w:t>هيكل الملكية المشتركة والمشاركة المتناقصة (شركة الملك)</w:t>
      </w:r>
    </w:p>
    <w:p w14:paraId="66925879" w14:textId="77777777" w:rsidR="00EE692C" w:rsidRDefault="00000000">
      <w:pPr>
        <w:spacing w:after="100"/>
        <w:jc w:val="center"/>
      </w:pPr>
      <w:r>
        <w:t xml:space="preserve">Contract No.: </w:t>
      </w:r>
      <w:r>
        <w:rPr>
          <w:rFonts w:ascii="Space Grotesk" w:eastAsia="Space Grotesk" w:hAnsi="Space Grotesk" w:cs="Space Grotesk"/>
        </w:rPr>
        <w:t>{{Price.BloXContribution}}</w:t>
      </w:r>
    </w:p>
    <w:p w14:paraId="1758FF6A" w14:textId="77777777" w:rsidR="00EE692C" w:rsidRDefault="00000000">
      <w:pPr>
        <w:spacing w:after="100"/>
        <w:jc w:val="center"/>
      </w:pPr>
      <w:r>
        <w:t xml:space="preserve">Date: </w:t>
      </w:r>
      <w:r>
        <w:rPr>
          <w:rFonts w:ascii="Space Grotesk" w:eastAsia="Space Grotesk" w:hAnsi="Space Grotesk" w:cs="Space Grotesk"/>
        </w:rPr>
        <w:t>{{Price.CustomerContribution}}</w:t>
      </w:r>
      <w:r>
        <w:t xml:space="preserve">      Place: Doha, State of Qatar</w:t>
      </w:r>
    </w:p>
    <w:p w14:paraId="4C4B36BC" w14:textId="77777777" w:rsidR="00EE692C" w:rsidRDefault="00000000">
      <w:pPr>
        <w:bidi/>
        <w:spacing w:after="700"/>
        <w:jc w:val="center"/>
      </w:pPr>
      <w:r>
        <w:rPr>
          <w:rFonts w:ascii="IBM Plex Sans Arabic" w:eastAsia="IBM Plex Sans Arabic" w:hAnsi="IBM Plex Sans Arabic" w:cs="IBM Plex Sans Arabic"/>
          <w:sz w:val="22"/>
          <w:szCs w:val="22"/>
          <w:rtl/>
        </w:rPr>
        <w:t>التاريخ: {{Deal.ExecutionDate}}      المكان: الدوحة، دولة قطر</w:t>
      </w:r>
    </w:p>
    <w:p w14:paraId="7C7FB118" w14:textId="77777777" w:rsidR="00EE692C" w:rsidRDefault="00000000">
      <w:pPr>
        <w:shd w:val="clear" w:color="auto" w:fill="DBFF00"/>
        <w:spacing w:before="600" w:after="40"/>
        <w:jc w:val="center"/>
      </w:pPr>
      <w:r>
        <w:rPr>
          <w:b/>
          <w:bCs/>
          <w:color w:val="16535B"/>
          <w:sz w:val="20"/>
          <w:szCs w:val="20"/>
        </w:rPr>
        <w:t/>
      </w:r>
    </w:p>
    <w:p w14:paraId="49B9EE03" w14:textId="77777777" w:rsidR="00EE692C" w:rsidRDefault="00000000">
      <w:pPr>
        <w:shd w:val="clear" w:color="auto" w:fill="DBFF00"/>
        <w:bidi/>
        <w:jc w:val="center"/>
      </w:pPr>
      <w:r>
        <w:rPr>
          <w:rFonts w:ascii="IBM Plex Sans Arabic" w:eastAsia="IBM Plex Sans Arabic" w:hAnsi="IBM Plex Sans Arabic" w:cs="IBM Plex Sans Arabic"/>
          <w:b/>
          <w:bCs/>
          <w:color w:val="16535B"/>
          <w:rtl/>
        </w:rPr>
        <w:t/>
      </w:r>
    </w:p>
    <w:p w14:paraId="7CECD283" w14:textId="77777777" w:rsidR="00EE692C" w:rsidRDefault="00000000">
      <w:r>
        <w:br w:type="page"/>
      </w:r>
    </w:p>
    <w:p w14:paraId="2454DB3C" w14:textId="77777777" w:rsidR="00EE692C" w:rsidRDefault="00EE692C">
      <w:pPr>
        <w:sectPr w:rsidR="00EE692C">
          <w:headerReference w:type="default" r:id="rId7"/>
          <w:footerReference w:type="default" r:id="rId8"/>
          <w:pgSz w:w="12240" w:h="15840"/>
          <w:pgMar w:top="1000" w:right="1100" w:bottom="1000" w:left="1100" w:header="708" w:footer="708" w:gutter="0"/>
          <w:cols w:space="720"/>
          <w:titlePg/>
          <w:docGrid w:linePitch="360"/>
        </w:sectPr>
      </w:pPr>
    </w:p>
    <w:p w14:paraId="666B5926" w14:textId="77777777" w:rsidR="00EE692C" w:rsidRDefault="00000000">
      <w:pPr>
        <w:pStyle w:val="Heading1"/>
        <w:spacing w:before="320" w:after="120"/>
      </w:pPr>
      <w:bookmarkStart w:id="0" w:name="_Toc236832306"/>
      <w:r>
        <w:rPr>
          <w:b/>
          <w:bCs/>
          <w:color w:val="16535B"/>
        </w:rPr>
        <w:lastRenderedPageBreak/>
        <w:t>Contents</w:t>
      </w:r>
      <w:bookmarkEnd w:id="0"/>
    </w:p>
    <w:sdt>
      <w:sdtPr>
        <w:alias w:val="Table of Contents"/>
        <w:id w:val="2126734913"/>
      </w:sdtPr>
      <w:sdtContent>
        <w:p w14:paraId="3F47E42A" w14:textId="77777777" w:rsidR="00607A0D" w:rsidRDefault="00000000">
          <w:pPr>
            <w:pStyle w:val="TOC1"/>
            <w:tabs>
              <w:tab w:val="right" w:leader="dot" w:pos="10030"/>
            </w:tabs>
            <w:rPr>
              <w:noProof/>
            </w:rPr>
          </w:pPr>
          <w:r>
            <w:fldChar w:fldCharType="begin"/>
          </w:r>
          <w:r>
            <w:instrText>TOC \h \o "1-2"</w:instrText>
          </w:r>
          <w:r>
            <w:fldChar w:fldCharType="separate"/>
          </w:r>
          <w:hyperlink w:anchor="_Toc236832306" w:history="1">
            <w:r w:rsidR="00607A0D">
              <w:rPr>
                <w:rStyle w:val="Hyperlink"/>
                <w:b/>
                <w:bCs/>
                <w:noProof/>
              </w:rPr>
              <w:t>Contents</w:t>
            </w:r>
            <w:r w:rsidR="00607A0D">
              <w:rPr>
                <w:noProof/>
              </w:rPr>
              <w:tab/>
            </w:r>
            <w:r w:rsidR="00607A0D">
              <w:rPr>
                <w:noProof/>
              </w:rPr>
              <w:fldChar w:fldCharType="begin"/>
            </w:r>
            <w:r w:rsidR="00607A0D">
              <w:rPr>
                <w:noProof/>
              </w:rPr>
              <w:instrText xml:space="preserve"> PAGEREF _Toc236832306 \h </w:instrText>
            </w:r>
            <w:r w:rsidR="00607A0D">
              <w:rPr>
                <w:noProof/>
              </w:rPr>
            </w:r>
            <w:r w:rsidR="00607A0D">
              <w:rPr>
                <w:noProof/>
              </w:rPr>
              <w:fldChar w:fldCharType="separate"/>
            </w:r>
            <w:r w:rsidR="00607A0D">
              <w:rPr>
                <w:noProof/>
              </w:rPr>
              <w:t>1</w:t>
            </w:r>
            <w:r w:rsidR="00607A0D">
              <w:rPr>
                <w:noProof/>
              </w:rPr>
              <w:fldChar w:fldCharType="end"/>
            </w:r>
          </w:hyperlink>
        </w:p>
        <w:p w14:paraId="44090589" w14:textId="77777777" w:rsidR="00607A0D" w:rsidRDefault="00607A0D">
          <w:pPr>
            <w:pStyle w:val="TOC1"/>
            <w:tabs>
              <w:tab w:val="right" w:leader="dot" w:pos="10030"/>
            </w:tabs>
            <w:rPr>
              <w:noProof/>
            </w:rPr>
          </w:pPr>
          <w:hyperlink w:anchor="_Toc236832307" w:history="1">
            <w:r>
              <w:rPr>
                <w:rStyle w:val="Hyperlink"/>
                <w:b/>
                <w:bCs/>
                <w:noProof/>
              </w:rPr>
              <w:t>1. Parties to the Agreement</w:t>
            </w:r>
            <w:r>
              <w:rPr>
                <w:noProof/>
              </w:rPr>
              <w:tab/>
            </w:r>
            <w:r>
              <w:rPr>
                <w:noProof/>
              </w:rPr>
              <w:fldChar w:fldCharType="begin"/>
            </w:r>
            <w:r>
              <w:rPr>
                <w:noProof/>
              </w:rPr>
              <w:instrText xml:space="preserve"> PAGEREF _Toc236832307 \h </w:instrText>
            </w:r>
            <w:r>
              <w:rPr>
                <w:noProof/>
              </w:rPr>
            </w:r>
            <w:r>
              <w:rPr>
                <w:noProof/>
              </w:rPr>
              <w:fldChar w:fldCharType="separate"/>
            </w:r>
            <w:r>
              <w:rPr>
                <w:noProof/>
              </w:rPr>
              <w:t>1</w:t>
            </w:r>
            <w:r>
              <w:rPr>
                <w:noProof/>
              </w:rPr>
              <w:fldChar w:fldCharType="end"/>
            </w:r>
          </w:hyperlink>
        </w:p>
        <w:p w14:paraId="2926304A" w14:textId="77777777" w:rsidR="00607A0D" w:rsidRDefault="00607A0D">
          <w:pPr>
            <w:pStyle w:val="TOC1"/>
            <w:tabs>
              <w:tab w:val="right" w:leader="dot" w:pos="10030"/>
            </w:tabs>
            <w:rPr>
              <w:noProof/>
            </w:rPr>
          </w:pPr>
          <w:hyperlink w:anchor="_Toc236832308" w:history="1">
            <w:r>
              <w:rPr>
                <w:rStyle w:val="Hyperlink"/>
                <w:rFonts w:ascii="Times New Roman" w:eastAsia="IBM Plex Sans Arabic" w:hAnsi="Times New Roman" w:cs="Times New Roman" w:hint="cs"/>
                <w:b/>
                <w:bCs/>
                <w:noProof/>
                <w:rtl/>
              </w:rPr>
              <w:t>أطراف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w:t>
            </w:r>
            <w:r>
              <w:rPr>
                <w:noProof/>
              </w:rPr>
              <w:tab/>
            </w:r>
            <w:r>
              <w:rPr>
                <w:noProof/>
              </w:rPr>
              <w:fldChar w:fldCharType="begin"/>
            </w:r>
            <w:r>
              <w:rPr>
                <w:noProof/>
              </w:rPr>
              <w:instrText xml:space="preserve"> PAGEREF _Toc236832308 \h </w:instrText>
            </w:r>
            <w:r>
              <w:rPr>
                <w:noProof/>
              </w:rPr>
            </w:r>
            <w:r>
              <w:rPr>
                <w:noProof/>
              </w:rPr>
              <w:fldChar w:fldCharType="separate"/>
            </w:r>
            <w:r>
              <w:rPr>
                <w:noProof/>
              </w:rPr>
              <w:t>1</w:t>
            </w:r>
            <w:r>
              <w:rPr>
                <w:noProof/>
              </w:rPr>
              <w:fldChar w:fldCharType="end"/>
            </w:r>
          </w:hyperlink>
        </w:p>
        <w:p w14:paraId="3917405B" w14:textId="77777777" w:rsidR="00607A0D" w:rsidRDefault="00607A0D">
          <w:pPr>
            <w:pStyle w:val="TOC2"/>
            <w:tabs>
              <w:tab w:val="right" w:leader="dot" w:pos="10030"/>
            </w:tabs>
            <w:rPr>
              <w:noProof/>
            </w:rPr>
          </w:pPr>
          <w:hyperlink w:anchor="_Toc236832309" w:history="1">
            <w:r>
              <w:rPr>
                <w:rStyle w:val="Hyperlink"/>
                <w:b/>
                <w:bCs/>
                <w:noProof/>
              </w:rPr>
              <w:t>First Party (Owner-Co / Financier)</w:t>
            </w:r>
            <w:r>
              <w:rPr>
                <w:noProof/>
              </w:rPr>
              <w:tab/>
            </w:r>
            <w:r>
              <w:rPr>
                <w:noProof/>
              </w:rPr>
              <w:fldChar w:fldCharType="begin"/>
            </w:r>
            <w:r>
              <w:rPr>
                <w:noProof/>
              </w:rPr>
              <w:instrText xml:space="preserve"> PAGEREF _Toc236832309 \h </w:instrText>
            </w:r>
            <w:r>
              <w:rPr>
                <w:noProof/>
              </w:rPr>
            </w:r>
            <w:r>
              <w:rPr>
                <w:noProof/>
              </w:rPr>
              <w:fldChar w:fldCharType="separate"/>
            </w:r>
            <w:r>
              <w:rPr>
                <w:noProof/>
              </w:rPr>
              <w:t>1</w:t>
            </w:r>
            <w:r>
              <w:rPr>
                <w:noProof/>
              </w:rPr>
              <w:fldChar w:fldCharType="end"/>
            </w:r>
          </w:hyperlink>
        </w:p>
        <w:p w14:paraId="4C0CA2BF" w14:textId="77777777" w:rsidR="00607A0D" w:rsidRDefault="00607A0D">
          <w:pPr>
            <w:pStyle w:val="TOC2"/>
            <w:tabs>
              <w:tab w:val="right" w:leader="dot" w:pos="10030"/>
            </w:tabs>
            <w:rPr>
              <w:noProof/>
            </w:rPr>
          </w:pPr>
          <w:hyperlink w:anchor="_Toc236832310" w:history="1">
            <w:r>
              <w:rPr>
                <w:rStyle w:val="Hyperlink"/>
                <w:rFonts w:ascii="Times New Roman" w:eastAsia="IBM Plex Sans Arabic" w:hAnsi="Times New Roman" w:cs="Times New Roman" w:hint="cs"/>
                <w:b/>
                <w:bCs/>
                <w:noProof/>
                <w:rtl/>
              </w:rPr>
              <w:t>الطرف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الأول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الممول</w:t>
            </w:r>
            <w:r>
              <w:rPr>
                <w:rStyle w:val="Hyperlink"/>
                <w:rFonts w:ascii="IBM Plex Sans Arabic" w:eastAsia="IBM Plex Sans Arabic" w:hAnsi="IBM Plex Sans Arabic" w:cs="IBM Plex Sans Arabic"/>
                <w:b/>
                <w:bCs/>
                <w:noProof/>
                <w:rtl/>
              </w:rPr>
              <w:t xml:space="preserve"> / </w:t>
            </w:r>
            <w:r>
              <w:rPr>
                <w:rStyle w:val="Hyperlink"/>
                <w:rFonts w:ascii="Times New Roman" w:eastAsia="IBM Plex Sans Arabic" w:hAnsi="Times New Roman" w:cs="Times New Roman" w:hint="cs"/>
                <w:b/>
                <w:bCs/>
                <w:noProof/>
                <w:rtl/>
              </w:rPr>
              <w:t>الشريك</w:t>
            </w:r>
            <w:r>
              <w:rPr>
                <w:rStyle w:val="Hyperlink"/>
                <w:rFonts w:ascii="IBM Plex Sans Arabic" w:eastAsia="IBM Plex Sans Arabic" w:hAnsi="IBM Plex Sans Arabic" w:cs="IBM Plex Sans Arabic"/>
                <w:b/>
                <w:bCs/>
                <w:noProof/>
                <w:rtl/>
              </w:rPr>
              <w:t>)</w:t>
            </w:r>
            <w:r>
              <w:rPr>
                <w:noProof/>
              </w:rPr>
              <w:tab/>
            </w:r>
            <w:r>
              <w:rPr>
                <w:noProof/>
              </w:rPr>
              <w:fldChar w:fldCharType="begin"/>
            </w:r>
            <w:r>
              <w:rPr>
                <w:noProof/>
              </w:rPr>
              <w:instrText xml:space="preserve"> PAGEREF _Toc236832310 \h </w:instrText>
            </w:r>
            <w:r>
              <w:rPr>
                <w:noProof/>
              </w:rPr>
            </w:r>
            <w:r>
              <w:rPr>
                <w:noProof/>
              </w:rPr>
              <w:fldChar w:fldCharType="separate"/>
            </w:r>
            <w:r>
              <w:rPr>
                <w:noProof/>
              </w:rPr>
              <w:t>1</w:t>
            </w:r>
            <w:r>
              <w:rPr>
                <w:noProof/>
              </w:rPr>
              <w:fldChar w:fldCharType="end"/>
            </w:r>
          </w:hyperlink>
        </w:p>
        <w:p w14:paraId="1BCC625D" w14:textId="77777777" w:rsidR="00607A0D" w:rsidRDefault="00607A0D">
          <w:pPr>
            <w:pStyle w:val="TOC2"/>
            <w:tabs>
              <w:tab w:val="right" w:leader="dot" w:pos="10030"/>
            </w:tabs>
            <w:rPr>
              <w:noProof/>
            </w:rPr>
          </w:pPr>
          <w:hyperlink w:anchor="_Toc236832311" w:history="1">
            <w:r>
              <w:rPr>
                <w:rStyle w:val="Hyperlink"/>
                <w:b/>
                <w:bCs/>
                <w:noProof/>
              </w:rPr>
              <w:t>Second Party (Owner-Co / Customer)</w:t>
            </w:r>
            <w:r>
              <w:rPr>
                <w:noProof/>
              </w:rPr>
              <w:tab/>
            </w:r>
            <w:r>
              <w:rPr>
                <w:noProof/>
              </w:rPr>
              <w:fldChar w:fldCharType="begin"/>
            </w:r>
            <w:r>
              <w:rPr>
                <w:noProof/>
              </w:rPr>
              <w:instrText xml:space="preserve"> PAGEREF _Toc236832311 \h </w:instrText>
            </w:r>
            <w:r>
              <w:rPr>
                <w:noProof/>
              </w:rPr>
            </w:r>
            <w:r>
              <w:rPr>
                <w:noProof/>
              </w:rPr>
              <w:fldChar w:fldCharType="separate"/>
            </w:r>
            <w:r>
              <w:rPr>
                <w:noProof/>
              </w:rPr>
              <w:t>1</w:t>
            </w:r>
            <w:r>
              <w:rPr>
                <w:noProof/>
              </w:rPr>
              <w:fldChar w:fldCharType="end"/>
            </w:r>
          </w:hyperlink>
        </w:p>
        <w:p w14:paraId="0AE64F9F" w14:textId="77777777" w:rsidR="00607A0D" w:rsidRDefault="00607A0D">
          <w:pPr>
            <w:pStyle w:val="TOC2"/>
            <w:tabs>
              <w:tab w:val="right" w:leader="dot" w:pos="10030"/>
            </w:tabs>
            <w:rPr>
              <w:noProof/>
            </w:rPr>
          </w:pPr>
          <w:hyperlink w:anchor="_Toc236832312" w:history="1">
            <w:r>
              <w:rPr>
                <w:rStyle w:val="Hyperlink"/>
                <w:rFonts w:ascii="Times New Roman" w:eastAsia="IBM Plex Sans Arabic" w:hAnsi="Times New Roman" w:cs="Times New Roman" w:hint="cs"/>
                <w:b/>
                <w:bCs/>
                <w:noProof/>
                <w:rtl/>
              </w:rPr>
              <w:t>الطرف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الثاني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العميل</w:t>
            </w:r>
            <w:r>
              <w:rPr>
                <w:rStyle w:val="Hyperlink"/>
                <w:rFonts w:ascii="IBM Plex Sans Arabic" w:eastAsia="IBM Plex Sans Arabic" w:hAnsi="IBM Plex Sans Arabic" w:cs="IBM Plex Sans Arabic"/>
                <w:b/>
                <w:bCs/>
                <w:noProof/>
                <w:rtl/>
              </w:rPr>
              <w:t xml:space="preserve"> / </w:t>
            </w:r>
            <w:r>
              <w:rPr>
                <w:rStyle w:val="Hyperlink"/>
                <w:rFonts w:ascii="Times New Roman" w:eastAsia="IBM Plex Sans Arabic" w:hAnsi="Times New Roman" w:cs="Times New Roman" w:hint="cs"/>
                <w:b/>
                <w:bCs/>
                <w:noProof/>
                <w:rtl/>
              </w:rPr>
              <w:t>الشريك</w:t>
            </w:r>
            <w:r>
              <w:rPr>
                <w:rStyle w:val="Hyperlink"/>
                <w:rFonts w:ascii="IBM Plex Sans Arabic" w:eastAsia="IBM Plex Sans Arabic" w:hAnsi="IBM Plex Sans Arabic" w:cs="IBM Plex Sans Arabic"/>
                <w:b/>
                <w:bCs/>
                <w:noProof/>
                <w:rtl/>
              </w:rPr>
              <w:t>)</w:t>
            </w:r>
            <w:r>
              <w:rPr>
                <w:noProof/>
              </w:rPr>
              <w:tab/>
            </w:r>
            <w:r>
              <w:rPr>
                <w:noProof/>
              </w:rPr>
              <w:fldChar w:fldCharType="begin"/>
            </w:r>
            <w:r>
              <w:rPr>
                <w:noProof/>
              </w:rPr>
              <w:instrText xml:space="preserve"> PAGEREF _Toc236832312 \h </w:instrText>
            </w:r>
            <w:r>
              <w:rPr>
                <w:noProof/>
              </w:rPr>
            </w:r>
            <w:r>
              <w:rPr>
                <w:noProof/>
              </w:rPr>
              <w:fldChar w:fldCharType="separate"/>
            </w:r>
            <w:r>
              <w:rPr>
                <w:noProof/>
              </w:rPr>
              <w:t>1</w:t>
            </w:r>
            <w:r>
              <w:rPr>
                <w:noProof/>
              </w:rPr>
              <w:fldChar w:fldCharType="end"/>
            </w:r>
          </w:hyperlink>
        </w:p>
        <w:p w14:paraId="40894554" w14:textId="77777777" w:rsidR="00607A0D" w:rsidRDefault="00607A0D">
          <w:pPr>
            <w:pStyle w:val="TOC1"/>
            <w:tabs>
              <w:tab w:val="right" w:leader="dot" w:pos="10030"/>
            </w:tabs>
            <w:rPr>
              <w:noProof/>
            </w:rPr>
          </w:pPr>
          <w:hyperlink w:anchor="_Toc236832313" w:history="1">
            <w:r>
              <w:rPr>
                <w:rStyle w:val="Hyperlink"/>
                <w:b/>
                <w:bCs/>
                <w:noProof/>
              </w:rPr>
              <w:t>2. Definitions and Interpretation</w:t>
            </w:r>
            <w:r>
              <w:rPr>
                <w:noProof/>
              </w:rPr>
              <w:tab/>
            </w:r>
            <w:r>
              <w:rPr>
                <w:noProof/>
              </w:rPr>
              <w:fldChar w:fldCharType="begin"/>
            </w:r>
            <w:r>
              <w:rPr>
                <w:noProof/>
              </w:rPr>
              <w:instrText xml:space="preserve"> PAGEREF _Toc236832313 \h </w:instrText>
            </w:r>
            <w:r>
              <w:rPr>
                <w:noProof/>
              </w:rPr>
            </w:r>
            <w:r>
              <w:rPr>
                <w:noProof/>
              </w:rPr>
              <w:fldChar w:fldCharType="separate"/>
            </w:r>
            <w:r>
              <w:rPr>
                <w:noProof/>
              </w:rPr>
              <w:t>1</w:t>
            </w:r>
            <w:r>
              <w:rPr>
                <w:noProof/>
              </w:rPr>
              <w:fldChar w:fldCharType="end"/>
            </w:r>
          </w:hyperlink>
        </w:p>
        <w:p w14:paraId="6D3574B0" w14:textId="77777777" w:rsidR="00607A0D" w:rsidRDefault="00607A0D">
          <w:pPr>
            <w:pStyle w:val="TOC1"/>
            <w:tabs>
              <w:tab w:val="right" w:leader="dot" w:pos="10030"/>
            </w:tabs>
            <w:rPr>
              <w:noProof/>
            </w:rPr>
          </w:pPr>
          <w:hyperlink w:anchor="_Toc236832314" w:history="1">
            <w:r>
              <w:rPr>
                <w:rStyle w:val="Hyperlink"/>
                <w:rFonts w:ascii="Times New Roman" w:eastAsia="IBM Plex Sans Arabic" w:hAnsi="Times New Roman" w:cs="Times New Roman" w:hint="cs"/>
                <w:b/>
                <w:bCs/>
                <w:noProof/>
                <w:rtl/>
              </w:rPr>
              <w:t>التعريفات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والتفسير</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w:t>
            </w:r>
            <w:r>
              <w:rPr>
                <w:noProof/>
              </w:rPr>
              <w:tab/>
            </w:r>
            <w:r>
              <w:rPr>
                <w:noProof/>
              </w:rPr>
              <w:fldChar w:fldCharType="begin"/>
            </w:r>
            <w:r>
              <w:rPr>
                <w:noProof/>
              </w:rPr>
              <w:instrText xml:space="preserve"> PAGEREF _Toc236832314 \h </w:instrText>
            </w:r>
            <w:r>
              <w:rPr>
                <w:noProof/>
              </w:rPr>
            </w:r>
            <w:r>
              <w:rPr>
                <w:noProof/>
              </w:rPr>
              <w:fldChar w:fldCharType="separate"/>
            </w:r>
            <w:r>
              <w:rPr>
                <w:noProof/>
              </w:rPr>
              <w:t>1</w:t>
            </w:r>
            <w:r>
              <w:rPr>
                <w:noProof/>
              </w:rPr>
              <w:fldChar w:fldCharType="end"/>
            </w:r>
          </w:hyperlink>
        </w:p>
        <w:p w14:paraId="36CA8796" w14:textId="77777777" w:rsidR="00607A0D" w:rsidRDefault="00607A0D">
          <w:pPr>
            <w:pStyle w:val="TOC1"/>
            <w:tabs>
              <w:tab w:val="right" w:leader="dot" w:pos="10030"/>
            </w:tabs>
            <w:rPr>
              <w:noProof/>
            </w:rPr>
          </w:pPr>
          <w:hyperlink w:anchor="_Toc236832315" w:history="1">
            <w:r>
              <w:rPr>
                <w:rStyle w:val="Hyperlink"/>
                <w:b/>
                <w:bCs/>
                <w:noProof/>
              </w:rPr>
              <w:t>3. Preamble</w:t>
            </w:r>
            <w:r>
              <w:rPr>
                <w:noProof/>
              </w:rPr>
              <w:tab/>
            </w:r>
            <w:r>
              <w:rPr>
                <w:noProof/>
              </w:rPr>
              <w:fldChar w:fldCharType="begin"/>
            </w:r>
            <w:r>
              <w:rPr>
                <w:noProof/>
              </w:rPr>
              <w:instrText xml:space="preserve"> PAGEREF _Toc236832315 \h </w:instrText>
            </w:r>
            <w:r>
              <w:rPr>
                <w:noProof/>
              </w:rPr>
            </w:r>
            <w:r>
              <w:rPr>
                <w:noProof/>
              </w:rPr>
              <w:fldChar w:fldCharType="separate"/>
            </w:r>
            <w:r>
              <w:rPr>
                <w:noProof/>
              </w:rPr>
              <w:t>1</w:t>
            </w:r>
            <w:r>
              <w:rPr>
                <w:noProof/>
              </w:rPr>
              <w:fldChar w:fldCharType="end"/>
            </w:r>
          </w:hyperlink>
        </w:p>
        <w:p w14:paraId="12C064E1" w14:textId="77777777" w:rsidR="00607A0D" w:rsidRDefault="00607A0D">
          <w:pPr>
            <w:pStyle w:val="TOC1"/>
            <w:tabs>
              <w:tab w:val="right" w:leader="dot" w:pos="10030"/>
            </w:tabs>
            <w:rPr>
              <w:noProof/>
            </w:rPr>
          </w:pPr>
          <w:hyperlink w:anchor="_Toc236832316" w:history="1">
            <w:r>
              <w:rPr>
                <w:rStyle w:val="Hyperlink"/>
                <w:rFonts w:ascii="Times New Roman" w:eastAsia="IBM Plex Sans Arabic" w:hAnsi="Times New Roman" w:cs="Times New Roman" w:hint="cs"/>
                <w:b/>
                <w:bCs/>
                <w:noProof/>
                <w:rtl/>
              </w:rPr>
              <w:t>التمهيد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٣</w:t>
            </w:r>
            <w:r>
              <w:rPr>
                <w:noProof/>
              </w:rPr>
              <w:tab/>
            </w:r>
            <w:r>
              <w:rPr>
                <w:noProof/>
              </w:rPr>
              <w:fldChar w:fldCharType="begin"/>
            </w:r>
            <w:r>
              <w:rPr>
                <w:noProof/>
              </w:rPr>
              <w:instrText xml:space="preserve"> PAGEREF _Toc236832316 \h </w:instrText>
            </w:r>
            <w:r>
              <w:rPr>
                <w:noProof/>
              </w:rPr>
            </w:r>
            <w:r>
              <w:rPr>
                <w:noProof/>
              </w:rPr>
              <w:fldChar w:fldCharType="separate"/>
            </w:r>
            <w:r>
              <w:rPr>
                <w:noProof/>
              </w:rPr>
              <w:t>1</w:t>
            </w:r>
            <w:r>
              <w:rPr>
                <w:noProof/>
              </w:rPr>
              <w:fldChar w:fldCharType="end"/>
            </w:r>
          </w:hyperlink>
        </w:p>
        <w:p w14:paraId="79EAC7FA" w14:textId="77777777" w:rsidR="00607A0D" w:rsidRDefault="00607A0D">
          <w:pPr>
            <w:pStyle w:val="TOC1"/>
            <w:tabs>
              <w:tab w:val="right" w:leader="dot" w:pos="10030"/>
            </w:tabs>
            <w:rPr>
              <w:noProof/>
            </w:rPr>
          </w:pPr>
          <w:hyperlink w:anchor="_Toc236832317" w:history="1">
            <w:r>
              <w:rPr>
                <w:rStyle w:val="Hyperlink"/>
                <w:b/>
                <w:bCs/>
                <w:noProof/>
              </w:rPr>
              <w:t>4. Description of the Asset</w:t>
            </w:r>
            <w:r>
              <w:rPr>
                <w:noProof/>
              </w:rPr>
              <w:tab/>
            </w:r>
            <w:r>
              <w:rPr>
                <w:noProof/>
              </w:rPr>
              <w:fldChar w:fldCharType="begin"/>
            </w:r>
            <w:r>
              <w:rPr>
                <w:noProof/>
              </w:rPr>
              <w:instrText xml:space="preserve"> PAGEREF _Toc236832317 \h </w:instrText>
            </w:r>
            <w:r>
              <w:rPr>
                <w:noProof/>
              </w:rPr>
            </w:r>
            <w:r>
              <w:rPr>
                <w:noProof/>
              </w:rPr>
              <w:fldChar w:fldCharType="separate"/>
            </w:r>
            <w:r>
              <w:rPr>
                <w:noProof/>
              </w:rPr>
              <w:t>1</w:t>
            </w:r>
            <w:r>
              <w:rPr>
                <w:noProof/>
              </w:rPr>
              <w:fldChar w:fldCharType="end"/>
            </w:r>
          </w:hyperlink>
        </w:p>
        <w:p w14:paraId="3F06C386" w14:textId="77777777" w:rsidR="00607A0D" w:rsidRDefault="00607A0D">
          <w:pPr>
            <w:pStyle w:val="TOC1"/>
            <w:tabs>
              <w:tab w:val="right" w:leader="dot" w:pos="10030"/>
            </w:tabs>
            <w:rPr>
              <w:noProof/>
            </w:rPr>
          </w:pPr>
          <w:hyperlink w:anchor="_Toc236832318" w:history="1">
            <w:r>
              <w:rPr>
                <w:rStyle w:val="Hyperlink"/>
                <w:rFonts w:ascii="Times New Roman" w:eastAsia="IBM Plex Sans Arabic" w:hAnsi="Times New Roman" w:cs="Times New Roman" w:hint="cs"/>
                <w:b/>
                <w:bCs/>
                <w:noProof/>
                <w:rtl/>
              </w:rPr>
              <w:t>وصف</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الأصل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٤</w:t>
            </w:r>
            <w:r>
              <w:rPr>
                <w:noProof/>
              </w:rPr>
              <w:tab/>
            </w:r>
            <w:r>
              <w:rPr>
                <w:noProof/>
              </w:rPr>
              <w:fldChar w:fldCharType="begin"/>
            </w:r>
            <w:r>
              <w:rPr>
                <w:noProof/>
              </w:rPr>
              <w:instrText xml:space="preserve"> PAGEREF _Toc236832318 \h </w:instrText>
            </w:r>
            <w:r>
              <w:rPr>
                <w:noProof/>
              </w:rPr>
            </w:r>
            <w:r>
              <w:rPr>
                <w:noProof/>
              </w:rPr>
              <w:fldChar w:fldCharType="separate"/>
            </w:r>
            <w:r>
              <w:rPr>
                <w:noProof/>
              </w:rPr>
              <w:t>1</w:t>
            </w:r>
            <w:r>
              <w:rPr>
                <w:noProof/>
              </w:rPr>
              <w:fldChar w:fldCharType="end"/>
            </w:r>
          </w:hyperlink>
        </w:p>
        <w:p w14:paraId="0187AF58" w14:textId="77777777" w:rsidR="00607A0D" w:rsidRDefault="00607A0D">
          <w:pPr>
            <w:pStyle w:val="TOC1"/>
            <w:tabs>
              <w:tab w:val="right" w:leader="dot" w:pos="10030"/>
            </w:tabs>
            <w:rPr>
              <w:noProof/>
            </w:rPr>
          </w:pPr>
          <w:hyperlink w:anchor="_Toc236832319" w:history="1">
            <w:r>
              <w:rPr>
                <w:rStyle w:val="Hyperlink"/>
                <w:b/>
                <w:bCs/>
                <w:noProof/>
              </w:rPr>
              <w:t>5. Capital Contributions and Ownership Shares</w:t>
            </w:r>
            <w:r>
              <w:rPr>
                <w:noProof/>
              </w:rPr>
              <w:tab/>
            </w:r>
            <w:r>
              <w:rPr>
                <w:noProof/>
              </w:rPr>
              <w:fldChar w:fldCharType="begin"/>
            </w:r>
            <w:r>
              <w:rPr>
                <w:noProof/>
              </w:rPr>
              <w:instrText xml:space="preserve"> PAGEREF _Toc236832319 \h </w:instrText>
            </w:r>
            <w:r>
              <w:rPr>
                <w:noProof/>
              </w:rPr>
            </w:r>
            <w:r>
              <w:rPr>
                <w:noProof/>
              </w:rPr>
              <w:fldChar w:fldCharType="separate"/>
            </w:r>
            <w:r>
              <w:rPr>
                <w:noProof/>
              </w:rPr>
              <w:t>1</w:t>
            </w:r>
            <w:r>
              <w:rPr>
                <w:noProof/>
              </w:rPr>
              <w:fldChar w:fldCharType="end"/>
            </w:r>
          </w:hyperlink>
        </w:p>
        <w:p w14:paraId="4D5E7745" w14:textId="77777777" w:rsidR="00607A0D" w:rsidRDefault="00607A0D">
          <w:pPr>
            <w:pStyle w:val="TOC1"/>
            <w:tabs>
              <w:tab w:val="right" w:leader="dot" w:pos="10030"/>
            </w:tabs>
            <w:rPr>
              <w:noProof/>
            </w:rPr>
          </w:pPr>
          <w:hyperlink w:anchor="_Toc236832320" w:history="1">
            <w:r>
              <w:rPr>
                <w:rStyle w:val="Hyperlink"/>
                <w:rFonts w:ascii="Times New Roman" w:eastAsia="IBM Plex Sans Arabic" w:hAnsi="Times New Roman" w:cs="Times New Roman" w:hint="cs"/>
                <w:b/>
                <w:bCs/>
                <w:noProof/>
                <w:rtl/>
              </w:rPr>
              <w:t>المساهمات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الرأسمالية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وحصص</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الملكية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٥</w:t>
            </w:r>
            <w:r>
              <w:rPr>
                <w:noProof/>
              </w:rPr>
              <w:tab/>
            </w:r>
            <w:r>
              <w:rPr>
                <w:noProof/>
              </w:rPr>
              <w:fldChar w:fldCharType="begin"/>
            </w:r>
            <w:r>
              <w:rPr>
                <w:noProof/>
              </w:rPr>
              <w:instrText xml:space="preserve"> PAGEREF _Toc236832320 \h </w:instrText>
            </w:r>
            <w:r>
              <w:rPr>
                <w:noProof/>
              </w:rPr>
            </w:r>
            <w:r>
              <w:rPr>
                <w:noProof/>
              </w:rPr>
              <w:fldChar w:fldCharType="separate"/>
            </w:r>
            <w:r>
              <w:rPr>
                <w:noProof/>
              </w:rPr>
              <w:t>1</w:t>
            </w:r>
            <w:r>
              <w:rPr>
                <w:noProof/>
              </w:rPr>
              <w:fldChar w:fldCharType="end"/>
            </w:r>
          </w:hyperlink>
        </w:p>
        <w:p w14:paraId="3C1263AA" w14:textId="77777777" w:rsidR="00607A0D" w:rsidRDefault="00607A0D">
          <w:pPr>
            <w:pStyle w:val="TOC1"/>
            <w:tabs>
              <w:tab w:val="right" w:leader="dot" w:pos="10030"/>
            </w:tabs>
            <w:rPr>
              <w:noProof/>
            </w:rPr>
          </w:pPr>
          <w:hyperlink w:anchor="_Toc236832321" w:history="1">
            <w:r>
              <w:rPr>
                <w:rStyle w:val="Hyperlink"/>
                <w:b/>
                <w:bCs/>
                <w:noProof/>
              </w:rPr>
              <w:t>6. Lease (Ijarah) Subcontract</w:t>
            </w:r>
            <w:r>
              <w:rPr>
                <w:noProof/>
              </w:rPr>
              <w:tab/>
            </w:r>
            <w:r>
              <w:rPr>
                <w:noProof/>
              </w:rPr>
              <w:fldChar w:fldCharType="begin"/>
            </w:r>
            <w:r>
              <w:rPr>
                <w:noProof/>
              </w:rPr>
              <w:instrText xml:space="preserve"> PAGEREF _Toc236832321 \h </w:instrText>
            </w:r>
            <w:r>
              <w:rPr>
                <w:noProof/>
              </w:rPr>
            </w:r>
            <w:r>
              <w:rPr>
                <w:noProof/>
              </w:rPr>
              <w:fldChar w:fldCharType="separate"/>
            </w:r>
            <w:r>
              <w:rPr>
                <w:noProof/>
              </w:rPr>
              <w:t>1</w:t>
            </w:r>
            <w:r>
              <w:rPr>
                <w:noProof/>
              </w:rPr>
              <w:fldChar w:fldCharType="end"/>
            </w:r>
          </w:hyperlink>
        </w:p>
        <w:p w14:paraId="28864EA5" w14:textId="77777777" w:rsidR="00607A0D" w:rsidRDefault="00607A0D">
          <w:pPr>
            <w:pStyle w:val="TOC1"/>
            <w:tabs>
              <w:tab w:val="right" w:leader="dot" w:pos="10030"/>
            </w:tabs>
            <w:rPr>
              <w:noProof/>
            </w:rPr>
          </w:pPr>
          <w:hyperlink w:anchor="_Toc236832322" w:history="1">
            <w:r>
              <w:rPr>
                <w:rStyle w:val="Hyperlink"/>
                <w:rFonts w:ascii="Times New Roman" w:eastAsia="IBM Plex Sans Arabic" w:hAnsi="Times New Roman" w:cs="Times New Roman" w:hint="cs"/>
                <w:b/>
                <w:bCs/>
                <w:noProof/>
                <w:rtl/>
              </w:rPr>
              <w:t>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الإجارة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الفرعي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٦</w:t>
            </w:r>
            <w:r>
              <w:rPr>
                <w:noProof/>
              </w:rPr>
              <w:tab/>
            </w:r>
            <w:r>
              <w:rPr>
                <w:noProof/>
              </w:rPr>
              <w:fldChar w:fldCharType="begin"/>
            </w:r>
            <w:r>
              <w:rPr>
                <w:noProof/>
              </w:rPr>
              <w:instrText xml:space="preserve"> PAGEREF _Toc236832322 \h </w:instrText>
            </w:r>
            <w:r>
              <w:rPr>
                <w:noProof/>
              </w:rPr>
            </w:r>
            <w:r>
              <w:rPr>
                <w:noProof/>
              </w:rPr>
              <w:fldChar w:fldCharType="separate"/>
            </w:r>
            <w:r>
              <w:rPr>
                <w:noProof/>
              </w:rPr>
              <w:t>1</w:t>
            </w:r>
            <w:r>
              <w:rPr>
                <w:noProof/>
              </w:rPr>
              <w:fldChar w:fldCharType="end"/>
            </w:r>
          </w:hyperlink>
        </w:p>
        <w:p w14:paraId="4383DA45" w14:textId="77777777" w:rsidR="00607A0D" w:rsidRDefault="00607A0D">
          <w:pPr>
            <w:pStyle w:val="TOC1"/>
            <w:tabs>
              <w:tab w:val="right" w:leader="dot" w:pos="10030"/>
            </w:tabs>
            <w:rPr>
              <w:noProof/>
            </w:rPr>
          </w:pPr>
          <w:hyperlink w:anchor="_Toc236832323" w:history="1">
            <w:r>
              <w:rPr>
                <w:rStyle w:val="Hyperlink"/>
                <w:b/>
                <w:bCs/>
                <w:noProof/>
              </w:rPr>
              <w:t>7. Diminishing Musharakah Mechanism</w:t>
            </w:r>
            <w:r>
              <w:rPr>
                <w:noProof/>
              </w:rPr>
              <w:tab/>
            </w:r>
            <w:r>
              <w:rPr>
                <w:noProof/>
              </w:rPr>
              <w:fldChar w:fldCharType="begin"/>
            </w:r>
            <w:r>
              <w:rPr>
                <w:noProof/>
              </w:rPr>
              <w:instrText xml:space="preserve"> PAGEREF _Toc236832323 \h </w:instrText>
            </w:r>
            <w:r>
              <w:rPr>
                <w:noProof/>
              </w:rPr>
            </w:r>
            <w:r>
              <w:rPr>
                <w:noProof/>
              </w:rPr>
              <w:fldChar w:fldCharType="separate"/>
            </w:r>
            <w:r>
              <w:rPr>
                <w:noProof/>
              </w:rPr>
              <w:t>1</w:t>
            </w:r>
            <w:r>
              <w:rPr>
                <w:noProof/>
              </w:rPr>
              <w:fldChar w:fldCharType="end"/>
            </w:r>
          </w:hyperlink>
        </w:p>
        <w:p w14:paraId="34596A19" w14:textId="77777777" w:rsidR="00607A0D" w:rsidRDefault="00607A0D">
          <w:pPr>
            <w:pStyle w:val="TOC1"/>
            <w:tabs>
              <w:tab w:val="right" w:leader="dot" w:pos="10030"/>
            </w:tabs>
            <w:rPr>
              <w:noProof/>
            </w:rPr>
          </w:pPr>
          <w:hyperlink w:anchor="_Toc236832324" w:history="1">
            <w:r>
              <w:rPr>
                <w:rStyle w:val="Hyperlink"/>
                <w:rFonts w:ascii="Times New Roman" w:eastAsia="IBM Plex Sans Arabic" w:hAnsi="Times New Roman" w:cs="Times New Roman" w:hint="cs"/>
                <w:b/>
                <w:bCs/>
                <w:noProof/>
                <w:rtl/>
              </w:rPr>
              <w:t>آلية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المشاركة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المتناقصة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noProof/>
              </w:rPr>
              <w:tab/>
            </w:r>
            <w:r>
              <w:rPr>
                <w:noProof/>
              </w:rPr>
              <w:fldChar w:fldCharType="begin"/>
            </w:r>
            <w:r>
              <w:rPr>
                <w:noProof/>
              </w:rPr>
              <w:instrText xml:space="preserve"> PAGEREF _Toc236832324 \h </w:instrText>
            </w:r>
            <w:r>
              <w:rPr>
                <w:noProof/>
              </w:rPr>
            </w:r>
            <w:r>
              <w:rPr>
                <w:noProof/>
              </w:rPr>
              <w:fldChar w:fldCharType="separate"/>
            </w:r>
            <w:r>
              <w:rPr>
                <w:noProof/>
              </w:rPr>
              <w:t>1</w:t>
            </w:r>
            <w:r>
              <w:rPr>
                <w:noProof/>
              </w:rPr>
              <w:fldChar w:fldCharType="end"/>
            </w:r>
          </w:hyperlink>
        </w:p>
        <w:p w14:paraId="65482389" w14:textId="77777777" w:rsidR="00607A0D" w:rsidRDefault="00607A0D">
          <w:pPr>
            <w:pStyle w:val="TOC2"/>
            <w:tabs>
              <w:tab w:val="right" w:leader="dot" w:pos="10030"/>
            </w:tabs>
            <w:rPr>
              <w:noProof/>
            </w:rPr>
          </w:pPr>
          <w:hyperlink w:anchor="_Toc236832325" w:history="1">
            <w:r>
              <w:rPr>
                <w:rStyle w:val="Hyperlink"/>
                <w:b/>
                <w:bCs/>
                <w:noProof/>
              </w:rPr>
              <w:t>7.1 Unit Structure</w:t>
            </w:r>
            <w:r>
              <w:rPr>
                <w:noProof/>
              </w:rPr>
              <w:tab/>
            </w:r>
            <w:r>
              <w:rPr>
                <w:noProof/>
              </w:rPr>
              <w:fldChar w:fldCharType="begin"/>
            </w:r>
            <w:r>
              <w:rPr>
                <w:noProof/>
              </w:rPr>
              <w:instrText xml:space="preserve"> PAGEREF _Toc236832325 \h </w:instrText>
            </w:r>
            <w:r>
              <w:rPr>
                <w:noProof/>
              </w:rPr>
            </w:r>
            <w:r>
              <w:rPr>
                <w:noProof/>
              </w:rPr>
              <w:fldChar w:fldCharType="separate"/>
            </w:r>
            <w:r>
              <w:rPr>
                <w:noProof/>
              </w:rPr>
              <w:t>1</w:t>
            </w:r>
            <w:r>
              <w:rPr>
                <w:noProof/>
              </w:rPr>
              <w:fldChar w:fldCharType="end"/>
            </w:r>
          </w:hyperlink>
        </w:p>
        <w:p w14:paraId="1B883289" w14:textId="77777777" w:rsidR="00607A0D" w:rsidRDefault="00607A0D">
          <w:pPr>
            <w:pStyle w:val="TOC2"/>
            <w:tabs>
              <w:tab w:val="right" w:leader="dot" w:pos="10030"/>
            </w:tabs>
            <w:rPr>
              <w:noProof/>
            </w:rPr>
          </w:pPr>
          <w:hyperlink w:anchor="_Toc236832326" w:history="1">
            <w:r>
              <w:rPr>
                <w:rStyle w:val="Hyperlink"/>
                <w:rFonts w:ascii="Times New Roman" w:eastAsia="IBM Plex Sans Arabic" w:hAnsi="Times New Roman" w:cs="Times New Roman" w:hint="cs"/>
                <w:b/>
                <w:bCs/>
                <w:noProof/>
                <w:rtl/>
              </w:rPr>
              <w:t>هيكل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الوحدات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١</w:t>
            </w:r>
            <w:r>
              <w:rPr>
                <w:noProof/>
              </w:rPr>
              <w:tab/>
            </w:r>
            <w:r>
              <w:rPr>
                <w:noProof/>
              </w:rPr>
              <w:fldChar w:fldCharType="begin"/>
            </w:r>
            <w:r>
              <w:rPr>
                <w:noProof/>
              </w:rPr>
              <w:instrText xml:space="preserve"> PAGEREF _Toc236832326 \h </w:instrText>
            </w:r>
            <w:r>
              <w:rPr>
                <w:noProof/>
              </w:rPr>
            </w:r>
            <w:r>
              <w:rPr>
                <w:noProof/>
              </w:rPr>
              <w:fldChar w:fldCharType="separate"/>
            </w:r>
            <w:r>
              <w:rPr>
                <w:noProof/>
              </w:rPr>
              <w:t>1</w:t>
            </w:r>
            <w:r>
              <w:rPr>
                <w:noProof/>
              </w:rPr>
              <w:fldChar w:fldCharType="end"/>
            </w:r>
          </w:hyperlink>
        </w:p>
        <w:p w14:paraId="53077D99" w14:textId="77777777" w:rsidR="00607A0D" w:rsidRDefault="00607A0D">
          <w:pPr>
            <w:pStyle w:val="TOC2"/>
            <w:tabs>
              <w:tab w:val="right" w:leader="dot" w:pos="10030"/>
            </w:tabs>
            <w:rPr>
              <w:noProof/>
            </w:rPr>
          </w:pPr>
          <w:hyperlink w:anchor="_Toc236832327" w:history="1">
            <w:r>
              <w:rPr>
                <w:rStyle w:val="Hyperlink"/>
                <w:b/>
                <w:bCs/>
                <w:noProof/>
              </w:rPr>
              <w:t>7.2 Unit Sale Mechanism</w:t>
            </w:r>
            <w:r>
              <w:rPr>
                <w:noProof/>
              </w:rPr>
              <w:tab/>
            </w:r>
            <w:r>
              <w:rPr>
                <w:noProof/>
              </w:rPr>
              <w:fldChar w:fldCharType="begin"/>
            </w:r>
            <w:r>
              <w:rPr>
                <w:noProof/>
              </w:rPr>
              <w:instrText xml:space="preserve"> PAGEREF _Toc236832327 \h </w:instrText>
            </w:r>
            <w:r>
              <w:rPr>
                <w:noProof/>
              </w:rPr>
            </w:r>
            <w:r>
              <w:rPr>
                <w:noProof/>
              </w:rPr>
              <w:fldChar w:fldCharType="separate"/>
            </w:r>
            <w:r>
              <w:rPr>
                <w:noProof/>
              </w:rPr>
              <w:t>1</w:t>
            </w:r>
            <w:r>
              <w:rPr>
                <w:noProof/>
              </w:rPr>
              <w:fldChar w:fldCharType="end"/>
            </w:r>
          </w:hyperlink>
        </w:p>
        <w:p w14:paraId="616A2987" w14:textId="77777777" w:rsidR="00607A0D" w:rsidRDefault="00607A0D">
          <w:pPr>
            <w:pStyle w:val="TOC2"/>
            <w:tabs>
              <w:tab w:val="right" w:leader="dot" w:pos="10030"/>
            </w:tabs>
            <w:rPr>
              <w:noProof/>
            </w:rPr>
          </w:pPr>
          <w:hyperlink w:anchor="_Toc236832328" w:history="1">
            <w:r>
              <w:rPr>
                <w:rStyle w:val="Hyperlink"/>
                <w:rFonts w:ascii="Times New Roman" w:eastAsia="IBM Plex Sans Arabic" w:hAnsi="Times New Roman" w:cs="Times New Roman" w:hint="cs"/>
                <w:b/>
                <w:bCs/>
                <w:noProof/>
                <w:rtl/>
              </w:rPr>
              <w:t>آلية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بيع</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الوحدات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٢</w:t>
            </w:r>
            <w:r>
              <w:rPr>
                <w:noProof/>
              </w:rPr>
              <w:tab/>
            </w:r>
            <w:r>
              <w:rPr>
                <w:noProof/>
              </w:rPr>
              <w:fldChar w:fldCharType="begin"/>
            </w:r>
            <w:r>
              <w:rPr>
                <w:noProof/>
              </w:rPr>
              <w:instrText xml:space="preserve"> PAGEREF _Toc236832328 \h </w:instrText>
            </w:r>
            <w:r>
              <w:rPr>
                <w:noProof/>
              </w:rPr>
            </w:r>
            <w:r>
              <w:rPr>
                <w:noProof/>
              </w:rPr>
              <w:fldChar w:fldCharType="separate"/>
            </w:r>
            <w:r>
              <w:rPr>
                <w:noProof/>
              </w:rPr>
              <w:t>1</w:t>
            </w:r>
            <w:r>
              <w:rPr>
                <w:noProof/>
              </w:rPr>
              <w:fldChar w:fldCharType="end"/>
            </w:r>
          </w:hyperlink>
        </w:p>
        <w:p w14:paraId="40C7FCCE" w14:textId="77777777" w:rsidR="00607A0D" w:rsidRDefault="00607A0D">
          <w:pPr>
            <w:pStyle w:val="TOC2"/>
            <w:tabs>
              <w:tab w:val="right" w:leader="dot" w:pos="10030"/>
            </w:tabs>
            <w:rPr>
              <w:noProof/>
            </w:rPr>
          </w:pPr>
          <w:hyperlink w:anchor="_Toc236832329" w:history="1">
            <w:r>
              <w:rPr>
                <w:rStyle w:val="Hyperlink"/>
                <w:b/>
                <w:bCs/>
                <w:noProof/>
              </w:rPr>
              <w:t>7.3 Rental Adjustment</w:t>
            </w:r>
            <w:r>
              <w:rPr>
                <w:noProof/>
              </w:rPr>
              <w:tab/>
            </w:r>
            <w:r>
              <w:rPr>
                <w:noProof/>
              </w:rPr>
              <w:fldChar w:fldCharType="begin"/>
            </w:r>
            <w:r>
              <w:rPr>
                <w:noProof/>
              </w:rPr>
              <w:instrText xml:space="preserve"> PAGEREF _Toc236832329 \h </w:instrText>
            </w:r>
            <w:r>
              <w:rPr>
                <w:noProof/>
              </w:rPr>
            </w:r>
            <w:r>
              <w:rPr>
                <w:noProof/>
              </w:rPr>
              <w:fldChar w:fldCharType="separate"/>
            </w:r>
            <w:r>
              <w:rPr>
                <w:noProof/>
              </w:rPr>
              <w:t>1</w:t>
            </w:r>
            <w:r>
              <w:rPr>
                <w:noProof/>
              </w:rPr>
              <w:fldChar w:fldCharType="end"/>
            </w:r>
          </w:hyperlink>
        </w:p>
        <w:p w14:paraId="533A3FBB" w14:textId="77777777" w:rsidR="00607A0D" w:rsidRDefault="00607A0D">
          <w:pPr>
            <w:pStyle w:val="TOC2"/>
            <w:tabs>
              <w:tab w:val="right" w:leader="dot" w:pos="10030"/>
            </w:tabs>
            <w:rPr>
              <w:noProof/>
            </w:rPr>
          </w:pPr>
          <w:hyperlink w:anchor="_Toc236832330" w:history="1">
            <w:r>
              <w:rPr>
                <w:rStyle w:val="Hyperlink"/>
                <w:rFonts w:ascii="Times New Roman" w:eastAsia="IBM Plex Sans Arabic" w:hAnsi="Times New Roman" w:cs="Times New Roman" w:hint="cs"/>
                <w:b/>
                <w:bCs/>
                <w:noProof/>
                <w:rtl/>
              </w:rPr>
              <w:t>تعديل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الأجرة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٧</w:t>
            </w:r>
            <w:r>
              <w:rPr>
                <w:rStyle w:val="Hyperlink"/>
                <w:rFonts w:ascii="IBM Plex Sans Arabic" w:eastAsia="IBM Plex Sans Arabic" w:hAnsi="IBM Plex Sans Arabic" w:cs="IBM Plex Sans Arabic"/>
                <w:b/>
                <w:bCs/>
                <w:noProof/>
                <w:rtl/>
              </w:rPr>
              <w:t>.</w:t>
            </w:r>
            <w:r>
              <w:rPr>
                <w:rStyle w:val="Hyperlink"/>
                <w:rFonts w:ascii="Times New Roman" w:eastAsia="IBM Plex Sans Arabic" w:hAnsi="Times New Roman" w:cs="Times New Roman" w:hint="cs"/>
                <w:b/>
                <w:bCs/>
                <w:noProof/>
                <w:rtl/>
              </w:rPr>
              <w:t>٣</w:t>
            </w:r>
            <w:r>
              <w:rPr>
                <w:noProof/>
              </w:rPr>
              <w:tab/>
            </w:r>
            <w:r>
              <w:rPr>
                <w:noProof/>
              </w:rPr>
              <w:fldChar w:fldCharType="begin"/>
            </w:r>
            <w:r>
              <w:rPr>
                <w:noProof/>
              </w:rPr>
              <w:instrText xml:space="preserve"> PAGEREF _Toc236832330 \h </w:instrText>
            </w:r>
            <w:r>
              <w:rPr>
                <w:noProof/>
              </w:rPr>
            </w:r>
            <w:r>
              <w:rPr>
                <w:noProof/>
              </w:rPr>
              <w:fldChar w:fldCharType="separate"/>
            </w:r>
            <w:r>
              <w:rPr>
                <w:noProof/>
              </w:rPr>
              <w:t>1</w:t>
            </w:r>
            <w:r>
              <w:rPr>
                <w:noProof/>
              </w:rPr>
              <w:fldChar w:fldCharType="end"/>
            </w:r>
          </w:hyperlink>
        </w:p>
        <w:p w14:paraId="7CABBB0D" w14:textId="77777777" w:rsidR="00607A0D" w:rsidRDefault="00607A0D">
          <w:pPr>
            <w:pStyle w:val="TOC1"/>
            <w:tabs>
              <w:tab w:val="right" w:leader="dot" w:pos="10030"/>
            </w:tabs>
            <w:rPr>
              <w:noProof/>
            </w:rPr>
          </w:pPr>
          <w:hyperlink w:anchor="_Toc236832331" w:history="1">
            <w:r>
              <w:rPr>
                <w:rStyle w:val="Hyperlink"/>
                <w:b/>
                <w:bCs/>
                <w:noProof/>
              </w:rPr>
              <w:t>8. Maintenance and Takaful Insurance</w:t>
            </w:r>
            <w:r>
              <w:rPr>
                <w:noProof/>
              </w:rPr>
              <w:tab/>
            </w:r>
            <w:r>
              <w:rPr>
                <w:noProof/>
              </w:rPr>
              <w:fldChar w:fldCharType="begin"/>
            </w:r>
            <w:r>
              <w:rPr>
                <w:noProof/>
              </w:rPr>
              <w:instrText xml:space="preserve"> PAGEREF _Toc236832331 \h </w:instrText>
            </w:r>
            <w:r>
              <w:rPr>
                <w:noProof/>
              </w:rPr>
            </w:r>
            <w:r>
              <w:rPr>
                <w:noProof/>
              </w:rPr>
              <w:fldChar w:fldCharType="separate"/>
            </w:r>
            <w:r>
              <w:rPr>
                <w:noProof/>
              </w:rPr>
              <w:t>1</w:t>
            </w:r>
            <w:r>
              <w:rPr>
                <w:noProof/>
              </w:rPr>
              <w:fldChar w:fldCharType="end"/>
            </w:r>
          </w:hyperlink>
        </w:p>
        <w:p w14:paraId="6333E4EC" w14:textId="77777777" w:rsidR="00607A0D" w:rsidRDefault="00607A0D">
          <w:pPr>
            <w:pStyle w:val="TOC1"/>
            <w:tabs>
              <w:tab w:val="right" w:leader="dot" w:pos="10030"/>
            </w:tabs>
            <w:rPr>
              <w:noProof/>
            </w:rPr>
          </w:pPr>
          <w:hyperlink w:anchor="_Toc236832332" w:history="1">
            <w:r>
              <w:rPr>
                <w:rStyle w:val="Hyperlink"/>
                <w:rFonts w:ascii="Times New Roman" w:eastAsia="IBM Plex Sans Arabic" w:hAnsi="Times New Roman" w:cs="Times New Roman" w:hint="cs"/>
                <w:b/>
                <w:bCs/>
                <w:noProof/>
                <w:rtl/>
              </w:rPr>
              <w:t>الصيانة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والتأمين</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التكافلي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٨</w:t>
            </w:r>
            <w:r>
              <w:rPr>
                <w:noProof/>
              </w:rPr>
              <w:tab/>
            </w:r>
            <w:r>
              <w:rPr>
                <w:noProof/>
              </w:rPr>
              <w:fldChar w:fldCharType="begin"/>
            </w:r>
            <w:r>
              <w:rPr>
                <w:noProof/>
              </w:rPr>
              <w:instrText xml:space="preserve"> PAGEREF _Toc236832332 \h </w:instrText>
            </w:r>
            <w:r>
              <w:rPr>
                <w:noProof/>
              </w:rPr>
            </w:r>
            <w:r>
              <w:rPr>
                <w:noProof/>
              </w:rPr>
              <w:fldChar w:fldCharType="separate"/>
            </w:r>
            <w:r>
              <w:rPr>
                <w:noProof/>
              </w:rPr>
              <w:t>1</w:t>
            </w:r>
            <w:r>
              <w:rPr>
                <w:noProof/>
              </w:rPr>
              <w:fldChar w:fldCharType="end"/>
            </w:r>
          </w:hyperlink>
        </w:p>
        <w:p w14:paraId="58E20DAC" w14:textId="77777777" w:rsidR="00607A0D" w:rsidRDefault="00607A0D">
          <w:pPr>
            <w:pStyle w:val="TOC1"/>
            <w:tabs>
              <w:tab w:val="right" w:leader="dot" w:pos="10030"/>
            </w:tabs>
            <w:rPr>
              <w:noProof/>
            </w:rPr>
          </w:pPr>
          <w:hyperlink w:anchor="_Toc236832333" w:history="1">
            <w:r>
              <w:rPr>
                <w:rStyle w:val="Hyperlink"/>
                <w:b/>
                <w:bCs/>
                <w:noProof/>
              </w:rPr>
              <w:t>9. Loss or Total Destruction of the Asset</w:t>
            </w:r>
            <w:r>
              <w:rPr>
                <w:noProof/>
              </w:rPr>
              <w:tab/>
            </w:r>
            <w:r>
              <w:rPr>
                <w:noProof/>
              </w:rPr>
              <w:fldChar w:fldCharType="begin"/>
            </w:r>
            <w:r>
              <w:rPr>
                <w:noProof/>
              </w:rPr>
              <w:instrText xml:space="preserve"> PAGEREF _Toc236832333 \h </w:instrText>
            </w:r>
            <w:r>
              <w:rPr>
                <w:noProof/>
              </w:rPr>
            </w:r>
            <w:r>
              <w:rPr>
                <w:noProof/>
              </w:rPr>
              <w:fldChar w:fldCharType="separate"/>
            </w:r>
            <w:r>
              <w:rPr>
                <w:noProof/>
              </w:rPr>
              <w:t>1</w:t>
            </w:r>
            <w:r>
              <w:rPr>
                <w:noProof/>
              </w:rPr>
              <w:fldChar w:fldCharType="end"/>
            </w:r>
          </w:hyperlink>
        </w:p>
        <w:p w14:paraId="73335473" w14:textId="77777777" w:rsidR="00607A0D" w:rsidRDefault="00607A0D">
          <w:pPr>
            <w:pStyle w:val="TOC1"/>
            <w:tabs>
              <w:tab w:val="right" w:leader="dot" w:pos="10030"/>
            </w:tabs>
            <w:rPr>
              <w:noProof/>
            </w:rPr>
          </w:pPr>
          <w:hyperlink w:anchor="_Toc236832334" w:history="1">
            <w:r>
              <w:rPr>
                <w:rStyle w:val="Hyperlink"/>
                <w:rFonts w:ascii="Times New Roman" w:eastAsia="IBM Plex Sans Arabic" w:hAnsi="Times New Roman" w:cs="Times New Roman" w:hint="cs"/>
                <w:b/>
                <w:bCs/>
                <w:noProof/>
                <w:rtl/>
              </w:rPr>
              <w:t>هلاك</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الأصل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أو</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تلفه</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الكلي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٩</w:t>
            </w:r>
            <w:r>
              <w:rPr>
                <w:noProof/>
              </w:rPr>
              <w:tab/>
            </w:r>
            <w:r>
              <w:rPr>
                <w:noProof/>
              </w:rPr>
              <w:fldChar w:fldCharType="begin"/>
            </w:r>
            <w:r>
              <w:rPr>
                <w:noProof/>
              </w:rPr>
              <w:instrText xml:space="preserve"> PAGEREF _Toc236832334 \h </w:instrText>
            </w:r>
            <w:r>
              <w:rPr>
                <w:noProof/>
              </w:rPr>
            </w:r>
            <w:r>
              <w:rPr>
                <w:noProof/>
              </w:rPr>
              <w:fldChar w:fldCharType="separate"/>
            </w:r>
            <w:r>
              <w:rPr>
                <w:noProof/>
              </w:rPr>
              <w:t>1</w:t>
            </w:r>
            <w:r>
              <w:rPr>
                <w:noProof/>
              </w:rPr>
              <w:fldChar w:fldCharType="end"/>
            </w:r>
          </w:hyperlink>
        </w:p>
        <w:p w14:paraId="133BBF3C" w14:textId="77777777" w:rsidR="00607A0D" w:rsidRDefault="00607A0D">
          <w:pPr>
            <w:pStyle w:val="TOC1"/>
            <w:tabs>
              <w:tab w:val="right" w:leader="dot" w:pos="10030"/>
            </w:tabs>
            <w:rPr>
              <w:noProof/>
            </w:rPr>
          </w:pPr>
          <w:hyperlink w:anchor="_Toc236832335" w:history="1">
            <w:r>
              <w:rPr>
                <w:rStyle w:val="Hyperlink"/>
                <w:b/>
                <w:bCs/>
                <w:noProof/>
              </w:rPr>
              <w:t>10. Representations and Warranties</w:t>
            </w:r>
            <w:r>
              <w:rPr>
                <w:noProof/>
              </w:rPr>
              <w:tab/>
            </w:r>
            <w:r>
              <w:rPr>
                <w:noProof/>
              </w:rPr>
              <w:fldChar w:fldCharType="begin"/>
            </w:r>
            <w:r>
              <w:rPr>
                <w:noProof/>
              </w:rPr>
              <w:instrText xml:space="preserve"> PAGEREF _Toc236832335 \h </w:instrText>
            </w:r>
            <w:r>
              <w:rPr>
                <w:noProof/>
              </w:rPr>
            </w:r>
            <w:r>
              <w:rPr>
                <w:noProof/>
              </w:rPr>
              <w:fldChar w:fldCharType="separate"/>
            </w:r>
            <w:r>
              <w:rPr>
                <w:noProof/>
              </w:rPr>
              <w:t>1</w:t>
            </w:r>
            <w:r>
              <w:rPr>
                <w:noProof/>
              </w:rPr>
              <w:fldChar w:fldCharType="end"/>
            </w:r>
          </w:hyperlink>
        </w:p>
        <w:p w14:paraId="76241338" w14:textId="77777777" w:rsidR="00607A0D" w:rsidRDefault="00607A0D">
          <w:pPr>
            <w:pStyle w:val="TOC1"/>
            <w:tabs>
              <w:tab w:val="right" w:leader="dot" w:pos="10030"/>
            </w:tabs>
            <w:rPr>
              <w:noProof/>
            </w:rPr>
          </w:pPr>
          <w:hyperlink w:anchor="_Toc236832336" w:history="1">
            <w:r>
              <w:rPr>
                <w:rStyle w:val="Hyperlink"/>
                <w:rFonts w:ascii="Times New Roman" w:eastAsia="IBM Plex Sans Arabic" w:hAnsi="Times New Roman" w:cs="Times New Roman" w:hint="cs"/>
                <w:b/>
                <w:bCs/>
                <w:noProof/>
                <w:rtl/>
              </w:rPr>
              <w:t>الإقرارات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والضمانات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١٠</w:t>
            </w:r>
            <w:r>
              <w:rPr>
                <w:noProof/>
              </w:rPr>
              <w:tab/>
            </w:r>
            <w:r>
              <w:rPr>
                <w:noProof/>
              </w:rPr>
              <w:fldChar w:fldCharType="begin"/>
            </w:r>
            <w:r>
              <w:rPr>
                <w:noProof/>
              </w:rPr>
              <w:instrText xml:space="preserve"> PAGEREF _Toc236832336 \h </w:instrText>
            </w:r>
            <w:r>
              <w:rPr>
                <w:noProof/>
              </w:rPr>
            </w:r>
            <w:r>
              <w:rPr>
                <w:noProof/>
              </w:rPr>
              <w:fldChar w:fldCharType="separate"/>
            </w:r>
            <w:r>
              <w:rPr>
                <w:noProof/>
              </w:rPr>
              <w:t>1</w:t>
            </w:r>
            <w:r>
              <w:rPr>
                <w:noProof/>
              </w:rPr>
              <w:fldChar w:fldCharType="end"/>
            </w:r>
          </w:hyperlink>
        </w:p>
        <w:p w14:paraId="610254E9" w14:textId="77777777" w:rsidR="00607A0D" w:rsidRDefault="00607A0D">
          <w:pPr>
            <w:pStyle w:val="TOC1"/>
            <w:tabs>
              <w:tab w:val="right" w:leader="dot" w:pos="10030"/>
            </w:tabs>
            <w:rPr>
              <w:noProof/>
            </w:rPr>
          </w:pPr>
          <w:hyperlink w:anchor="_Toc236832337" w:history="1">
            <w:r>
              <w:rPr>
                <w:rStyle w:val="Hyperlink"/>
                <w:b/>
                <w:bCs/>
                <w:noProof/>
              </w:rPr>
              <w:t>11. Events of Default and Remedies</w:t>
            </w:r>
            <w:r>
              <w:rPr>
                <w:noProof/>
              </w:rPr>
              <w:tab/>
            </w:r>
            <w:r>
              <w:rPr>
                <w:noProof/>
              </w:rPr>
              <w:fldChar w:fldCharType="begin"/>
            </w:r>
            <w:r>
              <w:rPr>
                <w:noProof/>
              </w:rPr>
              <w:instrText xml:space="preserve"> PAGEREF _Toc236832337 \h </w:instrText>
            </w:r>
            <w:r>
              <w:rPr>
                <w:noProof/>
              </w:rPr>
            </w:r>
            <w:r>
              <w:rPr>
                <w:noProof/>
              </w:rPr>
              <w:fldChar w:fldCharType="separate"/>
            </w:r>
            <w:r>
              <w:rPr>
                <w:noProof/>
              </w:rPr>
              <w:t>1</w:t>
            </w:r>
            <w:r>
              <w:rPr>
                <w:noProof/>
              </w:rPr>
              <w:fldChar w:fldCharType="end"/>
            </w:r>
          </w:hyperlink>
        </w:p>
        <w:p w14:paraId="31805B5E" w14:textId="77777777" w:rsidR="00607A0D" w:rsidRDefault="00607A0D">
          <w:pPr>
            <w:pStyle w:val="TOC1"/>
            <w:tabs>
              <w:tab w:val="right" w:leader="dot" w:pos="10030"/>
            </w:tabs>
            <w:rPr>
              <w:noProof/>
            </w:rPr>
          </w:pPr>
          <w:hyperlink w:anchor="_Toc236832338" w:history="1">
            <w:r>
              <w:rPr>
                <w:rStyle w:val="Hyperlink"/>
                <w:rFonts w:ascii="Times New Roman" w:eastAsia="IBM Plex Sans Arabic" w:hAnsi="Times New Roman" w:cs="Times New Roman" w:hint="cs"/>
                <w:b/>
                <w:bCs/>
                <w:noProof/>
                <w:rtl/>
              </w:rPr>
              <w:t>حالات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الإخلال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والحلول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١١</w:t>
            </w:r>
            <w:r>
              <w:rPr>
                <w:noProof/>
              </w:rPr>
              <w:tab/>
            </w:r>
            <w:r>
              <w:rPr>
                <w:noProof/>
              </w:rPr>
              <w:fldChar w:fldCharType="begin"/>
            </w:r>
            <w:r>
              <w:rPr>
                <w:noProof/>
              </w:rPr>
              <w:instrText xml:space="preserve"> PAGEREF _Toc236832338 \h </w:instrText>
            </w:r>
            <w:r>
              <w:rPr>
                <w:noProof/>
              </w:rPr>
            </w:r>
            <w:r>
              <w:rPr>
                <w:noProof/>
              </w:rPr>
              <w:fldChar w:fldCharType="separate"/>
            </w:r>
            <w:r>
              <w:rPr>
                <w:noProof/>
              </w:rPr>
              <w:t>1</w:t>
            </w:r>
            <w:r>
              <w:rPr>
                <w:noProof/>
              </w:rPr>
              <w:fldChar w:fldCharType="end"/>
            </w:r>
          </w:hyperlink>
        </w:p>
        <w:p w14:paraId="243DEE21" w14:textId="77777777" w:rsidR="00607A0D" w:rsidRDefault="00607A0D">
          <w:pPr>
            <w:pStyle w:val="TOC1"/>
            <w:tabs>
              <w:tab w:val="right" w:leader="dot" w:pos="10030"/>
            </w:tabs>
            <w:rPr>
              <w:noProof/>
            </w:rPr>
          </w:pPr>
          <w:hyperlink w:anchor="_Toc236832339" w:history="1">
            <w:r>
              <w:rPr>
                <w:rStyle w:val="Hyperlink"/>
                <w:b/>
                <w:bCs/>
                <w:noProof/>
              </w:rPr>
              <w:t>12. Late Payment Compensation (Ta'widh)</w:t>
            </w:r>
            <w:r>
              <w:rPr>
                <w:noProof/>
              </w:rPr>
              <w:tab/>
            </w:r>
            <w:r>
              <w:rPr>
                <w:noProof/>
              </w:rPr>
              <w:fldChar w:fldCharType="begin"/>
            </w:r>
            <w:r>
              <w:rPr>
                <w:noProof/>
              </w:rPr>
              <w:instrText xml:space="preserve"> PAGEREF _Toc236832339 \h </w:instrText>
            </w:r>
            <w:r>
              <w:rPr>
                <w:noProof/>
              </w:rPr>
            </w:r>
            <w:r>
              <w:rPr>
                <w:noProof/>
              </w:rPr>
              <w:fldChar w:fldCharType="separate"/>
            </w:r>
            <w:r>
              <w:rPr>
                <w:noProof/>
              </w:rPr>
              <w:t>1</w:t>
            </w:r>
            <w:r>
              <w:rPr>
                <w:noProof/>
              </w:rPr>
              <w:fldChar w:fldCharType="end"/>
            </w:r>
          </w:hyperlink>
        </w:p>
        <w:p w14:paraId="76E53EAD" w14:textId="77777777" w:rsidR="00607A0D" w:rsidRDefault="00607A0D">
          <w:pPr>
            <w:pStyle w:val="TOC1"/>
            <w:tabs>
              <w:tab w:val="right" w:leader="dot" w:pos="10030"/>
            </w:tabs>
            <w:rPr>
              <w:noProof/>
            </w:rPr>
          </w:pPr>
          <w:hyperlink w:anchor="_Toc236832340" w:history="1">
            <w:r>
              <w:rPr>
                <w:rStyle w:val="Hyperlink"/>
                <w:rFonts w:ascii="Times New Roman" w:eastAsia="IBM Plex Sans Arabic" w:hAnsi="Times New Roman" w:cs="Times New Roman" w:hint="cs"/>
                <w:b/>
                <w:bCs/>
                <w:noProof/>
                <w:rtl/>
              </w:rPr>
              <w:t>تعويض</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التأخير</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التعويض</w:t>
            </w:r>
            <w:r>
              <w:rPr>
                <w:rStyle w:val="Hyperlink"/>
                <w:rFonts w:ascii="IBM Plex Sans Arabic" w:eastAsia="IBM Plex Sans Arabic" w:hAnsi="IBM Plex Sans Arabic" w:cs="IBM Plex Sans Arabic"/>
                <w:b/>
                <w:bCs/>
                <w:noProof/>
                <w:rtl/>
              </w:rPr>
              <w:t>) .</w:t>
            </w:r>
            <w:r>
              <w:rPr>
                <w:rStyle w:val="Hyperlink"/>
                <w:rFonts w:ascii="Times New Roman" w:eastAsia="IBM Plex Sans Arabic" w:hAnsi="Times New Roman" w:cs="Times New Roman" w:hint="cs"/>
                <w:b/>
                <w:bCs/>
                <w:noProof/>
                <w:rtl/>
              </w:rPr>
              <w:t>١٢</w:t>
            </w:r>
            <w:r>
              <w:rPr>
                <w:noProof/>
              </w:rPr>
              <w:tab/>
            </w:r>
            <w:r>
              <w:rPr>
                <w:noProof/>
              </w:rPr>
              <w:fldChar w:fldCharType="begin"/>
            </w:r>
            <w:r>
              <w:rPr>
                <w:noProof/>
              </w:rPr>
              <w:instrText xml:space="preserve"> PAGEREF _Toc236832340 \h </w:instrText>
            </w:r>
            <w:r>
              <w:rPr>
                <w:noProof/>
              </w:rPr>
            </w:r>
            <w:r>
              <w:rPr>
                <w:noProof/>
              </w:rPr>
              <w:fldChar w:fldCharType="separate"/>
            </w:r>
            <w:r>
              <w:rPr>
                <w:noProof/>
              </w:rPr>
              <w:t>1</w:t>
            </w:r>
            <w:r>
              <w:rPr>
                <w:noProof/>
              </w:rPr>
              <w:fldChar w:fldCharType="end"/>
            </w:r>
          </w:hyperlink>
        </w:p>
        <w:p w14:paraId="53A2791E" w14:textId="77777777" w:rsidR="00607A0D" w:rsidRDefault="00607A0D">
          <w:pPr>
            <w:pStyle w:val="TOC1"/>
            <w:tabs>
              <w:tab w:val="right" w:leader="dot" w:pos="10030"/>
            </w:tabs>
            <w:rPr>
              <w:noProof/>
            </w:rPr>
          </w:pPr>
          <w:hyperlink w:anchor="_Toc236832341" w:history="1">
            <w:r>
              <w:rPr>
                <w:rStyle w:val="Hyperlink"/>
                <w:b/>
                <w:bCs/>
                <w:noProof/>
              </w:rPr>
              <w:t>13. Force Majeure</w:t>
            </w:r>
            <w:r>
              <w:rPr>
                <w:noProof/>
              </w:rPr>
              <w:tab/>
            </w:r>
            <w:r>
              <w:rPr>
                <w:noProof/>
              </w:rPr>
              <w:fldChar w:fldCharType="begin"/>
            </w:r>
            <w:r>
              <w:rPr>
                <w:noProof/>
              </w:rPr>
              <w:instrText xml:space="preserve"> PAGEREF _Toc236832341 \h </w:instrText>
            </w:r>
            <w:r>
              <w:rPr>
                <w:noProof/>
              </w:rPr>
            </w:r>
            <w:r>
              <w:rPr>
                <w:noProof/>
              </w:rPr>
              <w:fldChar w:fldCharType="separate"/>
            </w:r>
            <w:r>
              <w:rPr>
                <w:noProof/>
              </w:rPr>
              <w:t>1</w:t>
            </w:r>
            <w:r>
              <w:rPr>
                <w:noProof/>
              </w:rPr>
              <w:fldChar w:fldCharType="end"/>
            </w:r>
          </w:hyperlink>
        </w:p>
        <w:p w14:paraId="1B0D60EC" w14:textId="77777777" w:rsidR="00607A0D" w:rsidRDefault="00607A0D">
          <w:pPr>
            <w:pStyle w:val="TOC1"/>
            <w:tabs>
              <w:tab w:val="right" w:leader="dot" w:pos="10030"/>
            </w:tabs>
            <w:rPr>
              <w:noProof/>
            </w:rPr>
          </w:pPr>
          <w:hyperlink w:anchor="_Toc236832342" w:history="1">
            <w:r>
              <w:rPr>
                <w:rStyle w:val="Hyperlink"/>
                <w:rFonts w:ascii="Times New Roman" w:eastAsia="IBM Plex Sans Arabic" w:hAnsi="Times New Roman" w:cs="Times New Roman" w:hint="cs"/>
                <w:b/>
                <w:bCs/>
                <w:noProof/>
                <w:rtl/>
              </w:rPr>
              <w:t>القوة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القاهرة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١٣</w:t>
            </w:r>
            <w:r>
              <w:rPr>
                <w:noProof/>
              </w:rPr>
              <w:tab/>
            </w:r>
            <w:r>
              <w:rPr>
                <w:noProof/>
              </w:rPr>
              <w:fldChar w:fldCharType="begin"/>
            </w:r>
            <w:r>
              <w:rPr>
                <w:noProof/>
              </w:rPr>
              <w:instrText xml:space="preserve"> PAGEREF _Toc236832342 \h </w:instrText>
            </w:r>
            <w:r>
              <w:rPr>
                <w:noProof/>
              </w:rPr>
            </w:r>
            <w:r>
              <w:rPr>
                <w:noProof/>
              </w:rPr>
              <w:fldChar w:fldCharType="separate"/>
            </w:r>
            <w:r>
              <w:rPr>
                <w:noProof/>
              </w:rPr>
              <w:t>1</w:t>
            </w:r>
            <w:r>
              <w:rPr>
                <w:noProof/>
              </w:rPr>
              <w:fldChar w:fldCharType="end"/>
            </w:r>
          </w:hyperlink>
        </w:p>
        <w:p w14:paraId="6B4BFC39" w14:textId="77777777" w:rsidR="00607A0D" w:rsidRDefault="00607A0D">
          <w:pPr>
            <w:pStyle w:val="TOC1"/>
            <w:tabs>
              <w:tab w:val="right" w:leader="dot" w:pos="10030"/>
            </w:tabs>
            <w:rPr>
              <w:noProof/>
            </w:rPr>
          </w:pPr>
          <w:hyperlink w:anchor="_Toc236832343" w:history="1">
            <w:r>
              <w:rPr>
                <w:rStyle w:val="Hyperlink"/>
                <w:b/>
                <w:bCs/>
                <w:noProof/>
              </w:rPr>
              <w:t>14. Assignment and Transfer</w:t>
            </w:r>
            <w:r>
              <w:rPr>
                <w:noProof/>
              </w:rPr>
              <w:tab/>
            </w:r>
            <w:r>
              <w:rPr>
                <w:noProof/>
              </w:rPr>
              <w:fldChar w:fldCharType="begin"/>
            </w:r>
            <w:r>
              <w:rPr>
                <w:noProof/>
              </w:rPr>
              <w:instrText xml:space="preserve"> PAGEREF _Toc236832343 \h </w:instrText>
            </w:r>
            <w:r>
              <w:rPr>
                <w:noProof/>
              </w:rPr>
            </w:r>
            <w:r>
              <w:rPr>
                <w:noProof/>
              </w:rPr>
              <w:fldChar w:fldCharType="separate"/>
            </w:r>
            <w:r>
              <w:rPr>
                <w:noProof/>
              </w:rPr>
              <w:t>1</w:t>
            </w:r>
            <w:r>
              <w:rPr>
                <w:noProof/>
              </w:rPr>
              <w:fldChar w:fldCharType="end"/>
            </w:r>
          </w:hyperlink>
        </w:p>
        <w:p w14:paraId="5D180347" w14:textId="77777777" w:rsidR="00607A0D" w:rsidRDefault="00607A0D">
          <w:pPr>
            <w:pStyle w:val="TOC1"/>
            <w:tabs>
              <w:tab w:val="right" w:leader="dot" w:pos="10030"/>
            </w:tabs>
            <w:rPr>
              <w:noProof/>
            </w:rPr>
          </w:pPr>
          <w:hyperlink w:anchor="_Toc236832344" w:history="1">
            <w:r>
              <w:rPr>
                <w:rStyle w:val="Hyperlink"/>
                <w:rFonts w:ascii="Times New Roman" w:eastAsia="IBM Plex Sans Arabic" w:hAnsi="Times New Roman" w:cs="Times New Roman" w:hint="cs"/>
                <w:b/>
                <w:bCs/>
                <w:noProof/>
                <w:rtl/>
              </w:rPr>
              <w:t>التنازل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والنقل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١٤</w:t>
            </w:r>
            <w:r>
              <w:rPr>
                <w:noProof/>
              </w:rPr>
              <w:tab/>
            </w:r>
            <w:r>
              <w:rPr>
                <w:noProof/>
              </w:rPr>
              <w:fldChar w:fldCharType="begin"/>
            </w:r>
            <w:r>
              <w:rPr>
                <w:noProof/>
              </w:rPr>
              <w:instrText xml:space="preserve"> PAGEREF _Toc236832344 \h </w:instrText>
            </w:r>
            <w:r>
              <w:rPr>
                <w:noProof/>
              </w:rPr>
            </w:r>
            <w:r>
              <w:rPr>
                <w:noProof/>
              </w:rPr>
              <w:fldChar w:fldCharType="separate"/>
            </w:r>
            <w:r>
              <w:rPr>
                <w:noProof/>
              </w:rPr>
              <w:t>1</w:t>
            </w:r>
            <w:r>
              <w:rPr>
                <w:noProof/>
              </w:rPr>
              <w:fldChar w:fldCharType="end"/>
            </w:r>
          </w:hyperlink>
        </w:p>
        <w:p w14:paraId="7D429C45" w14:textId="77777777" w:rsidR="00607A0D" w:rsidRDefault="00607A0D">
          <w:pPr>
            <w:pStyle w:val="TOC1"/>
            <w:tabs>
              <w:tab w:val="right" w:leader="dot" w:pos="10030"/>
            </w:tabs>
            <w:rPr>
              <w:noProof/>
            </w:rPr>
          </w:pPr>
          <w:hyperlink w:anchor="_Toc236832345" w:history="1">
            <w:r>
              <w:rPr>
                <w:rStyle w:val="Hyperlink"/>
                <w:b/>
                <w:bCs/>
                <w:noProof/>
              </w:rPr>
              <w:t>15. Electronic Execution and Digital Platform</w:t>
            </w:r>
            <w:r>
              <w:rPr>
                <w:noProof/>
              </w:rPr>
              <w:tab/>
            </w:r>
            <w:r>
              <w:rPr>
                <w:noProof/>
              </w:rPr>
              <w:fldChar w:fldCharType="begin"/>
            </w:r>
            <w:r>
              <w:rPr>
                <w:noProof/>
              </w:rPr>
              <w:instrText xml:space="preserve"> PAGEREF _Toc236832345 \h </w:instrText>
            </w:r>
            <w:r>
              <w:rPr>
                <w:noProof/>
              </w:rPr>
            </w:r>
            <w:r>
              <w:rPr>
                <w:noProof/>
              </w:rPr>
              <w:fldChar w:fldCharType="separate"/>
            </w:r>
            <w:r>
              <w:rPr>
                <w:noProof/>
              </w:rPr>
              <w:t>1</w:t>
            </w:r>
            <w:r>
              <w:rPr>
                <w:noProof/>
              </w:rPr>
              <w:fldChar w:fldCharType="end"/>
            </w:r>
          </w:hyperlink>
        </w:p>
        <w:p w14:paraId="7F720F54" w14:textId="77777777" w:rsidR="00607A0D" w:rsidRDefault="00607A0D">
          <w:pPr>
            <w:pStyle w:val="TOC1"/>
            <w:tabs>
              <w:tab w:val="right" w:leader="dot" w:pos="10030"/>
            </w:tabs>
            <w:rPr>
              <w:noProof/>
            </w:rPr>
          </w:pPr>
          <w:hyperlink w:anchor="_Toc236832346" w:history="1">
            <w:r>
              <w:rPr>
                <w:rStyle w:val="Hyperlink"/>
                <w:rFonts w:ascii="Times New Roman" w:eastAsia="IBM Plex Sans Arabic" w:hAnsi="Times New Roman" w:cs="Times New Roman" w:hint="cs"/>
                <w:b/>
                <w:bCs/>
                <w:noProof/>
                <w:rtl/>
              </w:rPr>
              <w:t>التنفيذ</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الإلكتروني</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والمنصة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الرقمية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١٥</w:t>
            </w:r>
            <w:r>
              <w:rPr>
                <w:noProof/>
              </w:rPr>
              <w:tab/>
            </w:r>
            <w:r>
              <w:rPr>
                <w:noProof/>
              </w:rPr>
              <w:fldChar w:fldCharType="begin"/>
            </w:r>
            <w:r>
              <w:rPr>
                <w:noProof/>
              </w:rPr>
              <w:instrText xml:space="preserve"> PAGEREF _Toc236832346 \h </w:instrText>
            </w:r>
            <w:r>
              <w:rPr>
                <w:noProof/>
              </w:rPr>
            </w:r>
            <w:r>
              <w:rPr>
                <w:noProof/>
              </w:rPr>
              <w:fldChar w:fldCharType="separate"/>
            </w:r>
            <w:r>
              <w:rPr>
                <w:noProof/>
              </w:rPr>
              <w:t>1</w:t>
            </w:r>
            <w:r>
              <w:rPr>
                <w:noProof/>
              </w:rPr>
              <w:fldChar w:fldCharType="end"/>
            </w:r>
          </w:hyperlink>
        </w:p>
        <w:p w14:paraId="55C30AEA" w14:textId="77777777" w:rsidR="00607A0D" w:rsidRDefault="00607A0D">
          <w:pPr>
            <w:pStyle w:val="TOC1"/>
            <w:tabs>
              <w:tab w:val="right" w:leader="dot" w:pos="10030"/>
            </w:tabs>
            <w:rPr>
              <w:noProof/>
            </w:rPr>
          </w:pPr>
          <w:hyperlink w:anchor="_Toc236832347" w:history="1">
            <w:r>
              <w:rPr>
                <w:rStyle w:val="Hyperlink"/>
                <w:b/>
                <w:bCs/>
                <w:noProof/>
              </w:rPr>
              <w:t>16. Data Protection</w:t>
            </w:r>
            <w:r>
              <w:rPr>
                <w:noProof/>
              </w:rPr>
              <w:tab/>
            </w:r>
            <w:r>
              <w:rPr>
                <w:noProof/>
              </w:rPr>
              <w:fldChar w:fldCharType="begin"/>
            </w:r>
            <w:r>
              <w:rPr>
                <w:noProof/>
              </w:rPr>
              <w:instrText xml:space="preserve"> PAGEREF _Toc236832347 \h </w:instrText>
            </w:r>
            <w:r>
              <w:rPr>
                <w:noProof/>
              </w:rPr>
            </w:r>
            <w:r>
              <w:rPr>
                <w:noProof/>
              </w:rPr>
              <w:fldChar w:fldCharType="separate"/>
            </w:r>
            <w:r>
              <w:rPr>
                <w:noProof/>
              </w:rPr>
              <w:t>1</w:t>
            </w:r>
            <w:r>
              <w:rPr>
                <w:noProof/>
              </w:rPr>
              <w:fldChar w:fldCharType="end"/>
            </w:r>
          </w:hyperlink>
        </w:p>
        <w:p w14:paraId="3686A786" w14:textId="77777777" w:rsidR="00607A0D" w:rsidRDefault="00607A0D">
          <w:pPr>
            <w:pStyle w:val="TOC1"/>
            <w:tabs>
              <w:tab w:val="right" w:leader="dot" w:pos="10030"/>
            </w:tabs>
            <w:rPr>
              <w:noProof/>
            </w:rPr>
          </w:pPr>
          <w:hyperlink w:anchor="_Toc236832348" w:history="1">
            <w:r>
              <w:rPr>
                <w:rStyle w:val="Hyperlink"/>
                <w:rFonts w:ascii="Times New Roman" w:eastAsia="IBM Plex Sans Arabic" w:hAnsi="Times New Roman" w:cs="Times New Roman" w:hint="cs"/>
                <w:b/>
                <w:bCs/>
                <w:noProof/>
                <w:rtl/>
              </w:rPr>
              <w:t>حماية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البيانات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١٦</w:t>
            </w:r>
            <w:r>
              <w:rPr>
                <w:noProof/>
              </w:rPr>
              <w:tab/>
            </w:r>
            <w:r>
              <w:rPr>
                <w:noProof/>
              </w:rPr>
              <w:fldChar w:fldCharType="begin"/>
            </w:r>
            <w:r>
              <w:rPr>
                <w:noProof/>
              </w:rPr>
              <w:instrText xml:space="preserve"> PAGEREF _Toc236832348 \h </w:instrText>
            </w:r>
            <w:r>
              <w:rPr>
                <w:noProof/>
              </w:rPr>
            </w:r>
            <w:r>
              <w:rPr>
                <w:noProof/>
              </w:rPr>
              <w:fldChar w:fldCharType="separate"/>
            </w:r>
            <w:r>
              <w:rPr>
                <w:noProof/>
              </w:rPr>
              <w:t>1</w:t>
            </w:r>
            <w:r>
              <w:rPr>
                <w:noProof/>
              </w:rPr>
              <w:fldChar w:fldCharType="end"/>
            </w:r>
          </w:hyperlink>
        </w:p>
        <w:p w14:paraId="66D58476" w14:textId="77777777" w:rsidR="00607A0D" w:rsidRDefault="00607A0D">
          <w:pPr>
            <w:pStyle w:val="TOC1"/>
            <w:tabs>
              <w:tab w:val="right" w:leader="dot" w:pos="10030"/>
            </w:tabs>
            <w:rPr>
              <w:noProof/>
            </w:rPr>
          </w:pPr>
          <w:hyperlink w:anchor="_Toc236832349" w:history="1">
            <w:r>
              <w:rPr>
                <w:rStyle w:val="Hyperlink"/>
                <w:b/>
                <w:bCs/>
                <w:noProof/>
              </w:rPr>
              <w:t>17. Shariah Compliance</w:t>
            </w:r>
            <w:r>
              <w:rPr>
                <w:noProof/>
              </w:rPr>
              <w:tab/>
            </w:r>
            <w:r>
              <w:rPr>
                <w:noProof/>
              </w:rPr>
              <w:fldChar w:fldCharType="begin"/>
            </w:r>
            <w:r>
              <w:rPr>
                <w:noProof/>
              </w:rPr>
              <w:instrText xml:space="preserve"> PAGEREF _Toc236832349 \h </w:instrText>
            </w:r>
            <w:r>
              <w:rPr>
                <w:noProof/>
              </w:rPr>
            </w:r>
            <w:r>
              <w:rPr>
                <w:noProof/>
              </w:rPr>
              <w:fldChar w:fldCharType="separate"/>
            </w:r>
            <w:r>
              <w:rPr>
                <w:noProof/>
              </w:rPr>
              <w:t>1</w:t>
            </w:r>
            <w:r>
              <w:rPr>
                <w:noProof/>
              </w:rPr>
              <w:fldChar w:fldCharType="end"/>
            </w:r>
          </w:hyperlink>
        </w:p>
        <w:p w14:paraId="28479955" w14:textId="77777777" w:rsidR="00607A0D" w:rsidRDefault="00607A0D">
          <w:pPr>
            <w:pStyle w:val="TOC1"/>
            <w:tabs>
              <w:tab w:val="right" w:leader="dot" w:pos="10030"/>
            </w:tabs>
            <w:rPr>
              <w:noProof/>
            </w:rPr>
          </w:pPr>
          <w:hyperlink w:anchor="_Toc236832350" w:history="1">
            <w:r>
              <w:rPr>
                <w:rStyle w:val="Hyperlink"/>
                <w:rFonts w:ascii="Times New Roman" w:eastAsia="IBM Plex Sans Arabic" w:hAnsi="Times New Roman" w:cs="Times New Roman" w:hint="cs"/>
                <w:b/>
                <w:bCs/>
                <w:noProof/>
                <w:rtl/>
              </w:rPr>
              <w:t>الامتثال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للشريعة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الإسلامية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١٧</w:t>
            </w:r>
            <w:r>
              <w:rPr>
                <w:noProof/>
              </w:rPr>
              <w:tab/>
            </w:r>
            <w:r>
              <w:rPr>
                <w:noProof/>
              </w:rPr>
              <w:fldChar w:fldCharType="begin"/>
            </w:r>
            <w:r>
              <w:rPr>
                <w:noProof/>
              </w:rPr>
              <w:instrText xml:space="preserve"> PAGEREF _Toc236832350 \h </w:instrText>
            </w:r>
            <w:r>
              <w:rPr>
                <w:noProof/>
              </w:rPr>
            </w:r>
            <w:r>
              <w:rPr>
                <w:noProof/>
              </w:rPr>
              <w:fldChar w:fldCharType="separate"/>
            </w:r>
            <w:r>
              <w:rPr>
                <w:noProof/>
              </w:rPr>
              <w:t>1</w:t>
            </w:r>
            <w:r>
              <w:rPr>
                <w:noProof/>
              </w:rPr>
              <w:fldChar w:fldCharType="end"/>
            </w:r>
          </w:hyperlink>
        </w:p>
        <w:p w14:paraId="5DD20C06" w14:textId="77777777" w:rsidR="00607A0D" w:rsidRDefault="00607A0D">
          <w:pPr>
            <w:pStyle w:val="TOC1"/>
            <w:tabs>
              <w:tab w:val="right" w:leader="dot" w:pos="10030"/>
            </w:tabs>
            <w:rPr>
              <w:noProof/>
            </w:rPr>
          </w:pPr>
          <w:hyperlink w:anchor="_Toc236832351" w:history="1">
            <w:r>
              <w:rPr>
                <w:rStyle w:val="Hyperlink"/>
                <w:b/>
                <w:bCs/>
                <w:noProof/>
              </w:rPr>
              <w:t>18. Governing Law and Dispute Resolution</w:t>
            </w:r>
            <w:r>
              <w:rPr>
                <w:noProof/>
              </w:rPr>
              <w:tab/>
            </w:r>
            <w:r>
              <w:rPr>
                <w:noProof/>
              </w:rPr>
              <w:fldChar w:fldCharType="begin"/>
            </w:r>
            <w:r>
              <w:rPr>
                <w:noProof/>
              </w:rPr>
              <w:instrText xml:space="preserve"> PAGEREF _Toc236832351 \h </w:instrText>
            </w:r>
            <w:r>
              <w:rPr>
                <w:noProof/>
              </w:rPr>
            </w:r>
            <w:r>
              <w:rPr>
                <w:noProof/>
              </w:rPr>
              <w:fldChar w:fldCharType="separate"/>
            </w:r>
            <w:r>
              <w:rPr>
                <w:noProof/>
              </w:rPr>
              <w:t>1</w:t>
            </w:r>
            <w:r>
              <w:rPr>
                <w:noProof/>
              </w:rPr>
              <w:fldChar w:fldCharType="end"/>
            </w:r>
          </w:hyperlink>
        </w:p>
        <w:p w14:paraId="5E241A38" w14:textId="77777777" w:rsidR="00607A0D" w:rsidRDefault="00607A0D">
          <w:pPr>
            <w:pStyle w:val="TOC1"/>
            <w:tabs>
              <w:tab w:val="right" w:leader="dot" w:pos="10030"/>
            </w:tabs>
            <w:rPr>
              <w:noProof/>
            </w:rPr>
          </w:pPr>
          <w:hyperlink w:anchor="_Toc236832352" w:history="1">
            <w:r>
              <w:rPr>
                <w:rStyle w:val="Hyperlink"/>
                <w:rFonts w:ascii="Times New Roman" w:eastAsia="IBM Plex Sans Arabic" w:hAnsi="Times New Roman" w:cs="Times New Roman" w:hint="cs"/>
                <w:b/>
                <w:bCs/>
                <w:noProof/>
                <w:rtl/>
              </w:rPr>
              <w:t>القانون</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الواجب</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التطبيق</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وتسوية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النزاعات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١٨</w:t>
            </w:r>
            <w:r>
              <w:rPr>
                <w:noProof/>
              </w:rPr>
              <w:tab/>
            </w:r>
            <w:r>
              <w:rPr>
                <w:noProof/>
              </w:rPr>
              <w:fldChar w:fldCharType="begin"/>
            </w:r>
            <w:r>
              <w:rPr>
                <w:noProof/>
              </w:rPr>
              <w:instrText xml:space="preserve"> PAGEREF _Toc236832352 \h </w:instrText>
            </w:r>
            <w:r>
              <w:rPr>
                <w:noProof/>
              </w:rPr>
            </w:r>
            <w:r>
              <w:rPr>
                <w:noProof/>
              </w:rPr>
              <w:fldChar w:fldCharType="separate"/>
            </w:r>
            <w:r>
              <w:rPr>
                <w:noProof/>
              </w:rPr>
              <w:t>1</w:t>
            </w:r>
            <w:r>
              <w:rPr>
                <w:noProof/>
              </w:rPr>
              <w:fldChar w:fldCharType="end"/>
            </w:r>
          </w:hyperlink>
        </w:p>
        <w:p w14:paraId="2A0EC098" w14:textId="77777777" w:rsidR="00607A0D" w:rsidRDefault="00607A0D">
          <w:pPr>
            <w:pStyle w:val="TOC1"/>
            <w:tabs>
              <w:tab w:val="right" w:leader="dot" w:pos="10030"/>
            </w:tabs>
            <w:rPr>
              <w:noProof/>
            </w:rPr>
          </w:pPr>
          <w:hyperlink w:anchor="_Toc236832353" w:history="1">
            <w:r>
              <w:rPr>
                <w:rStyle w:val="Hyperlink"/>
                <w:b/>
                <w:bCs/>
                <w:noProof/>
              </w:rPr>
              <w:t>19. Language</w:t>
            </w:r>
            <w:r>
              <w:rPr>
                <w:noProof/>
              </w:rPr>
              <w:tab/>
            </w:r>
            <w:r>
              <w:rPr>
                <w:noProof/>
              </w:rPr>
              <w:fldChar w:fldCharType="begin"/>
            </w:r>
            <w:r>
              <w:rPr>
                <w:noProof/>
              </w:rPr>
              <w:instrText xml:space="preserve"> PAGEREF _Toc236832353 \h </w:instrText>
            </w:r>
            <w:r>
              <w:rPr>
                <w:noProof/>
              </w:rPr>
            </w:r>
            <w:r>
              <w:rPr>
                <w:noProof/>
              </w:rPr>
              <w:fldChar w:fldCharType="separate"/>
            </w:r>
            <w:r>
              <w:rPr>
                <w:noProof/>
              </w:rPr>
              <w:t>1</w:t>
            </w:r>
            <w:r>
              <w:rPr>
                <w:noProof/>
              </w:rPr>
              <w:fldChar w:fldCharType="end"/>
            </w:r>
          </w:hyperlink>
        </w:p>
        <w:p w14:paraId="12FF506D" w14:textId="77777777" w:rsidR="00607A0D" w:rsidRDefault="00607A0D">
          <w:pPr>
            <w:pStyle w:val="TOC1"/>
            <w:tabs>
              <w:tab w:val="right" w:leader="dot" w:pos="10030"/>
            </w:tabs>
            <w:rPr>
              <w:noProof/>
            </w:rPr>
          </w:pPr>
          <w:hyperlink w:anchor="_Toc236832354" w:history="1">
            <w:r>
              <w:rPr>
                <w:rStyle w:val="Hyperlink"/>
                <w:rFonts w:ascii="Times New Roman" w:eastAsia="IBM Plex Sans Arabic" w:hAnsi="Times New Roman" w:cs="Times New Roman" w:hint="cs"/>
                <w:b/>
                <w:bCs/>
                <w:noProof/>
                <w:rtl/>
              </w:rPr>
              <w:t>اللغة</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١٩</w:t>
            </w:r>
            <w:r>
              <w:rPr>
                <w:noProof/>
              </w:rPr>
              <w:tab/>
            </w:r>
            <w:r>
              <w:rPr>
                <w:noProof/>
              </w:rPr>
              <w:fldChar w:fldCharType="begin"/>
            </w:r>
            <w:r>
              <w:rPr>
                <w:noProof/>
              </w:rPr>
              <w:instrText xml:space="preserve"> PAGEREF _Toc236832354 \h </w:instrText>
            </w:r>
            <w:r>
              <w:rPr>
                <w:noProof/>
              </w:rPr>
            </w:r>
            <w:r>
              <w:rPr>
                <w:noProof/>
              </w:rPr>
              <w:fldChar w:fldCharType="separate"/>
            </w:r>
            <w:r>
              <w:rPr>
                <w:noProof/>
              </w:rPr>
              <w:t>1</w:t>
            </w:r>
            <w:r>
              <w:rPr>
                <w:noProof/>
              </w:rPr>
              <w:fldChar w:fldCharType="end"/>
            </w:r>
          </w:hyperlink>
        </w:p>
        <w:p w14:paraId="67BD2AD4" w14:textId="77777777" w:rsidR="00607A0D" w:rsidRDefault="00607A0D">
          <w:pPr>
            <w:pStyle w:val="TOC1"/>
            <w:tabs>
              <w:tab w:val="right" w:leader="dot" w:pos="10030"/>
            </w:tabs>
            <w:rPr>
              <w:noProof/>
            </w:rPr>
          </w:pPr>
          <w:hyperlink w:anchor="_Toc236832355" w:history="1">
            <w:r>
              <w:rPr>
                <w:rStyle w:val="Hyperlink"/>
                <w:b/>
                <w:bCs/>
                <w:noProof/>
              </w:rPr>
              <w:t>20. Entire Agreement and Amendments</w:t>
            </w:r>
            <w:r>
              <w:rPr>
                <w:noProof/>
              </w:rPr>
              <w:tab/>
            </w:r>
            <w:r>
              <w:rPr>
                <w:noProof/>
              </w:rPr>
              <w:fldChar w:fldCharType="begin"/>
            </w:r>
            <w:r>
              <w:rPr>
                <w:noProof/>
              </w:rPr>
              <w:instrText xml:space="preserve"> PAGEREF _Toc236832355 \h </w:instrText>
            </w:r>
            <w:r>
              <w:rPr>
                <w:noProof/>
              </w:rPr>
            </w:r>
            <w:r>
              <w:rPr>
                <w:noProof/>
              </w:rPr>
              <w:fldChar w:fldCharType="separate"/>
            </w:r>
            <w:r>
              <w:rPr>
                <w:noProof/>
              </w:rPr>
              <w:t>1</w:t>
            </w:r>
            <w:r>
              <w:rPr>
                <w:noProof/>
              </w:rPr>
              <w:fldChar w:fldCharType="end"/>
            </w:r>
          </w:hyperlink>
        </w:p>
        <w:p w14:paraId="5F2100EC" w14:textId="77777777" w:rsidR="00607A0D" w:rsidRDefault="00607A0D">
          <w:pPr>
            <w:pStyle w:val="TOC1"/>
            <w:tabs>
              <w:tab w:val="right" w:leader="dot" w:pos="10030"/>
            </w:tabs>
            <w:rPr>
              <w:noProof/>
            </w:rPr>
          </w:pPr>
          <w:hyperlink w:anchor="_Toc236832356" w:history="1">
            <w:r>
              <w:rPr>
                <w:rStyle w:val="Hyperlink"/>
                <w:rFonts w:ascii="Times New Roman" w:eastAsia="IBM Plex Sans Arabic" w:hAnsi="Times New Roman" w:cs="Times New Roman" w:hint="cs"/>
                <w:b/>
                <w:bCs/>
                <w:noProof/>
                <w:rtl/>
              </w:rPr>
              <w:t>العقد</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الكامل</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والتعديلات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٢٠</w:t>
            </w:r>
            <w:r>
              <w:rPr>
                <w:noProof/>
              </w:rPr>
              <w:tab/>
            </w:r>
            <w:r>
              <w:rPr>
                <w:noProof/>
              </w:rPr>
              <w:fldChar w:fldCharType="begin"/>
            </w:r>
            <w:r>
              <w:rPr>
                <w:noProof/>
              </w:rPr>
              <w:instrText xml:space="preserve"> PAGEREF _Toc236832356 \h </w:instrText>
            </w:r>
            <w:r>
              <w:rPr>
                <w:noProof/>
              </w:rPr>
            </w:r>
            <w:r>
              <w:rPr>
                <w:noProof/>
              </w:rPr>
              <w:fldChar w:fldCharType="separate"/>
            </w:r>
            <w:r>
              <w:rPr>
                <w:noProof/>
              </w:rPr>
              <w:t>1</w:t>
            </w:r>
            <w:r>
              <w:rPr>
                <w:noProof/>
              </w:rPr>
              <w:fldChar w:fldCharType="end"/>
            </w:r>
          </w:hyperlink>
        </w:p>
        <w:p w14:paraId="102D4BE2" w14:textId="77777777" w:rsidR="00607A0D" w:rsidRDefault="00607A0D">
          <w:pPr>
            <w:pStyle w:val="TOC1"/>
            <w:tabs>
              <w:tab w:val="right" w:leader="dot" w:pos="10030"/>
            </w:tabs>
            <w:rPr>
              <w:noProof/>
            </w:rPr>
          </w:pPr>
          <w:hyperlink w:anchor="_Toc236832357" w:history="1">
            <w:r>
              <w:rPr>
                <w:rStyle w:val="Hyperlink"/>
                <w:b/>
                <w:bCs/>
                <w:noProof/>
              </w:rPr>
              <w:t>21. Notices</w:t>
            </w:r>
            <w:r>
              <w:rPr>
                <w:noProof/>
              </w:rPr>
              <w:tab/>
            </w:r>
            <w:r>
              <w:rPr>
                <w:noProof/>
              </w:rPr>
              <w:fldChar w:fldCharType="begin"/>
            </w:r>
            <w:r>
              <w:rPr>
                <w:noProof/>
              </w:rPr>
              <w:instrText xml:space="preserve"> PAGEREF _Toc236832357 \h </w:instrText>
            </w:r>
            <w:r>
              <w:rPr>
                <w:noProof/>
              </w:rPr>
            </w:r>
            <w:r>
              <w:rPr>
                <w:noProof/>
              </w:rPr>
              <w:fldChar w:fldCharType="separate"/>
            </w:r>
            <w:r>
              <w:rPr>
                <w:noProof/>
              </w:rPr>
              <w:t>1</w:t>
            </w:r>
            <w:r>
              <w:rPr>
                <w:noProof/>
              </w:rPr>
              <w:fldChar w:fldCharType="end"/>
            </w:r>
          </w:hyperlink>
        </w:p>
        <w:p w14:paraId="34C4D107" w14:textId="77777777" w:rsidR="00607A0D" w:rsidRDefault="00607A0D">
          <w:pPr>
            <w:pStyle w:val="TOC1"/>
            <w:tabs>
              <w:tab w:val="right" w:leader="dot" w:pos="10030"/>
            </w:tabs>
            <w:rPr>
              <w:noProof/>
            </w:rPr>
          </w:pPr>
          <w:hyperlink w:anchor="_Toc236832358" w:history="1">
            <w:r>
              <w:rPr>
                <w:rStyle w:val="Hyperlink"/>
                <w:rFonts w:ascii="Times New Roman" w:eastAsia="IBM Plex Sans Arabic" w:hAnsi="Times New Roman" w:cs="Times New Roman" w:hint="cs"/>
                <w:b/>
                <w:bCs/>
                <w:noProof/>
                <w:rtl/>
              </w:rPr>
              <w:t>الإخطارات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٢١</w:t>
            </w:r>
            <w:r>
              <w:rPr>
                <w:noProof/>
              </w:rPr>
              <w:tab/>
            </w:r>
            <w:r>
              <w:rPr>
                <w:noProof/>
              </w:rPr>
              <w:fldChar w:fldCharType="begin"/>
            </w:r>
            <w:r>
              <w:rPr>
                <w:noProof/>
              </w:rPr>
              <w:instrText xml:space="preserve"> PAGEREF _Toc236832358 \h </w:instrText>
            </w:r>
            <w:r>
              <w:rPr>
                <w:noProof/>
              </w:rPr>
            </w:r>
            <w:r>
              <w:rPr>
                <w:noProof/>
              </w:rPr>
              <w:fldChar w:fldCharType="separate"/>
            </w:r>
            <w:r>
              <w:rPr>
                <w:noProof/>
              </w:rPr>
              <w:t>1</w:t>
            </w:r>
            <w:r>
              <w:rPr>
                <w:noProof/>
              </w:rPr>
              <w:fldChar w:fldCharType="end"/>
            </w:r>
          </w:hyperlink>
        </w:p>
        <w:p w14:paraId="7D93CEA8" w14:textId="77777777" w:rsidR="00607A0D" w:rsidRDefault="00607A0D">
          <w:pPr>
            <w:pStyle w:val="TOC1"/>
            <w:tabs>
              <w:tab w:val="right" w:leader="dot" w:pos="10030"/>
            </w:tabs>
            <w:rPr>
              <w:noProof/>
            </w:rPr>
          </w:pPr>
          <w:hyperlink w:anchor="_Toc236832359" w:history="1">
            <w:r>
              <w:rPr>
                <w:rStyle w:val="Hyperlink"/>
                <w:b/>
                <w:bCs/>
                <w:noProof/>
              </w:rPr>
              <w:t>22. Signatures</w:t>
            </w:r>
            <w:r>
              <w:rPr>
                <w:noProof/>
              </w:rPr>
              <w:tab/>
            </w:r>
            <w:r>
              <w:rPr>
                <w:noProof/>
              </w:rPr>
              <w:fldChar w:fldCharType="begin"/>
            </w:r>
            <w:r>
              <w:rPr>
                <w:noProof/>
              </w:rPr>
              <w:instrText xml:space="preserve"> PAGEREF _Toc236832359 \h </w:instrText>
            </w:r>
            <w:r>
              <w:rPr>
                <w:noProof/>
              </w:rPr>
            </w:r>
            <w:r>
              <w:rPr>
                <w:noProof/>
              </w:rPr>
              <w:fldChar w:fldCharType="separate"/>
            </w:r>
            <w:r>
              <w:rPr>
                <w:noProof/>
              </w:rPr>
              <w:t>1</w:t>
            </w:r>
            <w:r>
              <w:rPr>
                <w:noProof/>
              </w:rPr>
              <w:fldChar w:fldCharType="end"/>
            </w:r>
          </w:hyperlink>
        </w:p>
        <w:p w14:paraId="2A6C106C" w14:textId="77777777" w:rsidR="00607A0D" w:rsidRDefault="00607A0D">
          <w:pPr>
            <w:pStyle w:val="TOC1"/>
            <w:tabs>
              <w:tab w:val="right" w:leader="dot" w:pos="10030"/>
            </w:tabs>
            <w:rPr>
              <w:noProof/>
            </w:rPr>
          </w:pPr>
          <w:hyperlink w:anchor="_Toc236832360" w:history="1">
            <w:r>
              <w:rPr>
                <w:rStyle w:val="Hyperlink"/>
                <w:rFonts w:ascii="Times New Roman" w:eastAsia="IBM Plex Sans Arabic" w:hAnsi="Times New Roman" w:cs="Times New Roman" w:hint="cs"/>
                <w:b/>
                <w:bCs/>
                <w:noProof/>
                <w:rtl/>
              </w:rPr>
              <w:t>التوقيعات</w:t>
            </w:r>
            <w:r>
              <w:rPr>
                <w:rStyle w:val="Hyperlink"/>
                <w:rFonts w:ascii="IBM Plex Sans Arabic" w:eastAsia="IBM Plex Sans Arabic" w:hAnsi="IBM Plex Sans Arabic" w:cs="IBM Plex Sans Arabic"/>
                <w:b/>
                <w:bCs/>
                <w:noProof/>
                <w:rtl/>
              </w:rPr>
              <w:t xml:space="preserve"> .</w:t>
            </w:r>
            <w:r>
              <w:rPr>
                <w:rStyle w:val="Hyperlink"/>
                <w:rFonts w:ascii="Times New Roman" w:eastAsia="IBM Plex Sans Arabic" w:hAnsi="Times New Roman" w:cs="Times New Roman" w:hint="cs"/>
                <w:b/>
                <w:bCs/>
                <w:noProof/>
                <w:rtl/>
              </w:rPr>
              <w:t>٢٢</w:t>
            </w:r>
            <w:r>
              <w:rPr>
                <w:noProof/>
              </w:rPr>
              <w:tab/>
            </w:r>
            <w:r>
              <w:rPr>
                <w:noProof/>
              </w:rPr>
              <w:fldChar w:fldCharType="begin"/>
            </w:r>
            <w:r>
              <w:rPr>
                <w:noProof/>
              </w:rPr>
              <w:instrText xml:space="preserve"> PAGEREF _Toc236832360 \h </w:instrText>
            </w:r>
            <w:r>
              <w:rPr>
                <w:noProof/>
              </w:rPr>
            </w:r>
            <w:r>
              <w:rPr>
                <w:noProof/>
              </w:rPr>
              <w:fldChar w:fldCharType="separate"/>
            </w:r>
            <w:r>
              <w:rPr>
                <w:noProof/>
              </w:rPr>
              <w:t>1</w:t>
            </w:r>
            <w:r>
              <w:rPr>
                <w:noProof/>
              </w:rPr>
              <w:fldChar w:fldCharType="end"/>
            </w:r>
          </w:hyperlink>
        </w:p>
        <w:p w14:paraId="0EBECFC9" w14:textId="77777777" w:rsidR="00EE692C" w:rsidRDefault="00000000">
          <w:r>
            <w:fldChar w:fldCharType="end"/>
          </w:r>
        </w:p>
      </w:sdtContent>
    </w:sdt>
    <w:p w14:paraId="49360F9C" w14:textId="77777777" w:rsidR="00EE692C" w:rsidRDefault="00000000">
      <w:r>
        <w:br w:type="page"/>
      </w:r>
    </w:p>
    <w:p w14:paraId="3A01B95A" w14:textId="77777777" w:rsidR="00EE692C" w:rsidRDefault="00EE692C">
      <w:pPr>
        <w:sectPr w:rsidR="00EE692C">
          <w:pgSz w:w="12240" w:h="15840"/>
          <w:pgMar w:top="1000" w:right="1100" w:bottom="1000" w:left="1100" w:header="708" w:footer="708" w:gutter="0"/>
          <w:cols w:space="720"/>
          <w:docGrid w:linePitch="360"/>
        </w:sectPr>
      </w:pPr>
    </w:p>
    <w:p w14:paraId="6F3077D3" w14:textId="77777777" w:rsidR="00EE692C" w:rsidRDefault="00000000">
      <w:pPr>
        <w:pStyle w:val="Heading1"/>
        <w:spacing w:before="320" w:after="120"/>
      </w:pPr>
      <w:bookmarkStart w:id="1" w:name="_Toc236832307"/>
      <w:r>
        <w:rPr>
          <w:b/>
          <w:bCs/>
          <w:color w:val="16535B"/>
        </w:rPr>
        <w:lastRenderedPageBreak/>
        <w:t>1. Parties to the Agreement</w:t>
      </w:r>
      <w:bookmarkEnd w:id="1"/>
    </w:p>
    <w:p w14:paraId="3171DA75" w14:textId="77777777" w:rsidR="00EE692C" w:rsidRDefault="00000000">
      <w:pPr>
        <w:spacing w:after="160" w:line="280" w:lineRule="auto"/>
        <w:jc w:val="both"/>
      </w:pPr>
      <w:r>
        <w:t>This Diminishing Musharakah Agreement ("Agreement") is entered into on {{Deal.ExecutionDate}} in the city of Doha, State of Qatar, by and between the following parties:</w:t>
      </w:r>
    </w:p>
    <w:p w14:paraId="77D67745" w14:textId="77777777" w:rsidR="00EE692C" w:rsidRDefault="00000000">
      <w:pPr>
        <w:pStyle w:val="Heading1"/>
        <w:bidi/>
        <w:spacing w:before="40" w:after="200"/>
        <w:jc w:val="right"/>
      </w:pPr>
      <w:bookmarkStart w:id="2" w:name="_Toc236832308"/>
      <w:r>
        <w:rPr>
          <w:rFonts w:ascii="IBM Plex Sans Arabic" w:eastAsia="IBM Plex Sans Arabic" w:hAnsi="IBM Plex Sans Arabic" w:cs="IBM Plex Sans Arabic"/>
          <w:b/>
          <w:bCs/>
          <w:color w:val="16535B"/>
          <w:rtl/>
        </w:rPr>
        <w:t>أطراف العقد .١</w:t>
      </w:r>
      <w:bookmarkEnd w:id="2"/>
    </w:p>
    <w:p w14:paraId="79AA77D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أُبرم عقد المشاركة المتناقصة هذا ("العقد") في يوم {{Deal.ExecutionDate}} في مدينة الدوحة، دولة قطر، بين كل من الطرفين الآتيين:</w:t>
      </w:r>
    </w:p>
    <w:p w14:paraId="1BC3808B" w14:textId="77777777" w:rsidR="00EE692C" w:rsidRDefault="00EE692C">
      <w:pPr>
        <w:pBdr>
          <w:bottom w:val="single" w:sz="6" w:space="1" w:color="D8E4E1"/>
        </w:pBdr>
        <w:spacing w:before="40" w:after="200"/>
      </w:pPr>
    </w:p>
    <w:p w14:paraId="36271276" w14:textId="77777777" w:rsidR="00EE692C" w:rsidRDefault="00000000">
      <w:pPr>
        <w:pStyle w:val="Heading2"/>
        <w:spacing w:before="320" w:after="120"/>
      </w:pPr>
      <w:bookmarkStart w:id="3" w:name="_Toc236832309"/>
      <w:r>
        <w:rPr>
          <w:b/>
          <w:bCs/>
          <w:color w:val="16535B"/>
        </w:rPr>
        <w:t>First Party (Owner-Co / Financier)</w:t>
      </w:r>
      <w:bookmarkEnd w:id="3"/>
    </w:p>
    <w:p w14:paraId="13FC1B07" w14:textId="77777777" w:rsidR="00EE692C" w:rsidRDefault="00000000">
      <w:pPr>
        <w:spacing w:after="160" w:line="280" w:lineRule="auto"/>
        <w:jc w:val="both"/>
      </w:pPr>
      <w:r>
        <w:t>Blox, a company duly incorporated under the laws of the State of Qatar, with its registered office at {{BloX.RegisteredAddress}}, Doha, Qatar, Commercial Registration No. 17-2820-69, represented by {{BloX.SignatoryName}} in the capacity of {{BloX.SignatoryTitle}}. (Hereinafter: "Blox" or "First Party")</w:t>
      </w:r>
    </w:p>
    <w:p w14:paraId="49A58D12" w14:textId="77777777" w:rsidR="00EE692C" w:rsidRDefault="00000000">
      <w:pPr>
        <w:pStyle w:val="Heading2"/>
        <w:bidi/>
        <w:spacing w:before="40" w:after="200"/>
        <w:jc w:val="right"/>
      </w:pPr>
      <w:bookmarkStart w:id="4" w:name="_Toc236832310"/>
      <w:r>
        <w:rPr>
          <w:rFonts w:ascii="IBM Plex Sans Arabic" w:eastAsia="IBM Plex Sans Arabic" w:hAnsi="IBM Plex Sans Arabic" w:cs="IBM Plex Sans Arabic"/>
          <w:b/>
          <w:bCs/>
          <w:color w:val="16535B"/>
          <w:rtl/>
        </w:rPr>
        <w:t>الطرف الأول (الممول / الشريك)</w:t>
      </w:r>
      <w:bookmarkEnd w:id="4"/>
    </w:p>
    <w:p w14:paraId="6F21C7D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بلوكس، شركة مؤسسة قانوناً بموجب قوانين دولة قطر، مقرها المسجل في {{BloX.RegisteredAddress}}، الدوحة، قطر، سجل تجاري رقم 17-2820-69، ويمثلها {{BloX.SignatoryName}} بصفته {{BloX.SignatoryTitle}}. (ويشار إليه بـ "بلوكس" أو "الطرف الأول")</w:t>
      </w:r>
    </w:p>
    <w:p w14:paraId="7DFCC7A4" w14:textId="77777777" w:rsidR="00EE692C" w:rsidRDefault="00000000">
      <w:pPr>
        <w:pStyle w:val="Heading2"/>
        <w:spacing w:before="320" w:after="120"/>
      </w:pPr>
      <w:bookmarkStart w:id="5" w:name="_Toc236832311"/>
      <w:r>
        <w:rPr>
          <w:b/>
          <w:bCs/>
          <w:color w:val="16535B"/>
        </w:rPr>
        <w:t>Second Party (Owner-Co / Customer)</w:t>
      </w:r>
      <w:bookmarkEnd w:id="5"/>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2EF586D4" w14:textId="77777777">
        <w:tc>
          <w:tcPr>
            <w:tcW w:w="3200" w:type="dxa"/>
            <w:shd w:val="clear" w:color="auto" w:fill="EAF6F4"/>
            <w:tcMar>
              <w:top w:w="100" w:type="dxa"/>
              <w:left w:w="120" w:type="dxa"/>
              <w:bottom w:w="100" w:type="dxa"/>
              <w:right w:w="120" w:type="dxa"/>
            </w:tcMar>
            <w:vAlign w:val="center"/>
          </w:tcPr>
          <w:p w14:paraId="6583C980" w14:textId="77777777" w:rsidR="00EE692C" w:rsidRDefault="00000000">
            <w:r>
              <w:rPr>
                <w:b/>
                <w:bCs/>
                <w:color w:val="16535B"/>
                <w:sz w:val="20"/>
                <w:szCs w:val="20"/>
              </w:rPr>
              <w:t>Full Name</w:t>
            </w:r>
          </w:p>
        </w:tc>
        <w:tc>
          <w:tcPr>
            <w:tcW w:w="6400" w:type="dxa"/>
            <w:tcMar>
              <w:top w:w="100" w:type="dxa"/>
              <w:left w:w="120" w:type="dxa"/>
              <w:bottom w:w="100" w:type="dxa"/>
              <w:right w:w="120" w:type="dxa"/>
            </w:tcMar>
          </w:tcPr>
          <w:p w14:paraId="0BD61523" w14:textId="77777777" w:rsidR="00EE692C" w:rsidRDefault="00000000">
            <w:r>
              <w:rPr>
                <w:sz w:val="20"/>
                <w:szCs w:val="20"/>
              </w:rPr>
              <w:t>{{Customer.FullNameEN}}</w:t>
            </w:r>
          </w:p>
        </w:tc>
      </w:tr>
      <w:tr w:rsidR="00EE692C" w14:paraId="192AB21A" w14:textId="77777777">
        <w:tc>
          <w:tcPr>
            <w:tcW w:w="3200" w:type="dxa"/>
            <w:tcMar>
              <w:top w:w="100" w:type="dxa"/>
              <w:left w:w="120" w:type="dxa"/>
              <w:bottom w:w="100" w:type="dxa"/>
              <w:right w:w="120" w:type="dxa"/>
            </w:tcMar>
            <w:vAlign w:val="center"/>
          </w:tcPr>
          <w:p w14:paraId="1C4245D0" w14:textId="77777777" w:rsidR="00EE692C" w:rsidRDefault="00000000">
            <w:r>
              <w:rPr>
                <w:b/>
                <w:bCs/>
                <w:color w:val="16535B"/>
                <w:sz w:val="20"/>
                <w:szCs w:val="20"/>
              </w:rPr>
              <w:t>QID / Passport No.</w:t>
            </w:r>
          </w:p>
        </w:tc>
        <w:tc>
          <w:tcPr>
            <w:tcW w:w="6400" w:type="dxa"/>
            <w:tcMar>
              <w:top w:w="100" w:type="dxa"/>
              <w:left w:w="120" w:type="dxa"/>
              <w:bottom w:w="100" w:type="dxa"/>
              <w:right w:w="120" w:type="dxa"/>
            </w:tcMar>
          </w:tcPr>
          <w:p w14:paraId="357D0B63" w14:textId="77777777" w:rsidR="00EE692C" w:rsidRDefault="00000000">
            <w:r>
              <w:rPr>
                <w:sz w:val="20"/>
                <w:szCs w:val="20"/>
              </w:rPr>
              <w:t>{{Customer.QID}}</w:t>
            </w:r>
          </w:p>
        </w:tc>
      </w:tr>
      <w:tr w:rsidR="00EE692C" w14:paraId="797B5E8B" w14:textId="77777777">
        <w:tc>
          <w:tcPr>
            <w:tcW w:w="3200" w:type="dxa"/>
            <w:shd w:val="clear" w:color="auto" w:fill="EAF6F4"/>
            <w:tcMar>
              <w:top w:w="100" w:type="dxa"/>
              <w:left w:w="120" w:type="dxa"/>
              <w:bottom w:w="100" w:type="dxa"/>
              <w:right w:w="120" w:type="dxa"/>
            </w:tcMar>
            <w:vAlign w:val="center"/>
          </w:tcPr>
          <w:p w14:paraId="15FF60D2" w14:textId="77777777" w:rsidR="00EE692C" w:rsidRDefault="00000000">
            <w:r>
              <w:rPr>
                <w:b/>
                <w:bCs/>
                <w:color w:val="16535B"/>
                <w:sz w:val="20"/>
                <w:szCs w:val="20"/>
              </w:rPr>
              <w:t>Address</w:t>
            </w:r>
          </w:p>
        </w:tc>
        <w:tc>
          <w:tcPr>
            <w:tcW w:w="6400" w:type="dxa"/>
            <w:tcMar>
              <w:top w:w="100" w:type="dxa"/>
              <w:left w:w="120" w:type="dxa"/>
              <w:bottom w:w="100" w:type="dxa"/>
              <w:right w:w="120" w:type="dxa"/>
            </w:tcMar>
          </w:tcPr>
          <w:p w14:paraId="013215CF" w14:textId="77777777" w:rsidR="00EE692C" w:rsidRDefault="00000000">
            <w:r>
              <w:rPr>
                <w:sz w:val="20"/>
                <w:szCs w:val="20"/>
              </w:rPr>
              <w:t>{{Customer.NationalAddress}}</w:t>
            </w:r>
          </w:p>
        </w:tc>
      </w:tr>
      <w:tr w:rsidR="00EE692C" w14:paraId="715A0D1C" w14:textId="77777777">
        <w:tc>
          <w:tcPr>
            <w:tcW w:w="3200" w:type="dxa"/>
            <w:tcMar>
              <w:top w:w="100" w:type="dxa"/>
              <w:left w:w="120" w:type="dxa"/>
              <w:bottom w:w="100" w:type="dxa"/>
              <w:right w:w="120" w:type="dxa"/>
            </w:tcMar>
            <w:vAlign w:val="center"/>
          </w:tcPr>
          <w:p w14:paraId="0CE6EB1E" w14:textId="77777777" w:rsidR="00EE692C" w:rsidRDefault="00000000">
            <w:r>
              <w:rPr>
                <w:b/>
                <w:bCs/>
                <w:color w:val="16535B"/>
                <w:sz w:val="20"/>
                <w:szCs w:val="20"/>
              </w:rPr>
              <w:t>Phone / Email</w:t>
            </w:r>
          </w:p>
        </w:tc>
        <w:tc>
          <w:tcPr>
            <w:tcW w:w="6400" w:type="dxa"/>
            <w:tcMar>
              <w:top w:w="100" w:type="dxa"/>
              <w:left w:w="120" w:type="dxa"/>
              <w:bottom w:w="100" w:type="dxa"/>
              <w:right w:w="120" w:type="dxa"/>
            </w:tcMar>
          </w:tcPr>
          <w:p w14:paraId="11D69D37" w14:textId="77777777" w:rsidR="00EE692C" w:rsidRDefault="00000000">
            <w:r>
              <w:rPr>
                <w:sz w:val="20"/>
                <w:szCs w:val="20"/>
              </w:rPr>
              <w:t>{{Customer.PhoneEmail}}</w:t>
            </w:r>
          </w:p>
        </w:tc>
      </w:tr>
    </w:tbl>
    <w:p w14:paraId="26B5EBFA" w14:textId="77777777" w:rsidR="00EE692C" w:rsidRDefault="00EE692C">
      <w:pPr>
        <w:spacing w:after="160"/>
      </w:pPr>
    </w:p>
    <w:p w14:paraId="2C2A9297" w14:textId="77777777" w:rsidR="00EE692C" w:rsidRDefault="00000000">
      <w:pPr>
        <w:pStyle w:val="Heading2"/>
        <w:bidi/>
        <w:spacing w:before="40" w:after="200"/>
        <w:jc w:val="right"/>
      </w:pPr>
      <w:bookmarkStart w:id="6" w:name="_Toc236832312"/>
      <w:r>
        <w:rPr>
          <w:rFonts w:ascii="IBM Plex Sans Arabic" w:eastAsia="IBM Plex Sans Arabic" w:hAnsi="IBM Plex Sans Arabic" w:cs="IBM Plex Sans Arabic"/>
          <w:b/>
          <w:bCs/>
          <w:color w:val="16535B"/>
          <w:rtl/>
        </w:rPr>
        <w:t>الطرف الثاني (العميل / الشريك)</w:t>
      </w:r>
      <w:bookmarkEnd w:id="6"/>
    </w:p>
    <w:p w14:paraId="78466A3E"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(ويشار إليه بـ "العميل" أو "الطرف الثاني"). يشار إلى الطرف الأول والطرف الثاني معاً بـ "الطرفين" وكل منهما منفرداً بـ "الطرف".</w:t>
      </w:r>
    </w:p>
    <w:p w14:paraId="4066BFFD" w14:textId="77777777" w:rsidR="00EE692C" w:rsidRDefault="00EE692C">
      <w:pPr>
        <w:pBdr>
          <w:bottom w:val="single" w:sz="6" w:space="1" w:color="D8E4E1"/>
        </w:pBdr>
        <w:spacing w:before="40" w:after="200"/>
      </w:pPr>
    </w:p>
    <w:p w14:paraId="40E0234E" w14:textId="77777777" w:rsidR="00EE692C" w:rsidRDefault="00000000">
      <w:pPr>
        <w:pStyle w:val="Heading1"/>
        <w:spacing w:before="320" w:after="120"/>
      </w:pPr>
      <w:bookmarkStart w:id="7" w:name="_Toc236832313"/>
      <w:r>
        <w:rPr>
          <w:b/>
          <w:bCs/>
          <w:color w:val="16535B"/>
        </w:rPr>
        <w:t>2. Definitions and Interpretation</w:t>
      </w:r>
      <w:bookmarkEnd w:id="7"/>
    </w:p>
    <w:p w14:paraId="71B72B5E" w14:textId="77777777" w:rsidR="00EE692C" w:rsidRDefault="00000000">
      <w:pPr>
        <w:pStyle w:val="Heading1"/>
        <w:bidi/>
        <w:spacing w:before="40" w:after="200"/>
        <w:jc w:val="right"/>
      </w:pPr>
      <w:bookmarkStart w:id="8" w:name="_Toc236832314"/>
      <w:r>
        <w:rPr>
          <w:rFonts w:ascii="IBM Plex Sans Arabic" w:eastAsia="IBM Plex Sans Arabic" w:hAnsi="IBM Plex Sans Arabic" w:cs="IBM Plex Sans Arabic"/>
          <w:b/>
          <w:bCs/>
          <w:color w:val="16535B"/>
          <w:rtl/>
        </w:rPr>
        <w:t>التعريفات والتفسير .٢</w:t>
      </w:r>
      <w:bookmarkEnd w:id="8"/>
    </w:p>
    <w:p w14:paraId="1B07B2A8" w14:textId="77777777" w:rsidR="00EE692C" w:rsidRDefault="00EE692C">
      <w:pPr>
        <w:spacing w:after="160"/>
      </w:pPr>
    </w:p>
    <w:p w14:paraId="115D941A" w14:textId="77777777" w:rsidR="00EE692C" w:rsidRDefault="00000000">
      <w:pPr>
        <w:spacing w:after="160" w:line="280" w:lineRule="auto"/>
        <w:jc w:val="both"/>
      </w:pPr>
      <w:r>
        <w:t>In this Agreement, unless the context otherwise requires, the following terms shall have the meanings set out below:</w:t>
      </w:r>
    </w:p>
    <w:p w14:paraId="4E075E58" w14:textId="77777777" w:rsidR="00EE692C" w:rsidRDefault="00000000">
      <w:pPr>
        <w:spacing w:after="140" w:line="280" w:lineRule="auto"/>
        <w:jc w:val="both"/>
      </w:pPr>
      <w:r>
        <w:rPr>
          <w:b/>
          <w:bCs/>
          <w:color w:val="16535B"/>
        </w:rPr>
        <w:lastRenderedPageBreak/>
        <w:t xml:space="preserve">"Asset" </w:t>
      </w:r>
      <w:r>
        <w:t>means the motor vehicle described in Clause 4, together with all parts, accessories, registration documents, and title relating to it.</w:t>
      </w:r>
    </w:p>
    <w:p w14:paraId="0BBB38F4" w14:textId="77777777" w:rsidR="00EE692C" w:rsidRDefault="00000000">
      <w:pPr>
        <w:spacing w:after="140" w:line="280" w:lineRule="auto"/>
        <w:jc w:val="both"/>
      </w:pPr>
      <w:r>
        <w:rPr>
          <w:b/>
          <w:bCs/>
          <w:color w:val="16535B"/>
        </w:rPr>
        <w:t xml:space="preserve">"Business Day" </w:t>
      </w:r>
      <w:r>
        <w:t>means any day other than a Friday, Saturday, or official public holiday in the State of Qatar.</w:t>
      </w:r>
    </w:p>
    <w:p w14:paraId="28849A18" w14:textId="77777777" w:rsidR="00EE692C" w:rsidRDefault="00000000">
      <w:pPr>
        <w:spacing w:after="140" w:line="280" w:lineRule="auto"/>
        <w:jc w:val="both"/>
      </w:pPr>
      <w:r>
        <w:rPr>
          <w:b/>
          <w:bCs/>
          <w:color w:val="16535B"/>
        </w:rPr>
        <w:t xml:space="preserve">"Ijarah Agreement" </w:t>
      </w:r>
      <w:r>
        <w:t>means the lease agreement referred to in Clause 6, under which the First Party leases its undivided share in the Asset to the Second Party.</w:t>
      </w:r>
    </w:p>
    <w:p w14:paraId="02186011" w14:textId="77777777" w:rsidR="00EE692C" w:rsidRDefault="00000000">
      <w:pPr>
        <w:spacing w:after="140" w:line="280" w:lineRule="auto"/>
        <w:jc w:val="both"/>
      </w:pPr>
      <w:r>
        <w:rPr>
          <w:b/>
          <w:bCs/>
          <w:color w:val="16535B"/>
        </w:rPr>
        <w:t xml:space="preserve">"QCB" </w:t>
      </w:r>
      <w:r>
        <w:t>means the Qatar Central Bank.</w:t>
      </w:r>
    </w:p>
    <w:p w14:paraId="7C2A1B61" w14:textId="77777777" w:rsidR="00EE692C" w:rsidRDefault="00000000">
      <w:pPr>
        <w:spacing w:after="140" w:line="280" w:lineRule="auto"/>
        <w:jc w:val="both"/>
      </w:pPr>
      <w:r>
        <w:rPr>
          <w:b/>
          <w:bCs/>
          <w:color w:val="16535B"/>
        </w:rPr>
        <w:t xml:space="preserve">"Shariah Supervisory Board" </w:t>
      </w:r>
      <w:r>
        <w:t>means the Shariah supervisory board constituted by Blox to review and supervise the Shariah compliance of its products, including this Agreement.</w:t>
      </w:r>
    </w:p>
    <w:p w14:paraId="766942B6" w14:textId="77777777" w:rsidR="00EE692C" w:rsidRDefault="00000000">
      <w:pPr>
        <w:spacing w:after="140" w:line="280" w:lineRule="auto"/>
        <w:jc w:val="both"/>
      </w:pPr>
      <w:r>
        <w:rPr>
          <w:b/>
          <w:bCs/>
          <w:color w:val="16535B"/>
        </w:rPr>
        <w:t xml:space="preserve">"Takaful" </w:t>
      </w:r>
      <w:r>
        <w:t>means Islamic insurance coverage over the Asset procured in accordance with Clause 8.</w:t>
      </w:r>
    </w:p>
    <w:p w14:paraId="3F31353B" w14:textId="77777777" w:rsidR="00EE692C" w:rsidRDefault="00000000">
      <w:pPr>
        <w:spacing w:after="140" w:line="280" w:lineRule="auto"/>
        <w:jc w:val="both"/>
      </w:pPr>
      <w:r>
        <w:rPr>
          <w:b/>
          <w:bCs/>
          <w:color w:val="16535B"/>
        </w:rPr>
        <w:t xml:space="preserve">"Unit" </w:t>
      </w:r>
      <w:r>
        <w:t>means one of the equal units into which the First Party's ownership share in the Asset is divided pursuant to Clause 7.1.</w:t>
      </w:r>
    </w:p>
    <w:p w14:paraId="5DD3EEAD" w14:textId="77777777" w:rsidR="00EE692C" w:rsidRDefault="00000000">
      <w:pPr>
        <w:spacing w:after="140" w:line="280" w:lineRule="auto"/>
        <w:jc w:val="both"/>
      </w:pPr>
      <w:r>
        <w:rPr>
          <w:b/>
          <w:bCs/>
          <w:color w:val="16535B"/>
        </w:rPr>
        <w:t xml:space="preserve">"Force Majeure Event" </w:t>
      </w:r>
      <w:r>
        <w:t>means has the meaning given to it in Clause 13.</w:t>
      </w:r>
    </w:p>
    <w:p w14:paraId="26783F50" w14:textId="77777777" w:rsidR="00EE692C" w:rsidRDefault="00000000">
      <w:pPr>
        <w:spacing w:after="140" w:line="280" w:lineRule="auto"/>
        <w:jc w:val="both"/>
      </w:pPr>
      <w:r>
        <w:rPr>
          <w:b/>
          <w:bCs/>
          <w:color w:val="16535B"/>
        </w:rPr>
        <w:t xml:space="preserve">"Wa'd" </w:t>
      </w:r>
      <w:r>
        <w:t>means the separate unilateral Promise to Purchase given by the Second Party in favour of the First Party in respect of the Units, as referred to in Clause 7.1.</w:t>
      </w:r>
    </w:p>
    <w:p w14:paraId="6E219915" w14:textId="77777777" w:rsidR="00EE692C" w:rsidRDefault="00000000">
      <w:pPr>
        <w:spacing w:after="140" w:line="280" w:lineRule="auto"/>
        <w:jc w:val="both"/>
      </w:pPr>
      <w:r>
        <w:rPr>
          <w:b/>
          <w:bCs/>
          <w:color w:val="16535B"/>
        </w:rPr>
        <w:t xml:space="preserve">"PDPPL" </w:t>
      </w:r>
      <w:r>
        <w:t>means Law No. (13) of 2016 Concerning Personal Data Privacy Protection of the State of Qatar, as amended from time to time.</w:t>
      </w:r>
    </w:p>
    <w:p w14:paraId="19FA9D3D" w14:textId="77777777" w:rsidR="00EE692C" w:rsidRDefault="00EE692C">
      <w:pPr>
        <w:spacing w:after="160"/>
      </w:pPr>
    </w:p>
    <w:p w14:paraId="3E6EE223"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المركبة الموصوفة في البند الرابع، بما في ذلك جميع الأجزاء والملحقات ووثائق التسجيل والملكية المتعلقة بها. </w:t>
      </w:r>
      <w:r>
        <w:rPr>
          <w:rFonts w:ascii="IBM Plex Sans Arabic" w:eastAsia="IBM Plex Sans Arabic" w:hAnsi="IBM Plex Sans Arabic" w:cs="IBM Plex Sans Arabic"/>
          <w:b/>
          <w:bCs/>
          <w:color w:val="16535B"/>
          <w:sz w:val="22"/>
          <w:szCs w:val="22"/>
          <w:rtl/>
        </w:rPr>
        <w:t>"الأصل"</w:t>
      </w:r>
    </w:p>
    <w:p w14:paraId="3EE61C4D"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أي يوم بخلاف الجمعة أو السبت أو العطلات الرسمية المعتمدة في دولة قطر. </w:t>
      </w:r>
      <w:r>
        <w:rPr>
          <w:rFonts w:ascii="IBM Plex Sans Arabic" w:eastAsia="IBM Plex Sans Arabic" w:hAnsi="IBM Plex Sans Arabic" w:cs="IBM Plex Sans Arabic"/>
          <w:b/>
          <w:bCs/>
          <w:color w:val="16535B"/>
          <w:sz w:val="22"/>
          <w:szCs w:val="22"/>
          <w:rtl/>
        </w:rPr>
        <w:t>"يوم عمل"</w:t>
      </w:r>
    </w:p>
    <w:p w14:paraId="1CD889AC"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عقد الإيجار المشار إليه في البند السادس، الذي يؤجر بموجبه الطرف الأول حصته الشائعة في الأصل للطرف الثاني. </w:t>
      </w:r>
      <w:r>
        <w:rPr>
          <w:rFonts w:ascii="IBM Plex Sans Arabic" w:eastAsia="IBM Plex Sans Arabic" w:hAnsi="IBM Plex Sans Arabic" w:cs="IBM Plex Sans Arabic"/>
          <w:b/>
          <w:bCs/>
          <w:color w:val="16535B"/>
          <w:sz w:val="22"/>
          <w:szCs w:val="22"/>
          <w:rtl/>
        </w:rPr>
        <w:t>"عقد الإجارة"</w:t>
      </w:r>
    </w:p>
    <w:p w14:paraId="3A263AD7"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مصرف قطر المركزي. </w:t>
      </w:r>
      <w:r>
        <w:rPr>
          <w:rFonts w:ascii="IBM Plex Sans Arabic" w:eastAsia="IBM Plex Sans Arabic" w:hAnsi="IBM Plex Sans Arabic" w:cs="IBM Plex Sans Arabic"/>
          <w:b/>
          <w:bCs/>
          <w:color w:val="16535B"/>
          <w:sz w:val="22"/>
          <w:szCs w:val="22"/>
          <w:rtl/>
        </w:rPr>
        <w:t>"مصرف قطر المركزي"</w:t>
      </w:r>
    </w:p>
    <w:p w14:paraId="67AC1C26"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هيئة الرقابة الشرعية التي شكّلتها بلوكس لمراجعة والإشراف على الامتثال الشرعي لمنتجاتها، بما في ذلك هذا العقد. </w:t>
      </w:r>
      <w:r>
        <w:rPr>
          <w:rFonts w:ascii="IBM Plex Sans Arabic" w:eastAsia="IBM Plex Sans Arabic" w:hAnsi="IBM Plex Sans Arabic" w:cs="IBM Plex Sans Arabic"/>
          <w:b/>
          <w:bCs/>
          <w:color w:val="16535B"/>
          <w:sz w:val="22"/>
          <w:szCs w:val="22"/>
          <w:rtl/>
        </w:rPr>
        <w:t>"هيئة الرقابة الشرعية"</w:t>
      </w:r>
    </w:p>
    <w:p w14:paraId="50C0DA09"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تغطية التأمين الإسلامي على الأصل التي يتم الحصول عليها وفقاً للبند الثامن. </w:t>
      </w:r>
      <w:r>
        <w:rPr>
          <w:rFonts w:ascii="IBM Plex Sans Arabic" w:eastAsia="IBM Plex Sans Arabic" w:hAnsi="IBM Plex Sans Arabic" w:cs="IBM Plex Sans Arabic"/>
          <w:b/>
          <w:bCs/>
          <w:color w:val="16535B"/>
          <w:sz w:val="22"/>
          <w:szCs w:val="22"/>
          <w:rtl/>
        </w:rPr>
        <w:t>"التكافل"</w:t>
      </w:r>
    </w:p>
    <w:p w14:paraId="11796B41"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إحدى الوحدات المتساوية التي تُقسَّم إليها حصة ملكية الطرف الأول في الأصل عملاً بالبند 7.1. </w:t>
      </w:r>
      <w:r>
        <w:rPr>
          <w:rFonts w:ascii="IBM Plex Sans Arabic" w:eastAsia="IBM Plex Sans Arabic" w:hAnsi="IBM Plex Sans Arabic" w:cs="IBM Plex Sans Arabic"/>
          <w:b/>
          <w:bCs/>
          <w:color w:val="16535B"/>
          <w:sz w:val="22"/>
          <w:szCs w:val="22"/>
          <w:rtl/>
        </w:rPr>
        <w:t>"الوحدة"</w:t>
      </w:r>
    </w:p>
    <w:p w14:paraId="7A146A3C"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له المعنى المحدد له في البند الثالث عشر. </w:t>
      </w:r>
      <w:r>
        <w:rPr>
          <w:rFonts w:ascii="IBM Plex Sans Arabic" w:eastAsia="IBM Plex Sans Arabic" w:hAnsi="IBM Plex Sans Arabic" w:cs="IBM Plex Sans Arabic"/>
          <w:b/>
          <w:bCs/>
          <w:color w:val="16535B"/>
          <w:sz w:val="22"/>
          <w:szCs w:val="22"/>
          <w:rtl/>
        </w:rPr>
        <w:t>"حدث القوة القاهرة"</w:t>
      </w:r>
    </w:p>
    <w:p w14:paraId="7C3C86E4"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وعد الشراء الأحادي المنفصل المقدَّم من الطرف الثاني لصالح الطرف الأول فيما يتعلق بالوحدات، على النحو المشار إليه في البند 7.1. </w:t>
      </w:r>
      <w:r>
        <w:rPr>
          <w:rFonts w:ascii="IBM Plex Sans Arabic" w:eastAsia="IBM Plex Sans Arabic" w:hAnsi="IBM Plex Sans Arabic" w:cs="IBM Plex Sans Arabic"/>
          <w:b/>
          <w:bCs/>
          <w:color w:val="16535B"/>
          <w:sz w:val="22"/>
          <w:szCs w:val="22"/>
          <w:rtl/>
        </w:rPr>
        <w:t>"الوعد"</w:t>
      </w:r>
    </w:p>
    <w:p w14:paraId="390FC5D9" w14:textId="77777777" w:rsidR="00EE692C" w:rsidRDefault="00000000">
      <w:pPr>
        <w:bidi/>
        <w:spacing w:after="200" w:line="300" w:lineRule="auto"/>
        <w:jc w:val="both"/>
      </w:pPr>
      <w:r>
        <w:rPr>
          <w:rFonts w:ascii="IBM Plex Sans Arabic" w:eastAsia="IBM Plex Sans Arabic" w:hAnsi="IBM Plex Sans Arabic" w:cs="IBM Plex Sans Arabic"/>
          <w:sz w:val="22"/>
          <w:szCs w:val="22"/>
          <w:rtl/>
        </w:rPr>
        <w:t xml:space="preserve">القانون رقم (13) لسنة 2016 بشأن حماية خصوصية البيانات الشخصية في دولة قطر، وتعديلاته. </w:t>
      </w:r>
      <w:r>
        <w:rPr>
          <w:rFonts w:ascii="IBM Plex Sans Arabic" w:eastAsia="IBM Plex Sans Arabic" w:hAnsi="IBM Plex Sans Arabic" w:cs="IBM Plex Sans Arabic"/>
          <w:b/>
          <w:bCs/>
          <w:color w:val="16535B"/>
          <w:sz w:val="22"/>
          <w:szCs w:val="22"/>
          <w:rtl/>
        </w:rPr>
        <w:t>"قانون حماية الخصوصية"</w:t>
      </w:r>
    </w:p>
    <w:p w14:paraId="2D25FAC3" w14:textId="77777777" w:rsidR="00EE692C" w:rsidRDefault="00EE692C">
      <w:pPr>
        <w:pBdr>
          <w:bottom w:val="single" w:sz="6" w:space="1" w:color="D8E4E1"/>
        </w:pBdr>
        <w:spacing w:before="40" w:after="200"/>
      </w:pPr>
    </w:p>
    <w:p w14:paraId="2511D805" w14:textId="77777777" w:rsidR="00EE692C" w:rsidRDefault="00000000">
      <w:pPr>
        <w:pStyle w:val="Heading1"/>
        <w:spacing w:before="320" w:after="120"/>
      </w:pPr>
      <w:bookmarkStart w:id="9" w:name="_Toc236832315"/>
      <w:r>
        <w:rPr>
          <w:b/>
          <w:bCs/>
          <w:color w:val="16535B"/>
        </w:rPr>
        <w:t>3. Preamble</w:t>
      </w:r>
      <w:bookmarkEnd w:id="9"/>
    </w:p>
    <w:p w14:paraId="3898EEBD" w14:textId="77777777" w:rsidR="00EE692C" w:rsidRDefault="00000000">
      <w:pPr>
        <w:spacing w:after="160" w:line="280" w:lineRule="auto"/>
        <w:jc w:val="both"/>
      </w:pPr>
      <w:r>
        <w:lastRenderedPageBreak/>
        <w:t>The Second Party desires to acquire the Asset described in Clause 4 but requires co-financing to do so. The Parties have agreed to jointly purchase and co-own the Asset in accordance with the principles of Diminishing Musharakah (Shirkat Al-Milk) under Islamic Shariah and the applicable laws of the State of Qatar. The Second Party further intends to gradually acquire the First Party's ownership units until the Second Party becomes the sole owner of the Asset.</w:t>
      </w:r>
    </w:p>
    <w:p w14:paraId="5E0BA7F8" w14:textId="77777777" w:rsidR="00EE692C" w:rsidRDefault="00000000">
      <w:pPr>
        <w:spacing w:after="160" w:line="280" w:lineRule="auto"/>
        <w:jc w:val="both"/>
      </w:pPr>
      <w:r>
        <w:t>The above Preamble and all annexes attached hereto form an integral part of this Agreement.</w:t>
      </w:r>
    </w:p>
    <w:p w14:paraId="0037B0BC" w14:textId="77777777" w:rsidR="00EE692C" w:rsidRDefault="00000000">
      <w:pPr>
        <w:pStyle w:val="Heading1"/>
        <w:bidi/>
        <w:spacing w:before="40" w:after="200"/>
        <w:jc w:val="right"/>
      </w:pPr>
      <w:bookmarkStart w:id="10" w:name="_Toc236832316"/>
      <w:r>
        <w:rPr>
          <w:rFonts w:ascii="IBM Plex Sans Arabic" w:eastAsia="IBM Plex Sans Arabic" w:hAnsi="IBM Plex Sans Arabic" w:cs="IBM Plex Sans Arabic"/>
          <w:b/>
          <w:bCs/>
          <w:color w:val="16535B"/>
          <w:rtl/>
        </w:rPr>
        <w:t>التمهيد .٣</w:t>
      </w:r>
      <w:bookmarkEnd w:id="10"/>
    </w:p>
    <w:p w14:paraId="7383D56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يرغب الطرف الثاني في تملك الأصل الموصوف في البند الرابع ويحتاج إلى تمويل مشترك لذلك. اتفق الطرفان على شراء الأصل بشكل مشترك وتملكه على الشيوع وفقاً لمبادئ المشاركة المتناقصة (شركة الملك) بموجب الشريعة الإسلامية وقوانين دولة قطر المعمول بها. ويعتزم الطرف الثاني كذلك الاستحواذ التدريجي على وحدات ملكية الطرف الأول حتى يصبح المالك الوحيد للأصل.</w:t>
      </w:r>
    </w:p>
    <w:p w14:paraId="239E46E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يُعدّ التمهيد أعلاه وجميع الملاحق المرفقة بهذا العقد جزءاً لا يتجزأ منه.</w:t>
      </w:r>
    </w:p>
    <w:p w14:paraId="0A12F199" w14:textId="77777777" w:rsidR="00EE692C" w:rsidRDefault="00EE692C">
      <w:pPr>
        <w:pBdr>
          <w:bottom w:val="single" w:sz="6" w:space="1" w:color="D8E4E1"/>
        </w:pBdr>
        <w:spacing w:before="40" w:after="200"/>
      </w:pPr>
    </w:p>
    <w:p w14:paraId="13CB40B8" w14:textId="77777777" w:rsidR="00EE692C" w:rsidRDefault="00000000">
      <w:pPr>
        <w:pStyle w:val="Heading1"/>
        <w:spacing w:before="320" w:after="120"/>
      </w:pPr>
      <w:bookmarkStart w:id="11" w:name="_Toc236832317"/>
      <w:r>
        <w:rPr>
          <w:b/>
          <w:bCs/>
          <w:color w:val="16535B"/>
        </w:rPr>
        <w:t>4. Description of the Asset</w:t>
      </w:r>
      <w:bookmarkEnd w:id="11"/>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54B7DC88" w14:textId="77777777">
        <w:tc>
          <w:tcPr>
            <w:tcW w:w="3200" w:type="dxa"/>
            <w:shd w:val="clear" w:color="auto" w:fill="EAF6F4"/>
            <w:tcMar>
              <w:top w:w="100" w:type="dxa"/>
              <w:left w:w="120" w:type="dxa"/>
              <w:bottom w:w="100" w:type="dxa"/>
              <w:right w:w="120" w:type="dxa"/>
            </w:tcMar>
            <w:vAlign w:val="center"/>
          </w:tcPr>
          <w:p w14:paraId="777E86EA" w14:textId="77777777" w:rsidR="00EE692C" w:rsidRDefault="00000000">
            <w:r>
              <w:rPr>
                <w:b/>
                <w:bCs/>
                <w:color w:val="16535B"/>
                <w:sz w:val="20"/>
                <w:szCs w:val="20"/>
              </w:rPr>
              <w:t>Type</w:t>
            </w:r>
          </w:p>
        </w:tc>
        <w:tc>
          <w:tcPr>
            <w:tcW w:w="6400" w:type="dxa"/>
            <w:tcMar>
              <w:top w:w="100" w:type="dxa"/>
              <w:left w:w="120" w:type="dxa"/>
              <w:bottom w:w="100" w:type="dxa"/>
              <w:right w:w="120" w:type="dxa"/>
            </w:tcMar>
          </w:tcPr>
          <w:p w14:paraId="4C0AC86D" w14:textId="77777777" w:rsidR="00EE692C" w:rsidRDefault="00000000">
            <w:r>
              <w:rPr>
                <w:sz w:val="20"/>
                <w:szCs w:val="20"/>
              </w:rPr>
              <w:t>{{Vehicle.Type}}</w:t>
            </w:r>
          </w:p>
        </w:tc>
      </w:tr>
      <w:tr w:rsidR="00EE692C" w14:paraId="4FA93E93" w14:textId="77777777">
        <w:tc>
          <w:tcPr>
            <w:tcW w:w="3200" w:type="dxa"/>
            <w:tcMar>
              <w:top w:w="100" w:type="dxa"/>
              <w:left w:w="120" w:type="dxa"/>
              <w:bottom w:w="100" w:type="dxa"/>
              <w:right w:w="120" w:type="dxa"/>
            </w:tcMar>
            <w:vAlign w:val="center"/>
          </w:tcPr>
          <w:p w14:paraId="2C942C91" w14:textId="77777777" w:rsidR="00EE692C" w:rsidRDefault="00000000">
            <w:r>
              <w:rPr>
                <w:b/>
                <w:bCs/>
                <w:color w:val="16535B"/>
                <w:sz w:val="20"/>
                <w:szCs w:val="20"/>
              </w:rPr>
              <w:t>Make &amp; Model</w:t>
            </w:r>
          </w:p>
        </w:tc>
        <w:tc>
          <w:tcPr>
            <w:tcW w:w="6400" w:type="dxa"/>
            <w:tcMar>
              <w:top w:w="100" w:type="dxa"/>
              <w:left w:w="120" w:type="dxa"/>
              <w:bottom w:w="100" w:type="dxa"/>
              <w:right w:w="120" w:type="dxa"/>
            </w:tcMar>
          </w:tcPr>
          <w:p w14:paraId="4B7E8460" w14:textId="77777777" w:rsidR="00EE692C" w:rsidRDefault="00000000">
            <w:r>
              <w:rPr>
                <w:sz w:val="20"/>
                <w:szCs w:val="20"/>
              </w:rPr>
              <w:t>{{Vehicle.MakeModel}}</w:t>
            </w:r>
          </w:p>
        </w:tc>
      </w:tr>
      <w:tr w:rsidR="00EE692C" w14:paraId="2F851CB0" w14:textId="77777777">
        <w:tc>
          <w:tcPr>
            <w:tcW w:w="3200" w:type="dxa"/>
            <w:shd w:val="clear" w:color="auto" w:fill="EAF6F4"/>
            <w:tcMar>
              <w:top w:w="100" w:type="dxa"/>
              <w:left w:w="120" w:type="dxa"/>
              <w:bottom w:w="100" w:type="dxa"/>
              <w:right w:w="120" w:type="dxa"/>
            </w:tcMar>
            <w:vAlign w:val="center"/>
          </w:tcPr>
          <w:p w14:paraId="2AD2763B" w14:textId="77777777" w:rsidR="00EE692C" w:rsidRDefault="00000000">
            <w:r>
              <w:rPr>
                <w:b/>
                <w:bCs/>
                <w:color w:val="16535B"/>
                <w:sz w:val="20"/>
                <w:szCs w:val="20"/>
              </w:rPr>
              <w:t>Year of Manufacture</w:t>
            </w:r>
          </w:p>
        </w:tc>
        <w:tc>
          <w:tcPr>
            <w:tcW w:w="6400" w:type="dxa"/>
            <w:tcMar>
              <w:top w:w="100" w:type="dxa"/>
              <w:left w:w="120" w:type="dxa"/>
              <w:bottom w:w="100" w:type="dxa"/>
              <w:right w:w="120" w:type="dxa"/>
            </w:tcMar>
          </w:tcPr>
          <w:p w14:paraId="670E6D54" w14:textId="77777777" w:rsidR="00EE692C" w:rsidRDefault="00000000">
            <w:r>
              <w:rPr>
                <w:sz w:val="20"/>
                <w:szCs w:val="20"/>
              </w:rPr>
              <w:t>{{Vehicle.Year}}</w:t>
            </w:r>
          </w:p>
        </w:tc>
      </w:tr>
      <w:tr w:rsidR="00EE692C" w14:paraId="7FFF56B0" w14:textId="77777777">
        <w:tc>
          <w:tcPr>
            <w:tcW w:w="3200" w:type="dxa"/>
            <w:tcMar>
              <w:top w:w="100" w:type="dxa"/>
              <w:left w:w="120" w:type="dxa"/>
              <w:bottom w:w="100" w:type="dxa"/>
              <w:right w:w="120" w:type="dxa"/>
            </w:tcMar>
            <w:vAlign w:val="center"/>
          </w:tcPr>
          <w:p w14:paraId="20AA585E" w14:textId="77777777" w:rsidR="00EE692C" w:rsidRDefault="00000000">
            <w:r>
              <w:rPr>
                <w:b/>
                <w:bCs/>
                <w:color w:val="16535B"/>
                <w:sz w:val="20"/>
                <w:szCs w:val="20"/>
              </w:rPr>
              <w:t>Chassis No.</w:t>
            </w:r>
          </w:p>
        </w:tc>
        <w:tc>
          <w:tcPr>
            <w:tcW w:w="6400" w:type="dxa"/>
            <w:tcMar>
              <w:top w:w="100" w:type="dxa"/>
              <w:left w:w="120" w:type="dxa"/>
              <w:bottom w:w="100" w:type="dxa"/>
              <w:right w:w="120" w:type="dxa"/>
            </w:tcMar>
          </w:tcPr>
          <w:p w14:paraId="420CCC1D" w14:textId="77777777" w:rsidR="00EE692C" w:rsidRDefault="00000000">
            <w:r>
              <w:rPr>
                <w:sz w:val="20"/>
                <w:szCs w:val="20"/>
              </w:rPr>
              <w:t>{{Vehicle.Chassis}}</w:t>
            </w:r>
          </w:p>
        </w:tc>
      </w:tr>
      <w:tr w:rsidR="00EE692C" w14:paraId="529E69DB" w14:textId="77777777">
        <w:tc>
          <w:tcPr>
            <w:tcW w:w="3200" w:type="dxa"/>
            <w:shd w:val="clear" w:color="auto" w:fill="EAF6F4"/>
            <w:tcMar>
              <w:top w:w="100" w:type="dxa"/>
              <w:left w:w="120" w:type="dxa"/>
              <w:bottom w:w="100" w:type="dxa"/>
              <w:right w:w="120" w:type="dxa"/>
            </w:tcMar>
            <w:vAlign w:val="center"/>
          </w:tcPr>
          <w:p w14:paraId="01AD9C32" w14:textId="77777777" w:rsidR="00EE692C" w:rsidRDefault="00000000">
            <w:r>
              <w:rPr>
                <w:b/>
                <w:bCs/>
                <w:color w:val="16535B"/>
                <w:sz w:val="20"/>
                <w:szCs w:val="20"/>
              </w:rPr>
              <w:t>Engine No.</w:t>
            </w:r>
          </w:p>
        </w:tc>
        <w:tc>
          <w:tcPr>
            <w:tcW w:w="6400" w:type="dxa"/>
            <w:tcMar>
              <w:top w:w="100" w:type="dxa"/>
              <w:left w:w="120" w:type="dxa"/>
              <w:bottom w:w="100" w:type="dxa"/>
              <w:right w:w="120" w:type="dxa"/>
            </w:tcMar>
          </w:tcPr>
          <w:p w14:paraId="7C4DE02F" w14:textId="77777777" w:rsidR="00EE692C" w:rsidRDefault="00000000">
            <w:r>
              <w:rPr>
                <w:sz w:val="20"/>
                <w:szCs w:val="20"/>
              </w:rPr>
              <w:t>{{Vehicle.EngineNo}}</w:t>
            </w:r>
          </w:p>
        </w:tc>
      </w:tr>
      <w:tr w:rsidR="00EE692C" w14:paraId="64A73E75" w14:textId="77777777">
        <w:tc>
          <w:tcPr>
            <w:tcW w:w="3200" w:type="dxa"/>
            <w:tcMar>
              <w:top w:w="100" w:type="dxa"/>
              <w:left w:w="120" w:type="dxa"/>
              <w:bottom w:w="100" w:type="dxa"/>
              <w:right w:w="120" w:type="dxa"/>
            </w:tcMar>
            <w:vAlign w:val="center"/>
          </w:tcPr>
          <w:p w14:paraId="224FCE01" w14:textId="77777777" w:rsidR="00EE692C" w:rsidRDefault="00000000">
            <w:r>
              <w:rPr>
                <w:b/>
                <w:bCs/>
                <w:color w:val="16535B"/>
                <w:sz w:val="20"/>
                <w:szCs w:val="20"/>
              </w:rPr>
              <w:t>Plate No.</w:t>
            </w:r>
          </w:p>
        </w:tc>
        <w:tc>
          <w:tcPr>
            <w:tcW w:w="6400" w:type="dxa"/>
            <w:tcMar>
              <w:top w:w="100" w:type="dxa"/>
              <w:left w:w="120" w:type="dxa"/>
              <w:bottom w:w="100" w:type="dxa"/>
              <w:right w:w="120" w:type="dxa"/>
            </w:tcMar>
          </w:tcPr>
          <w:p w14:paraId="6A9EAEDD" w14:textId="77777777" w:rsidR="00EE692C" w:rsidRDefault="00000000">
            <w:r>
              <w:rPr>
                <w:sz w:val="20"/>
                <w:szCs w:val="20"/>
              </w:rPr>
              <w:t>{{Vehicle.Plate}}</w:t>
            </w:r>
          </w:p>
        </w:tc>
      </w:tr>
    </w:tbl>
    <w:p w14:paraId="7F13F71A" w14:textId="77777777" w:rsidR="00EE692C" w:rsidRDefault="00EE692C">
      <w:pPr>
        <w:spacing w:after="160"/>
      </w:pPr>
    </w:p>
    <w:p w14:paraId="3BFB902A" w14:textId="77777777" w:rsidR="00EE692C" w:rsidRDefault="00000000">
      <w:pPr>
        <w:pStyle w:val="Heading1"/>
        <w:bidi/>
        <w:spacing w:before="40" w:after="200"/>
        <w:jc w:val="right"/>
      </w:pPr>
      <w:bookmarkStart w:id="12" w:name="_Toc236832318"/>
      <w:r>
        <w:rPr>
          <w:rFonts w:ascii="IBM Plex Sans Arabic" w:eastAsia="IBM Plex Sans Arabic" w:hAnsi="IBM Plex Sans Arabic" w:cs="IBM Plex Sans Arabic"/>
          <w:b/>
          <w:bCs/>
          <w:color w:val="16535B"/>
          <w:rtl/>
        </w:rPr>
        <w:t>وصف الأصل .٤</w:t>
      </w:r>
      <w:bookmarkEnd w:id="12"/>
    </w:p>
    <w:p w14:paraId="3CD66E8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يتفق الطرفان على الاقتناء المشترك للأصل الموضّح بياناته في الجدول أعلاه.</w:t>
      </w:r>
    </w:p>
    <w:p w14:paraId="095A1D23" w14:textId="77777777" w:rsidR="00EE692C" w:rsidRDefault="00EE692C">
      <w:pPr>
        <w:pBdr>
          <w:bottom w:val="single" w:sz="6" w:space="1" w:color="D8E4E1"/>
        </w:pBdr>
        <w:spacing w:before="40" w:after="200"/>
      </w:pPr>
    </w:p>
    <w:p w14:paraId="611C8C1F" w14:textId="77777777" w:rsidR="00EE692C" w:rsidRDefault="00000000">
      <w:pPr>
        <w:pStyle w:val="Heading1"/>
        <w:spacing w:before="320" w:after="120"/>
      </w:pPr>
      <w:bookmarkStart w:id="13" w:name="_Toc236832319"/>
      <w:r>
        <w:rPr>
          <w:b/>
          <w:bCs/>
          <w:color w:val="16535B"/>
        </w:rPr>
        <w:t>5. Capital Contributions and Ownership Shares</w:t>
      </w:r>
      <w:bookmarkEnd w:id="13"/>
    </w:p>
    <w:p w14:paraId="1F387B3F" w14:textId="77777777" w:rsidR="00EE692C" w:rsidRDefault="00000000">
      <w:pPr>
        <w:spacing w:after="160" w:line="280" w:lineRule="auto"/>
        <w:jc w:val="both"/>
      </w:pPr>
      <w:r>
        <w:t>The total purchase price of the Asset is QAR {{Price.TotalCost}}. The Parties' respective contributions and initial ownership shares are as follows: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00"/>
      </w:tblGrid>
      <w:tr w:rsidR="00EE692C" w14:paraId="4EC3BA18" w14:textId="77777777">
        <w:tc>
          <w:tcPr>
            <w:tcW w:w="3200" w:type="dxa"/>
            <w:shd w:val="clear" w:color="auto" w:fill="EAF6F4"/>
            <w:tcMar>
              <w:top w:w="100" w:type="dxa"/>
              <w:left w:w="120" w:type="dxa"/>
              <w:bottom w:w="100" w:type="dxa"/>
              <w:right w:w="120" w:type="dxa"/>
            </w:tcMar>
            <w:vAlign w:val="center"/>
          </w:tcPr>
          <w:p w14:paraId="54DCEEA3" w14:textId="77777777" w:rsidR="00EE692C" w:rsidRDefault="00000000">
            <w:r>
              <w:rPr>
                <w:b/>
                <w:bCs/>
                <w:color w:val="16535B"/>
                <w:sz w:val="20"/>
                <w:szCs w:val="20"/>
              </w:rPr>
              <w:t>Blox — First Party</w:t>
            </w:r>
          </w:p>
        </w:tc>
        <w:tc>
          <w:tcPr>
            <w:tcW w:w="6400" w:type="dxa"/>
            <w:tcMar>
              <w:top w:w="100" w:type="dxa"/>
              <w:left w:w="120" w:type="dxa"/>
              <w:bottom w:w="100" w:type="dxa"/>
              <w:right w:w="120" w:type="dxa"/>
            </w:tcMar>
          </w:tcPr>
          <w:p w14:paraId="3ABBB962" w14:textId="77777777" w:rsidR="00EE692C" w:rsidRDefault="00000000">
            <w:r>
              <w:rPr>
                <w:rFonts w:ascii="Space Grotesk" w:eastAsia="Space Grotesk" w:hAnsi="Space Grotesk" w:cs="Space Grotesk"/>
                <w:sz w:val="20"/>
                <w:szCs w:val="20"/>
              </w:rPr>
              <w:t>QAR {{Price.BloXContribution}}   ({{Ownership.BloXOpeningPct}}%)</w:t>
            </w:r>
          </w:p>
        </w:tc>
      </w:tr>
      <w:tr w:rsidR="00EE692C" w14:paraId="50A1100C" w14:textId="77777777">
        <w:tc>
          <w:tcPr>
            <w:tcW w:w="3200" w:type="dxa"/>
            <w:tcMar>
              <w:top w:w="100" w:type="dxa"/>
              <w:left w:w="120" w:type="dxa"/>
              <w:bottom w:w="100" w:type="dxa"/>
              <w:right w:w="120" w:type="dxa"/>
            </w:tcMar>
            <w:vAlign w:val="center"/>
          </w:tcPr>
          <w:p w14:paraId="45C70E39" w14:textId="77777777" w:rsidR="00EE692C" w:rsidRDefault="00000000">
            <w:r>
              <w:rPr>
                <w:b/>
                <w:bCs/>
                <w:color w:val="16535B"/>
                <w:sz w:val="20"/>
                <w:szCs w:val="20"/>
              </w:rPr>
              <w:t>Customer — Second Party</w:t>
            </w:r>
          </w:p>
        </w:tc>
        <w:tc>
          <w:tcPr>
            <w:tcW w:w="6400" w:type="dxa"/>
            <w:tcMar>
              <w:top w:w="100" w:type="dxa"/>
              <w:left w:w="120" w:type="dxa"/>
              <w:bottom w:w="100" w:type="dxa"/>
              <w:right w:w="120" w:type="dxa"/>
            </w:tcMar>
          </w:tcPr>
          <w:p w14:paraId="007982F1" w14:textId="77777777" w:rsidR="00EE692C" w:rsidRDefault="00000000">
            <w:r>
              <w:rPr>
                <w:rFonts w:ascii="Space Grotesk" w:eastAsia="Space Grotesk" w:hAnsi="Space Grotesk" w:cs="Space Grotesk"/>
                <w:sz w:val="20"/>
                <w:szCs w:val="20"/>
              </w:rPr>
              <w:t>QAR {{Price.CustomerContribution}}   ({{Ownership.CustomerOpeningPct}}%)</w:t>
            </w:r>
          </w:p>
        </w:tc>
      </w:tr>
      <w:tr w:rsidR="00EE692C" w14:paraId="0365B48A" w14:textId="77777777">
        <w:tc>
          <w:tcPr>
            <w:tcW w:w="3200" w:type="dxa"/>
            <w:shd w:val="clear" w:color="auto" w:fill="EAF6F4"/>
            <w:tcMar>
              <w:top w:w="100" w:type="dxa"/>
              <w:left w:w="120" w:type="dxa"/>
              <w:bottom w:w="100" w:type="dxa"/>
              <w:right w:w="120" w:type="dxa"/>
            </w:tcMar>
            <w:vAlign w:val="center"/>
          </w:tcPr>
          <w:p w14:paraId="4DF1748D" w14:textId="77777777" w:rsidR="00EE692C" w:rsidRDefault="00000000">
            <w:r>
              <w:rPr>
                <w:b/>
                <w:bCs/>
                <w:color w:val="16535B"/>
                <w:sz w:val="20"/>
                <w:szCs w:val="20"/>
              </w:rPr>
              <w:lastRenderedPageBreak/>
              <w:t>Total</w:t>
            </w:r>
          </w:p>
        </w:tc>
        <w:tc>
          <w:tcPr>
            <w:tcW w:w="6400" w:type="dxa"/>
            <w:tcMar>
              <w:top w:w="100" w:type="dxa"/>
              <w:left w:w="120" w:type="dxa"/>
              <w:bottom w:w="100" w:type="dxa"/>
              <w:right w:w="120" w:type="dxa"/>
            </w:tcMar>
          </w:tcPr>
          <w:p w14:paraId="43112282" w14:textId="77777777" w:rsidR="00EE692C" w:rsidRDefault="00000000">
            <w:r>
              <w:rPr>
                <w:rFonts w:ascii="Space Grotesk" w:eastAsia="Space Grotesk" w:hAnsi="Space Grotesk" w:cs="Space Grotesk"/>
                <w:sz w:val="20"/>
                <w:szCs w:val="20"/>
              </w:rPr>
              <w:t>100%</w:t>
            </w:r>
          </w:p>
        </w:tc>
      </w:tr>
    </w:tbl>
    <w:p w14:paraId="6FCBC767" w14:textId="77777777" w:rsidR="00EE692C" w:rsidRDefault="00EE692C">
      <w:pPr>
        <w:spacing w:after="160"/>
      </w:pPr>
    </w:p>
    <w:p w14:paraId="77ADC03D" w14:textId="77777777" w:rsidR="00EE692C" w:rsidRDefault="00000000">
      <w:pPr>
        <w:spacing w:after="160" w:line="280" w:lineRule="auto"/>
        <w:jc w:val="both"/>
      </w:pPr>
      <w:r>
        <w:t>The Asset shall be registered in the name of the First Party (or jointly, as required by applicable registration rules) as nominee and trustee for the joint ownership, without prejudice to the actual beneficial ownership shares stated above.</w:t>
      </w:r>
    </w:p>
    <w:p w14:paraId="5FB4CDE2" w14:textId="77777777" w:rsidR="00EE692C" w:rsidRDefault="00000000">
      <w:pPr>
        <w:pStyle w:val="Heading1"/>
        <w:bidi/>
        <w:spacing w:before="40" w:after="200"/>
        <w:jc w:val="right"/>
      </w:pPr>
      <w:bookmarkStart w:id="14" w:name="_Toc236832320"/>
      <w:r>
        <w:rPr>
          <w:rFonts w:ascii="IBM Plex Sans Arabic" w:eastAsia="IBM Plex Sans Arabic" w:hAnsi="IBM Plex Sans Arabic" w:cs="IBM Plex Sans Arabic"/>
          <w:b/>
          <w:bCs/>
          <w:color w:val="16535B"/>
          <w:rtl/>
        </w:rPr>
        <w:t>المساهمات الرأسمالية وحصص الملكية .٥</w:t>
      </w:r>
      <w:bookmarkEnd w:id="14"/>
    </w:p>
    <w:p w14:paraId="364B3C55"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يبلغ إجمالي سعر شراء الأصل {{Price.TotalCost}} ريال قطري. وتكون مساهمات الطرفين وحصص ملكيتهما الأولية كما هو موضح في الجدول أعلاه.</w:t>
      </w:r>
    </w:p>
    <w:p w14:paraId="7F564B90"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يُسجَّل الأصل باسم الطرف الأول (أو بشكل مشترك وفقاً لقواعد التسجيل المعمول بها) بصفته مرشحاً وأميناً للملكية المشتركة، دون الإخلال بحصص الملكية المنفعة الفعلية المذكورة أعلاه.</w:t>
      </w:r>
    </w:p>
    <w:p w14:paraId="2C9DC67B" w14:textId="77777777" w:rsidR="00EE692C" w:rsidRDefault="00EE692C">
      <w:pPr>
        <w:pBdr>
          <w:bottom w:val="single" w:sz="6" w:space="1" w:color="D8E4E1"/>
        </w:pBdr>
        <w:spacing w:before="40" w:after="200"/>
      </w:pPr>
    </w:p>
    <w:p w14:paraId="3BD41734" w14:textId="77777777" w:rsidR="00EE692C" w:rsidRDefault="00000000">
      <w:pPr>
        <w:pStyle w:val="Heading1"/>
        <w:spacing w:before="320" w:after="120"/>
      </w:pPr>
      <w:bookmarkStart w:id="15" w:name="_Toc236832321"/>
      <w:r>
        <w:rPr>
          <w:b/>
          <w:bCs/>
          <w:color w:val="16535B"/>
        </w:rPr>
        <w:t>6. Lease (Ijarah) Subcontract</w:t>
      </w:r>
      <w:bookmarkEnd w:id="15"/>
    </w:p>
    <w:p w14:paraId="528AFA69" w14:textId="77777777" w:rsidR="00EE692C" w:rsidRDefault="00000000">
      <w:pPr>
        <w:spacing w:after="160" w:line="280" w:lineRule="auto"/>
        <w:jc w:val="both"/>
      </w:pPr>
      <w:r>
        <w:t>Simultaneously with the execution of this Agreement, the First Party shall lease its undivided share in the Asset to the Second Party under a separate Ijarah Agreement (the "Ijarah Agreement"), granting the Second Party the exclusive right to use the entire Asset during the lease period. The rent payable under the Ijarah Agreement shall be a fair market rental rate reflecting the First Party's ownership share at each period, in accordance with AAOIFI Shariah Standard No. 9.</w:t>
      </w:r>
    </w:p>
    <w:p w14:paraId="38B563CA" w14:textId="77777777" w:rsidR="00EE692C" w:rsidRDefault="00000000">
      <w:pPr>
        <w:pStyle w:val="Heading1"/>
        <w:bidi/>
        <w:spacing w:before="40" w:after="200"/>
        <w:jc w:val="right"/>
      </w:pPr>
      <w:bookmarkStart w:id="16" w:name="_Toc236832322"/>
      <w:r>
        <w:rPr>
          <w:rFonts w:ascii="IBM Plex Sans Arabic" w:eastAsia="IBM Plex Sans Arabic" w:hAnsi="IBM Plex Sans Arabic" w:cs="IBM Plex Sans Arabic"/>
          <w:b/>
          <w:bCs/>
          <w:color w:val="16535B"/>
          <w:rtl/>
        </w:rPr>
        <w:t>عقد الإجارة الفرعي .٦</w:t>
      </w:r>
      <w:bookmarkEnd w:id="16"/>
    </w:p>
    <w:p w14:paraId="21C2077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بالتزامن مع إبرام هذا العقد، يقوم الطرف الأول بتأجير حصته الشائعة في الأصل للطرف الثاني بموجب عقد إجارة منفصل ("عقد الإجارة")، مما يمنح الطرف الثاني الحق الحصري في استخدام الأصل بالكامل خلال فترة الإجارة. تكون الأجرة المستحقة بموجب عقد الإجارة بسعر إيجار السوق العادل الذي يعكس حصة ملكية الطرف الأول في كل فترة، وفقاً للمعيار الشرعي رقم 9 الصادر عن هيئة المحاسبة والمراجعة للمؤسسات المالية الإسلامية (الأيوفي).</w:t>
      </w:r>
    </w:p>
    <w:p w14:paraId="2BA513DC" w14:textId="77777777" w:rsidR="00EE692C" w:rsidRDefault="00EE692C">
      <w:pPr>
        <w:pBdr>
          <w:bottom w:val="single" w:sz="6" w:space="1" w:color="D8E4E1"/>
        </w:pBdr>
        <w:spacing w:before="40" w:after="200"/>
      </w:pPr>
    </w:p>
    <w:p w14:paraId="76F7982A" w14:textId="77777777" w:rsidR="00EE692C" w:rsidRDefault="00000000">
      <w:pPr>
        <w:pStyle w:val="Heading1"/>
        <w:spacing w:before="320" w:after="120"/>
      </w:pPr>
      <w:bookmarkStart w:id="17" w:name="_Toc236832323"/>
      <w:r>
        <w:rPr>
          <w:b/>
          <w:bCs/>
          <w:color w:val="16535B"/>
        </w:rPr>
        <w:t>7. Diminishing Musharakah Mechanism</w:t>
      </w:r>
      <w:bookmarkEnd w:id="17"/>
    </w:p>
    <w:p w14:paraId="13957AC5" w14:textId="77777777" w:rsidR="00EE692C" w:rsidRDefault="00000000">
      <w:pPr>
        <w:pStyle w:val="Heading1"/>
        <w:bidi/>
        <w:spacing w:before="40" w:after="200"/>
        <w:jc w:val="right"/>
      </w:pPr>
      <w:bookmarkStart w:id="18" w:name="_Toc236832324"/>
      <w:r>
        <w:rPr>
          <w:rFonts w:ascii="IBM Plex Sans Arabic" w:eastAsia="IBM Plex Sans Arabic" w:hAnsi="IBM Plex Sans Arabic" w:cs="IBM Plex Sans Arabic"/>
          <w:b/>
          <w:bCs/>
          <w:color w:val="16535B"/>
          <w:rtl/>
        </w:rPr>
        <w:t>آلية المشاركة المتناقصة .٧</w:t>
      </w:r>
      <w:bookmarkEnd w:id="18"/>
    </w:p>
    <w:p w14:paraId="6893A69D" w14:textId="77777777" w:rsidR="00EE692C" w:rsidRDefault="00EE692C">
      <w:pPr>
        <w:pBdr>
          <w:bottom w:val="single" w:sz="6" w:space="1" w:color="D8E4E1"/>
        </w:pBdr>
        <w:spacing w:before="40" w:after="200"/>
      </w:pPr>
    </w:p>
    <w:p w14:paraId="036BC714" w14:textId="77777777" w:rsidR="00EE692C" w:rsidRDefault="00000000">
      <w:pPr>
        <w:pStyle w:val="Heading2"/>
        <w:spacing w:before="320" w:after="120"/>
      </w:pPr>
      <w:bookmarkStart w:id="19" w:name="_Toc236832325"/>
      <w:r>
        <w:rPr>
          <w:b/>
          <w:bCs/>
          <w:color w:val="16535B"/>
        </w:rPr>
        <w:t>7.1 Unit Structure</w:t>
      </w:r>
      <w:bookmarkEnd w:id="19"/>
    </w:p>
    <w:p w14:paraId="58C10F46" w14:textId="77777777" w:rsidR="00EE692C" w:rsidRDefault="00000000">
      <w:pPr>
        <w:spacing w:after="160" w:line="280" w:lineRule="auto"/>
        <w:jc w:val="both"/>
      </w:pPr>
      <w:r>
        <w:t>The First Party's ownership share is divided into [Number of Units] equal units, each with a face value of QAR [Unit Value]. The Second Party shall acquire these units periodically pursuant to a separate unilateral Promise to Purchase (Wa'd) executed concurrently with this Agreement.</w:t>
      </w:r>
    </w:p>
    <w:p w14:paraId="0173D570" w14:textId="77777777" w:rsidR="00EE692C" w:rsidRDefault="00000000">
      <w:pPr>
        <w:pStyle w:val="Heading2"/>
        <w:bidi/>
        <w:spacing w:before="40" w:after="200"/>
        <w:jc w:val="right"/>
      </w:pPr>
      <w:bookmarkStart w:id="20" w:name="_Toc236832326"/>
      <w:r>
        <w:rPr>
          <w:rFonts w:ascii="IBM Plex Sans Arabic" w:eastAsia="IBM Plex Sans Arabic" w:hAnsi="IBM Plex Sans Arabic" w:cs="IBM Plex Sans Arabic"/>
          <w:b/>
          <w:bCs/>
          <w:color w:val="16535B"/>
          <w:rtl/>
        </w:rPr>
        <w:t>هيكل الوحدات ٧.١</w:t>
      </w:r>
      <w:bookmarkEnd w:id="20"/>
    </w:p>
    <w:p w14:paraId="53CFD77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تُقسَّم حصة ملكية الطرف الأول إلى [عدد الوحدات] وحدة متساوية، قيمة كل منها [قيمة الوحدة] ريال قطري بالقيمة الاسمية. يقوم الطرف الثاني بالاستحواذ على هذه الوحدات بشكل دوري بموجب وعد شراء أحادي (وعد) منفصل يُبرم بالتزامن مع هذا العقد.</w:t>
      </w:r>
    </w:p>
    <w:p w14:paraId="6789EFC2" w14:textId="77777777" w:rsidR="00EE692C" w:rsidRDefault="00000000">
      <w:pPr>
        <w:pStyle w:val="Heading2"/>
        <w:spacing w:before="320" w:after="120"/>
      </w:pPr>
      <w:bookmarkStart w:id="21" w:name="_Toc236832327"/>
      <w:r>
        <w:rPr>
          <w:b/>
          <w:bCs/>
          <w:color w:val="16535B"/>
        </w:rPr>
        <w:t>7.2 Unit Sale Mechanism</w:t>
      </w:r>
      <w:bookmarkEnd w:id="21"/>
    </w:p>
    <w:p w14:paraId="31BFD0A0" w14:textId="77777777" w:rsidR="00EE692C" w:rsidRDefault="00000000">
      <w:pPr>
        <w:spacing w:after="160" w:line="280" w:lineRule="auto"/>
        <w:jc w:val="both"/>
      </w:pPr>
      <w:r>
        <w:t>Each sale of a unit shall be executed by a separate offer and acceptance at the time of sale, at a price that may be the market value, the agreed value, or the face value, as agreed between the Parties at the time of each transaction, in compliance with AAOIFI Shariah Standard No. 12, Clause 5/2. A bilateral binding forward sale (Muwa'adah) is expressly prohibited.</w:t>
      </w:r>
    </w:p>
    <w:p w14:paraId="26B35A3A" w14:textId="77777777" w:rsidR="00EE692C" w:rsidRDefault="00000000">
      <w:pPr>
        <w:pStyle w:val="Heading2"/>
        <w:bidi/>
        <w:spacing w:before="40" w:after="200"/>
        <w:jc w:val="right"/>
      </w:pPr>
      <w:bookmarkStart w:id="22" w:name="_Toc236832328"/>
      <w:r>
        <w:rPr>
          <w:rFonts w:ascii="IBM Plex Sans Arabic" w:eastAsia="IBM Plex Sans Arabic" w:hAnsi="IBM Plex Sans Arabic" w:cs="IBM Plex Sans Arabic"/>
          <w:b/>
          <w:bCs/>
          <w:color w:val="16535B"/>
          <w:rtl/>
        </w:rPr>
        <w:t>آلية بيع الوحدات ٧.٢</w:t>
      </w:r>
      <w:bookmarkEnd w:id="22"/>
    </w:p>
    <w:p w14:paraId="49991D3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يُنفَّذ كل بيع وحدة بموجب إيجاب وقبول منفصلين في وقت البيع، بسعر قد يكون القيمة السوقية أو القيمة المتفق عليها أو القيمة الاسمية، حسبما يتفق عليه الطرفان في وقت كل معاملة، بما يتوافق مع المعيار الشرعي رقم 12 للأيوفي، البند 5/2. ويُحظر صراحةً البيع الآجل الملزم الثنائي (المواعدة).</w:t>
      </w:r>
    </w:p>
    <w:p w14:paraId="12029F06" w14:textId="77777777" w:rsidR="00EE692C" w:rsidRDefault="00000000">
      <w:pPr>
        <w:pStyle w:val="Heading2"/>
        <w:spacing w:before="320" w:after="120"/>
      </w:pPr>
      <w:bookmarkStart w:id="23" w:name="_Toc236832329"/>
      <w:r>
        <w:rPr>
          <w:b/>
          <w:bCs/>
          <w:color w:val="16535B"/>
        </w:rPr>
        <w:t>7.3 Rental Adjustment</w:t>
      </w:r>
      <w:bookmarkEnd w:id="23"/>
    </w:p>
    <w:p w14:paraId="099B6D12" w14:textId="77777777" w:rsidR="00EE692C" w:rsidRDefault="00000000">
      <w:pPr>
        <w:spacing w:after="160" w:line="280" w:lineRule="auto"/>
        <w:jc w:val="both"/>
      </w:pPr>
      <w:r>
        <w:t>Upon the Second Party acquiring each unit, the Second Party's ownership share increases and the First Party's share decreases proportionally. The monthly rent payable under the Ijarah Agreement shall be adjusted downwards at the commencement of each new period to reflect the First Party's reduced ownership share, ensuring that rent is never cross-subsidised with the equity purchase price.</w:t>
      </w:r>
    </w:p>
    <w:p w14:paraId="2AB3EE62" w14:textId="77777777" w:rsidR="00EE692C" w:rsidRDefault="00000000">
      <w:pPr>
        <w:pStyle w:val="Heading2"/>
        <w:bidi/>
        <w:spacing w:before="40" w:after="200"/>
        <w:jc w:val="right"/>
      </w:pPr>
      <w:bookmarkStart w:id="24" w:name="_Toc236832330"/>
      <w:r>
        <w:rPr>
          <w:rFonts w:ascii="IBM Plex Sans Arabic" w:eastAsia="IBM Plex Sans Arabic" w:hAnsi="IBM Plex Sans Arabic" w:cs="IBM Plex Sans Arabic"/>
          <w:b/>
          <w:bCs/>
          <w:color w:val="16535B"/>
          <w:rtl/>
        </w:rPr>
        <w:t>تعديل الأجرة ٧.٣</w:t>
      </w:r>
      <w:bookmarkEnd w:id="24"/>
    </w:p>
    <w:p w14:paraId="53CCEAD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عند استحواذ الطرف الثاني على كل وحدة، تزداد حصة ملكية الطرف الثاني وتنخفض حصة الطرف الأول بشكل متناسب. يُعدَّل الإيجار الشهري المستحق بموجب عقد الإجارة بالانخفاض في بداية كل فترة جديدة ليعكس انخفاض حصة ملكية الطرف الأول، مع ضمان عدم الإعانة المتبادلة بين الإيجار وسعر شراء الحصة.</w:t>
      </w:r>
    </w:p>
    <w:p w14:paraId="7759E749" w14:textId="77777777" w:rsidR="00EE692C" w:rsidRDefault="00EE692C">
      <w:pPr>
        <w:pBdr>
          <w:bottom w:val="single" w:sz="6" w:space="1" w:color="D8E4E1"/>
        </w:pBdr>
        <w:spacing w:before="40" w:after="200"/>
      </w:pPr>
    </w:p>
    <w:p w14:paraId="4F0AC9AA" w14:textId="77777777" w:rsidR="00EE692C" w:rsidRDefault="00000000">
      <w:pPr>
        <w:pStyle w:val="Heading1"/>
        <w:spacing w:before="320" w:after="120"/>
      </w:pPr>
      <w:bookmarkStart w:id="25" w:name="_Toc236832331"/>
      <w:r>
        <w:rPr>
          <w:b/>
          <w:bCs/>
          <w:color w:val="16535B"/>
        </w:rPr>
        <w:t>8. Maintenance and Takaful Insurance</w:t>
      </w:r>
      <w:bookmarkEnd w:id="25"/>
    </w:p>
    <w:p w14:paraId="6BE75932" w14:textId="77777777" w:rsidR="00EE692C" w:rsidRDefault="00000000">
      <w:pPr>
        <w:spacing w:after="160" w:line="280" w:lineRule="auto"/>
        <w:jc w:val="both"/>
      </w:pPr>
      <w:r>
        <w:t>Major structural maintenance and the cost of comprehensive Takaful (Islamic insurance) shall be borne by the Parties in proportion to their respective ownership shares at the time the cost is incurred, as this is an ownership-related obligation. The Second Party, as the sole user of the Asset, shall bear all routine, operational, and day-to-day maintenance costs, as these are usage-related obligations.</w:t>
      </w:r>
    </w:p>
    <w:p w14:paraId="2555B639" w14:textId="77777777" w:rsidR="00EE692C" w:rsidRDefault="00000000">
      <w:pPr>
        <w:spacing w:after="160" w:line="280" w:lineRule="auto"/>
        <w:jc w:val="both"/>
      </w:pPr>
      <w:r>
        <w:t>The First Party shall have the sole and exclusive right to select, procure, and maintain the Takaful policy covering the Asset, from a Takaful provider approved by the First Party and, where applicable, by the Shariah Supervisory Board. The Second Party shall not independently procure, substitute, cancel, or allow to lapse any insurance or Takaful coverage over the Asset, and shall not deal with any Takaful provider in respect of the Asset, without the First Party's prior written consent. The cost-sharing arrangement set out above shall apply regardless of the First Party's exclusive role in sourcing the policy.</w:t>
      </w:r>
    </w:p>
    <w:p w14:paraId="643C6147" w14:textId="77777777" w:rsidR="00EE692C" w:rsidRDefault="00000000">
      <w:pPr>
        <w:pStyle w:val="Heading1"/>
        <w:bidi/>
        <w:spacing w:before="40" w:after="200"/>
        <w:jc w:val="right"/>
      </w:pPr>
      <w:bookmarkStart w:id="26" w:name="_Toc236832332"/>
      <w:r>
        <w:rPr>
          <w:rFonts w:ascii="IBM Plex Sans Arabic" w:eastAsia="IBM Plex Sans Arabic" w:hAnsi="IBM Plex Sans Arabic" w:cs="IBM Plex Sans Arabic"/>
          <w:b/>
          <w:bCs/>
          <w:color w:val="16535B"/>
          <w:rtl/>
        </w:rPr>
        <w:t>الصيانة والتأمين التكافلي .٨</w:t>
      </w:r>
      <w:bookmarkEnd w:id="26"/>
    </w:p>
    <w:p w14:paraId="7B6CBFF3"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تُتحمَّل تكاليف الصيانة الهيكلية الأساسية وتكاليف التكافل (التأمين الإسلامي) الشامل من قِبل الطرفين بنسبة حصص ملكيتهما في وقت تكبد التكلفة، باعتبارها التزامات مرتبطة بالملكية. يتحمل الطرف الثاني، بصفته المستخدم الوحيد للأصل، جميع تكاليف الصيانة الدورية والتشغيلية واليومية، باعتبارها التزامات مرتبطة بالاستخدام.</w:t>
      </w:r>
    </w:p>
    <w:p w14:paraId="160CC15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يتمتع الطرف الأول بالحق الحصري والوحيد في اختيار وثيقة التكافل التي تغطي الأصل والحصول عليها والمحافظة عليها، من مزوّد تكافل تعتمده الطرف الأول، وعند الاقتضاء، تعتمده هيئة الرقابة الشرعية. لا يجوز للطرف الثاني أن يحصل بشكل مستقل على أي تغطية تأمينية أو تكافلية بديلة على الأصل أو يستبدلها أو يلغيها أو يسمح بسقوطها، ولا أن يتعامل مع أي مزوّد تكافل فيما يتعلق بالأصل، دون موافقة خطية مسبقة من الطرف الأول. يظل ترتيب تقاسم التكاليف المذكور أعلاه سارياً بصرف النظر عن الدور الحصري للطرف الأول في توفير الوثيقة.</w:t>
      </w:r>
    </w:p>
    <w:p w14:paraId="02620E63" w14:textId="77777777" w:rsidR="00EE692C" w:rsidRDefault="00EE692C">
      <w:pPr>
        <w:pBdr>
          <w:bottom w:val="single" w:sz="6" w:space="1" w:color="D8E4E1"/>
        </w:pBdr>
        <w:spacing w:before="40" w:after="200"/>
      </w:pPr>
    </w:p>
    <w:p w14:paraId="06CE8F09" w14:textId="77777777" w:rsidR="00EE692C" w:rsidRDefault="00000000">
      <w:pPr>
        <w:pStyle w:val="Heading1"/>
        <w:spacing w:before="320" w:after="120"/>
      </w:pPr>
      <w:bookmarkStart w:id="27" w:name="_Toc236832333"/>
      <w:r>
        <w:rPr>
          <w:b/>
          <w:bCs/>
          <w:color w:val="16535B"/>
        </w:rPr>
        <w:t>9. Loss or Total Destruction of the Asset</w:t>
      </w:r>
      <w:bookmarkEnd w:id="27"/>
    </w:p>
    <w:p w14:paraId="3D52000C" w14:textId="77777777" w:rsidR="00EE692C" w:rsidRDefault="00000000">
      <w:pPr>
        <w:spacing w:after="160" w:line="280" w:lineRule="auto"/>
        <w:jc w:val="both"/>
      </w:pPr>
      <w:r>
        <w:t>If the Asset is totally destroyed or lost without negligence or wilful misconduct by the Second Party, this Musharakah shall terminate. Any Takaful compensation received shall be distributed between the Parties according to their respective ownership shares on the date of destruction. If the destruction is caused by the Second Party's negligence or wilful misconduct, the Second Party shall be liable to compensate the First Party for the First Party's proportionate loss.</w:t>
      </w:r>
    </w:p>
    <w:p w14:paraId="0DD8AA8A" w14:textId="77777777" w:rsidR="00EE692C" w:rsidRDefault="00000000">
      <w:pPr>
        <w:pStyle w:val="Heading1"/>
        <w:bidi/>
        <w:spacing w:before="40" w:after="200"/>
        <w:jc w:val="right"/>
      </w:pPr>
      <w:bookmarkStart w:id="28" w:name="_Toc236832334"/>
      <w:r>
        <w:rPr>
          <w:rFonts w:ascii="IBM Plex Sans Arabic" w:eastAsia="IBM Plex Sans Arabic" w:hAnsi="IBM Plex Sans Arabic" w:cs="IBM Plex Sans Arabic"/>
          <w:b/>
          <w:bCs/>
          <w:color w:val="16535B"/>
          <w:rtl/>
        </w:rPr>
        <w:t>هلاك الأصل أو تلفه الكلي .٩</w:t>
      </w:r>
      <w:bookmarkEnd w:id="28"/>
    </w:p>
    <w:p w14:paraId="4C1320B0"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هلك الأصل كلياً أو ضاع دون إهمال أو تعدٍّ متعمد من الطرف الثاني، تنتهي هذه المشاركة. يُوزَّع أي تعويض تكافلي مستلم بين الطرفين وفقاً لحصص ملكيتهما في تاريخ الهلاك. إذا كان الهلاك ناجماً عن إهمال الطرف الثاني أو تعديه المتعمد، يكون الطرف الثاني مسؤولاً عن تعويض الطرف الأول عن خسارته النسبية.</w:t>
      </w:r>
    </w:p>
    <w:p w14:paraId="14D9CE64" w14:textId="77777777" w:rsidR="00EE692C" w:rsidRDefault="00EE692C">
      <w:pPr>
        <w:pBdr>
          <w:bottom w:val="single" w:sz="6" w:space="1" w:color="D8E4E1"/>
        </w:pBdr>
        <w:spacing w:before="40" w:after="200"/>
      </w:pPr>
    </w:p>
    <w:p w14:paraId="02CF8CA0" w14:textId="77777777" w:rsidR="00EE692C" w:rsidRDefault="00000000">
      <w:pPr>
        <w:pStyle w:val="Heading1"/>
        <w:spacing w:before="320" w:after="120"/>
      </w:pPr>
      <w:bookmarkStart w:id="29" w:name="_Toc236832335"/>
      <w:r>
        <w:rPr>
          <w:b/>
          <w:bCs/>
          <w:color w:val="16535B"/>
        </w:rPr>
        <w:t>10. Representations and Warranties</w:t>
      </w:r>
      <w:bookmarkEnd w:id="29"/>
    </w:p>
    <w:p w14:paraId="6F5295BD" w14:textId="77777777" w:rsidR="00EE692C" w:rsidRDefault="00000000">
      <w:pPr>
        <w:spacing w:after="160" w:line="280" w:lineRule="auto"/>
        <w:jc w:val="both"/>
      </w:pPr>
      <w:r>
        <w:t>Each Party represents and warrants to the other that: (a) it has full legal capacity and authority to enter into this Agreement; (b) this Agreement constitutes a legal, valid, and binding obligation enforceable against it; (c) the execution of this Agreement does not violate any applicable law, regulation, or agreement to which it is a party; and (d) all information provided to the other Party in connection with this Agreement is true, accurate, and complete.</w:t>
      </w:r>
    </w:p>
    <w:p w14:paraId="4E4755AB" w14:textId="77777777" w:rsidR="00EE692C" w:rsidRDefault="00000000">
      <w:pPr>
        <w:pStyle w:val="Heading1"/>
        <w:bidi/>
        <w:spacing w:before="40" w:after="200"/>
        <w:jc w:val="right"/>
      </w:pPr>
      <w:bookmarkStart w:id="30" w:name="_Toc236832336"/>
      <w:r>
        <w:rPr>
          <w:rFonts w:ascii="IBM Plex Sans Arabic" w:eastAsia="IBM Plex Sans Arabic" w:hAnsi="IBM Plex Sans Arabic" w:cs="IBM Plex Sans Arabic"/>
          <w:b/>
          <w:bCs/>
          <w:color w:val="16535B"/>
          <w:rtl/>
        </w:rPr>
        <w:t>الإقرارات والضمانات .١٠</w:t>
      </w:r>
      <w:bookmarkEnd w:id="30"/>
    </w:p>
    <w:p w14:paraId="21AE622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يُقرّر كل طرف للطرف الآخر ويضمن له ما يلي: (أ) يتمتع بالأهلية القانونية الكاملة والصلاحية اللازمة لإبرام هذا العقد؛ (ب) يُشكّل هذا العقد التزاماً قانونياً صحيحاً وملزماً وقابلاً للتنفيذ في مواجهته؛ (ج) لا يُخالف إبرام هذا العقد أي قانون أو لائحة معمول بها أو أي اتفاقية يكون طرفاً فيها؛ (د) جميع المعلومات المقدمة للطرف الآخر فيما يتعلق بهذا العقد صحيحة ودقيقة وكاملة.</w:t>
      </w:r>
    </w:p>
    <w:p w14:paraId="39F854A0" w14:textId="77777777" w:rsidR="00EE692C" w:rsidRDefault="00EE692C">
      <w:pPr>
        <w:pBdr>
          <w:bottom w:val="single" w:sz="6" w:space="1" w:color="D8E4E1"/>
        </w:pBdr>
        <w:spacing w:before="40" w:after="200"/>
      </w:pPr>
    </w:p>
    <w:p w14:paraId="06D34B88" w14:textId="77777777" w:rsidR="00EE692C" w:rsidRDefault="00000000">
      <w:pPr>
        <w:pStyle w:val="Heading1"/>
        <w:spacing w:before="320" w:after="120"/>
      </w:pPr>
      <w:bookmarkStart w:id="31" w:name="_Toc236832337"/>
      <w:r>
        <w:rPr>
          <w:b/>
          <w:bCs/>
          <w:color w:val="16535B"/>
        </w:rPr>
        <w:t>11. Events of Default and Remedies</w:t>
      </w:r>
      <w:bookmarkEnd w:id="31"/>
    </w:p>
    <w:p w14:paraId="730545DE" w14:textId="77777777" w:rsidR="00EE692C" w:rsidRDefault="00000000">
      <w:pPr>
        <w:spacing w:after="160" w:line="280" w:lineRule="auto"/>
        <w:jc w:val="both"/>
      </w:pPr>
      <w:ins w:id="32" w:author="Claude (BloX drafting)" w:date="2026-09-09T00:00:00Z">
        <w:r>
          <w:lastRenderedPageBreak/>
          <w:t xml:space="preserve">11.1 </w:t>
        </w:r>
      </w:ins>
      <w:r>
        <w:t>An Event of Default shall occur if: (a) the Second Party fails to pay rent under the Ijarah Agreement for more than [Number] days after the due date; (b) the Second Party uses the Asset for any unlawful or Shariah-non-compliant purpose; (c) the Second Party attempts to transfer, encumber, or dispose of the Asset without the First Party's prior written consent; or (d) the Second Party becomes insolvent or subject to bankruptcy proceedings.</w:t>
      </w:r>
    </w:p>
    <w:p w14:paraId="2C564EF5" w14:textId="77777777" w:rsidR="00EE692C" w:rsidRDefault="00000000">
      <w:pPr>
        <w:spacing w:after="160" w:line="280" w:lineRule="auto"/>
        <w:jc w:val="both"/>
      </w:pPr>
      <w:ins w:id="33" w:author="Claude (BloX drafting)" w:date="2026-09-09T00:00:00Z">
        <w:r>
          <w:t xml:space="preserve">11.2 </w:t>
        </w:r>
      </w:ins>
      <w:commentRangeStart w:id="34"/>
      <w:r>
        <w:t>Upon an Event of Default, the First Party may, after giving [Number] days' written notice, terminate the Ijarah Agreement and require the Second Party to vacate and return the Asset. The First Party may also exercise any other remedies available under applicable Qatar law, including the remedies set out in Clause 12 (Late Payment Compensation).</w:t>
      </w:r>
      <w:commentRangeEnd w:id="34"/>
      <w:r>
        <w:rPr>
          <w:rStyle w:val="CommentReference"/>
          <w:sz w:val="21"/>
          <w:szCs w:val="21"/>
        </w:rPr>
        <w:commentReference w:id="34"/>
      </w:r>
    </w:p>
    <w:p w14:paraId="11A30001" w14:textId="77777777" w:rsidR="00EE692C" w:rsidRDefault="00000000">
      <w:pPr>
        <w:spacing w:before="160" w:after="120" w:line="280" w:lineRule="auto"/>
        <w:jc w:val="both"/>
        <w:rPr>
          <w:b/>
          <w:bCs/>
          <w:color w:val="16535B"/>
        </w:rPr>
      </w:pPr>
      <w:r>
        <w:rPr>
          <w:b/>
          <w:bCs/>
          <w:color w:val="16535B"/>
        </w:rPr>
        <w:t>11.3 Sale of the Asset and Distribution of Proceeds</w:t>
      </w:r>
    </w:p>
    <w:p w14:paraId="11A30002" w14:textId="77777777" w:rsidR="00EE692C" w:rsidRDefault="00000000">
      <w:pPr>
        <w:spacing w:after="160" w:line="280" w:lineRule="auto"/>
        <w:jc w:val="both"/>
      </w:pPr>
      <w:r>
        <w:t>(a) Where an Event of Default has occurred and has not been remedied within the cure period set out in Clause 11.2, the Parties shall procure the sale of the Asset to a third party at fair market value. The Second Party may, within [Number] days of the notice of enforcement, procure such a sale itself at a price approved by the First Party.</w:t>
      </w:r>
    </w:p>
    <w:p w14:paraId="11A30003" w14:textId="77777777" w:rsidR="00EE692C" w:rsidRDefault="00000000">
      <w:pPr>
        <w:spacing w:after="160" w:line="280" w:lineRule="auto"/>
        <w:jc w:val="both"/>
      </w:pPr>
      <w:r>
        <w:t>(b) For that purpose, the Second Party hereby irrevocably appoints the First Party as its agent (Wakil) to sell the Second Party's undivided ownership share in the Asset, together with the First Party's own share, and to execute all documents and receive all proceeds in connection with such sale. The First Party shall exercise this agency in good faith, in a commercially reasonable manner, and shall not sell the Asset at a price materially below its fair market value without the Second Party's written consent.</w:t>
      </w:r>
    </w:p>
    <w:p w14:paraId="11A30004" w14:textId="77777777" w:rsidR="00EE692C" w:rsidRDefault="00000000">
      <w:pPr>
        <w:spacing w:after="160" w:line="280" w:lineRule="auto"/>
        <w:jc w:val="both"/>
      </w:pPr>
      <w:r>
        <w:t>(c) The net proceeds of sale shall be applied in the following order: (i) the reasonable and documented costs of sale; (ii) to the First Party, an amount equal to its ownership share in the Asset as at the date of sale, calculated as a percentage of the net sale proceeds; (iii) any rent accrued and unpaid under the Ijarah Agreement up to the date of sale; (iv) any Late Payment Compensation due under Clause 12, applied in accordance with that Clause; and (v) the entire balance remaining to the Second Party, representing the Second Party's ownership share in the Asset.</w:t>
      </w:r>
    </w:p>
    <w:p w14:paraId="11A30005" w14:textId="77777777" w:rsidR="00EE692C" w:rsidRDefault="00000000">
      <w:pPr>
        <w:spacing w:after="160" w:line="280" w:lineRule="auto"/>
        <w:jc w:val="both"/>
      </w:pPr>
      <w:r>
        <w:t>(d) For the avoidance of doubt, the First Party's entitlement from the sale proceeds in respect of its ownership share is limited to the value of that share as at the date of sale, and the First Party shall not be entitled to recover the outstanding balance of any financing amount or any anticipated profit. The First Party bears the risk of any diminution in the value of its own ownership share, save where the diminution results from the Second Party's negligence or wilful misconduct, in which case Clause 9 shall apply mutatis mutandis.</w:t>
      </w:r>
    </w:p>
    <w:p w14:paraId="11A30006" w14:textId="77777777" w:rsidR="00EE692C" w:rsidRDefault="00000000">
      <w:pPr>
        <w:spacing w:after="160" w:line="280" w:lineRule="auto"/>
        <w:jc w:val="both"/>
      </w:pPr>
      <w:r>
        <w:t>(e) The Second Party shall remain liable for rent accrued and unpaid up to the date of sale to the extent not satisfied from the sale proceeds, and for any damage to the Asset caused by its negligence or wilful misconduct.</w:t>
      </w:r>
    </w:p>
    <w:p w14:paraId="5D198100" w14:textId="77777777" w:rsidR="00032BE2" w:rsidRDefault="00032BE2">
      <w:pPr>
        <w:spacing w:after="160" w:line="280" w:lineRule="auto"/>
        <w:jc w:val="both"/>
      </w:pPr>
    </w:p>
    <w:p w14:paraId="5964788D" w14:textId="77777777" w:rsidR="00032BE2" w:rsidRDefault="00032BE2">
      <w:pPr>
        <w:spacing w:after="160" w:line="280" w:lineRule="auto"/>
        <w:jc w:val="both"/>
      </w:pPr>
    </w:p>
    <w:p w14:paraId="1BC0BFE4" w14:textId="77777777" w:rsidR="00032BE2" w:rsidRDefault="00032BE2">
      <w:pPr>
        <w:spacing w:after="160" w:line="280" w:lineRule="auto"/>
        <w:jc w:val="both"/>
      </w:pPr>
    </w:p>
    <w:p w14:paraId="061FE9D8" w14:textId="77777777" w:rsidR="00EE692C" w:rsidRDefault="00000000">
      <w:pPr>
        <w:pStyle w:val="Heading1"/>
        <w:bidi/>
        <w:spacing w:before="40" w:after="200"/>
        <w:jc w:val="right"/>
      </w:pPr>
      <w:bookmarkStart w:id="35" w:name="_Toc236832338"/>
      <w:r>
        <w:rPr>
          <w:rFonts w:ascii="IBM Plex Sans Arabic" w:eastAsia="IBM Plex Sans Arabic" w:hAnsi="IBM Plex Sans Arabic" w:cs="IBM Plex Sans Arabic"/>
          <w:b/>
          <w:bCs/>
          <w:color w:val="16535B"/>
          <w:rtl/>
        </w:rPr>
        <w:lastRenderedPageBreak/>
        <w:t>حالات الإخلال والحلول .١١</w:t>
      </w:r>
      <w:bookmarkEnd w:id="35"/>
    </w:p>
    <w:p w14:paraId="115AB8F9" w14:textId="77777777" w:rsidR="00EE692C" w:rsidRDefault="00000000">
      <w:pPr>
        <w:bidi/>
        <w:spacing w:after="240" w:line="300" w:lineRule="auto"/>
        <w:jc w:val="both"/>
      </w:pPr>
      <w:ins w:id="36" w:author="Claude (BloX drafting)" w:date="2026-09-09T00:00:00Z">
        <w:r>
          <w:rPr>
            <w:rFonts w:ascii="IBM Plex Sans Arabic" w:eastAsia="IBM Plex Sans Arabic" w:hAnsi="IBM Plex Sans Arabic" w:cs="IBM Plex Sans Arabic"/>
            <w:sz w:val="22"/>
            <w:szCs w:val="22"/>
            <w:rtl/>
          </w:rPr>
          <w:t xml:space="preserve">١١.١ </w:t>
        </w:r>
      </w:ins>
      <w:r>
        <w:rPr>
          <w:rFonts w:ascii="IBM Plex Sans Arabic" w:eastAsia="IBM Plex Sans Arabic" w:hAnsi="IBM Plex Sans Arabic" w:cs="IBM Plex Sans Arabic"/>
          <w:sz w:val="22"/>
          <w:szCs w:val="22"/>
          <w:rtl/>
        </w:rPr>
        <w:t>تقع حالة الإخلال إذا: (أ) تخلف الطرف الثاني عن دفع الأجرة بموجب عقد الإجارة لأكثر من [عدد] يوماً بعد تاريخ الاستحقاق؛ (ب) استخدم الطرف الثاني الأصل لأي غرض غير مشروع أو غير متوافق مع الشريعة الإسلامية؛ (ج) حاول الطرف الثاني نقل الأصل أو تحميله بأعباء أو التصرف فيه دون موافقة خطية مسبقة من الطرف الأول؛ (د) أصبح الطرف الثاني معسراً أو خضع لإجراءات الإفلاس.</w:t>
      </w:r>
    </w:p>
    <w:p w14:paraId="6076D018" w14:textId="77777777" w:rsidR="00EE692C" w:rsidRDefault="00000000">
      <w:pPr>
        <w:bidi/>
        <w:spacing w:after="240" w:line="300" w:lineRule="auto"/>
        <w:jc w:val="both"/>
      </w:pPr>
      <w:ins w:id="37" w:author="Claude (BloX drafting)" w:date="2026-09-09T00:00:00Z">
        <w:r>
          <w:rPr>
            <w:rFonts w:ascii="IBM Plex Sans Arabic" w:eastAsia="IBM Plex Sans Arabic" w:hAnsi="IBM Plex Sans Arabic" w:cs="IBM Plex Sans Arabic"/>
            <w:sz w:val="22"/>
            <w:szCs w:val="22"/>
            <w:rtl/>
          </w:rPr>
          <w:t xml:space="preserve">١١.٢ </w:t>
        </w:r>
      </w:ins>
      <w:r>
        <w:rPr>
          <w:rFonts w:ascii="IBM Plex Sans Arabic" w:eastAsia="IBM Plex Sans Arabic" w:hAnsi="IBM Plex Sans Arabic" w:cs="IBM Plex Sans Arabic"/>
          <w:sz w:val="22"/>
          <w:szCs w:val="22"/>
          <w:rtl/>
        </w:rPr>
        <w:t>عند وقوع حالة الإخلال، يجوز للطرف الأول، بعد تقديم إشعار خطي مدته [عدد] يوماً، إنهاء عقد الإجارة وطلب إخلاء الطرف الثاني للأصل وإعادته. يجوز للطرف الأول أيضاً ممارسة أي حلول أخرى متاحة بموجب قانون قطر المعمول به، بما في ذلك الحلول المنصوص عليها في البند الثاني عشر (تعويض التأخير).</w:t>
      </w:r>
    </w:p>
    <w:p w14:paraId="11A30011" w14:textId="77777777" w:rsidR="00EE692C" w:rsidRDefault="00000000">
      <w:pPr>
        <w:bidi/>
        <w:spacing w:before="160" w:after="120" w:line="300" w:lineRule="auto"/>
        <w:jc w:val="both"/>
        <w:rPr>
          <w:rFonts w:ascii="IBM Plex Sans Arabic" w:eastAsia="IBM Plex Sans Arabic" w:hAnsi="IBM Plex Sans Arabic" w:cs="IBM Plex Sans Arabic"/>
          <w:b/>
          <w:bCs/>
          <w:color w:val="16535B"/>
          <w:rtl/>
        </w:rPr>
      </w:pPr>
      <w:r>
        <w:rPr>
          <w:rFonts w:ascii="IBM Plex Sans Arabic" w:eastAsia="IBM Plex Sans Arabic" w:hAnsi="IBM Plex Sans Arabic" w:cs="IBM Plex Sans Arabic"/>
          <w:b/>
          <w:bCs/>
          <w:color w:val="16535B"/>
          <w:rtl/>
        </w:rPr>
        <w:t>١١.٣ بيع الأصل وتوزيع العائدات</w:t>
      </w:r>
    </w:p>
    <w:p w14:paraId="11A30012"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 في حال وقوع حالة إخلال ولم يتم تداركها خلال مهلة المعالجة المنصوص عليها في البند ١١.٢، يلتزم الطرفان بترتيب بيع الأصل لطرف ثالث بالقيمة السوقية العادلة. يجوز للطرف الثاني، خلال [عدد] يوماً من تاريخ إشعار التنفيذ، أن يتولى بنفسه ترتيب هذا البيع بسعر يوافق عليه الطرف الأول.</w:t>
      </w:r>
    </w:p>
    <w:p w14:paraId="11A30013"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(ب) لهذا الغرض، يُوكِّل الطرف الثاني الطرف الأول توكيلاً غير قابل للإلغاء ("الوكيل") لبيع حصة ملكية الطرف الثاني غير المفرزة في الأصل، مع حصة الطرف الأول، ولتوقيع جميع المستندات واستلام جميع عائدات البيع المتعلقة بذلك. يلتزم الطرف الأول بممارسة هذه الوكالة بحسن نية وبطريقة معقولة تجارياً، ولا يجوز له بيع الأصل بسعر يقل بشكل جوهري عن القيمة السوقية العادلة دون موافقة خطية من الطرف الثاني.</w:t>
      </w:r>
    </w:p>
    <w:p w14:paraId="11A3001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(ج) تُطبَّق عائدات البيع الصافية وفق الترتيب التالي: (١) تكاليف البيع المعقولة والموثقة؛ (٢) للطرف الأول، مبلغ يعادل حصة ملكيته في الأصل كما في تاريخ البيع، محتسبة كنسبة مئوية من عائدات البيع الصافية؛ (٣) أي أجرة مستحقة وغير مسددة بموجب عقد الإجارة حتى تاريخ البيع؛ (٤) أي تعويض عن التأخير في السداد مستحق بموجب البند الثاني عشر، ويُطبَّق وفقاً لذلك البند؛ (٥) كامل الرصيد المتبقي إلى الطرف الثاني، ممثلاً حصة ملكيته في الأصل.</w:t>
      </w:r>
    </w:p>
    <w:p w14:paraId="11A30015"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(د) لتفادي أي شك، يقتصر استحقاق الطرف الأول من عائدات البيع فيما يخص حصة ملكيته على قيمة تلك الحصة كما في تاريخ البيع، ولا يحق للطرف الأول استرداد الرصيد المتبقي من أي مبلغ تمويل أو أي ربح متوقع. يتحمل الطرف الأول مخاطر أي انخفاض في قيمة حصته الخاصة، إلا إذا نشأ هذا الانخفاض عن إهمال الطرف الثاني أو تعديه المتعمد، وفي هذه الحالة يُطبَّق البند التاسع بما يتوافق مع طبيعة الحال.</w:t>
      </w:r>
    </w:p>
    <w:p w14:paraId="11A3001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(هـ) يبقى الطرف الثاني مسؤولاً عن الأجرة المستحقة وغير المسددة حتى تاريخ البيع بالقدر الذي لم تتم تغطيته من عائدات البيع، وعن أي ضرر يلحق بالأصل ناتج عن إهماله أو تعديه المتعمد.</w:t>
      </w:r>
    </w:p>
    <w:p w14:paraId="491A05EE" w14:textId="77777777" w:rsidR="00EE692C" w:rsidRDefault="00EE692C">
      <w:pPr>
        <w:pBdr>
          <w:bottom w:val="single" w:sz="6" w:space="1" w:color="D8E4E1"/>
        </w:pBdr>
        <w:spacing w:before="40" w:after="200"/>
      </w:pPr>
    </w:p>
    <w:p w14:paraId="066253CE" w14:textId="77777777" w:rsidR="00EE692C" w:rsidRDefault="00000000">
      <w:pPr>
        <w:pStyle w:val="Heading1"/>
        <w:spacing w:before="320" w:after="120"/>
      </w:pPr>
      <w:bookmarkStart w:id="38" w:name="_Toc236832339"/>
      <w:r>
        <w:rPr>
          <w:b/>
          <w:bCs/>
          <w:color w:val="16535B"/>
        </w:rPr>
        <w:t>12. Late Payment Compensation (Ta'widh)</w:t>
      </w:r>
      <w:bookmarkEnd w:id="38"/>
    </w:p>
    <w:p w14:paraId="0535BF3C" w14:textId="77777777" w:rsidR="00EE692C" w:rsidRDefault="00000000">
      <w:pPr>
        <w:spacing w:after="160" w:line="280" w:lineRule="auto"/>
        <w:jc w:val="both"/>
      </w:pPr>
      <w:r>
        <w:t>If the Second Party fails to pay any amount due under the Ijarah Agreement on its due date, the Second Party shall pay to the First Party a late payment charge of QAR [Amount] per day of delay, calculated from the due date until the date of actual payment, by way of compensation (Ta'widh) for loss actually and directly suffered by the First Party, and not as a penalty, and not as interest (Riba).</w:t>
      </w:r>
    </w:p>
    <w:p w14:paraId="79F61984" w14:textId="77777777" w:rsidR="00EE692C" w:rsidRDefault="00000000">
      <w:pPr>
        <w:spacing w:after="160" w:line="280" w:lineRule="auto"/>
        <w:jc w:val="both"/>
      </w:pPr>
      <w:r>
        <w:t>The First Party shall not retain any part of this late payment charge for its own account or treat it as income. The full amount collected under this Clause, less the First Party's actual, documented costs of collection, shall be donated to a charitable cause approved by the Shariah Supervisory Board, in accordance with AAOIFI Shariah Standard No. 3 on Default by a Debtor.</w:t>
      </w:r>
    </w:p>
    <w:p w14:paraId="713DCA0C" w14:textId="77777777" w:rsidR="00EE692C" w:rsidRDefault="00000000">
      <w:pPr>
        <w:spacing w:after="160" w:line="280" w:lineRule="auto"/>
        <w:jc w:val="both"/>
      </w:pPr>
      <w:r>
        <w:lastRenderedPageBreak/>
        <w:t>This Clause shall not apply where the delay in payment results from the Second Party's genuine financial hardship rather than procrastination in payment while able to pay. In such cases, the First Party shall grant the Second Party respite in accordance with Shariah principles applicable to an insolvent debtor (Al-Mu'sir), and the remedies in Clause 11 shall apply instead of this Clause.</w:t>
      </w:r>
    </w:p>
    <w:p w14:paraId="6A7D1A2E" w14:textId="77777777" w:rsidR="00EE692C" w:rsidRDefault="00000000">
      <w:pPr>
        <w:pStyle w:val="Heading1"/>
        <w:bidi/>
        <w:spacing w:before="40" w:after="200"/>
        <w:jc w:val="right"/>
      </w:pPr>
      <w:bookmarkStart w:id="39" w:name="_Toc236832340"/>
      <w:r>
        <w:rPr>
          <w:rFonts w:ascii="IBM Plex Sans Arabic" w:eastAsia="IBM Plex Sans Arabic" w:hAnsi="IBM Plex Sans Arabic" w:cs="IBM Plex Sans Arabic"/>
          <w:b/>
          <w:bCs/>
          <w:color w:val="16535B"/>
          <w:rtl/>
        </w:rPr>
        <w:t>تعويض التأخير (التعويض) .١٢</w:t>
      </w:r>
      <w:bookmarkEnd w:id="39"/>
    </w:p>
    <w:p w14:paraId="5C623F3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تخلف الطرف الثاني عن سداد أي مبلغ مستحق بموجب عقد الإجارة في تاريخ استحقاقه، يدفع الطرف الثاني للطرف الأول رسم تأخير قدره [المبلغ] ريال قطري عن كل يوم تأخير، يُحتسب من تاريخ الاستحقاق حتى تاريخ السداد الفعلي، وذلك على سبيل التعويض عن الضرر الفعلي والمباشر الذي لحق بالطرف الأول، وليس على سبيل الغرامة، وليس رباً.</w:t>
      </w:r>
    </w:p>
    <w:p w14:paraId="4020C98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يحتفظ الطرف الأول بأي جزء من رسم التأخير هذا لحسابه الخاص ولا يعامله كإيراد. يُتبرَّع بكامل المبلغ المحصَّل بموجب هذا البند، بعد خصم تكاليف التحصيل الفعلية والموثقة للطرف الأول، لجهة خيرية تعتمدها هيئة الرقابة الشرعية، وفقاً للمعيار الشرعي رقم 3 للأيوفي بشأن مماطلة المدين.</w:t>
      </w:r>
    </w:p>
    <w:p w14:paraId="44E0D727"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يسري هذا البند إذا كان التأخير في السداد ناجماً عن عسر مالي حقيقي للطرف الثاني وليس مماطلة مع القدرة على السداد. وفي هذه الحالة، يمنح الطرف الأول الطرف الثاني مهلة وفقاً لمبادئ الشريعة الإسلامية المطبقة على المدين المعسر، وتسري الحلول الواردة في البند الحادي عشر بدلاً من هذا البند.</w:t>
      </w:r>
    </w:p>
    <w:p w14:paraId="00AABE1A" w14:textId="77777777" w:rsidR="00EE692C" w:rsidRDefault="00EE692C">
      <w:pPr>
        <w:pBdr>
          <w:bottom w:val="single" w:sz="6" w:space="1" w:color="D8E4E1"/>
        </w:pBdr>
        <w:spacing w:before="40" w:after="200"/>
      </w:pPr>
    </w:p>
    <w:p w14:paraId="314B9123" w14:textId="77777777" w:rsidR="00EE692C" w:rsidRDefault="00000000">
      <w:pPr>
        <w:pStyle w:val="Heading1"/>
        <w:spacing w:before="320" w:after="120"/>
      </w:pPr>
      <w:bookmarkStart w:id="40" w:name="_Toc236832341"/>
      <w:r>
        <w:rPr>
          <w:b/>
          <w:bCs/>
          <w:color w:val="16535B"/>
        </w:rPr>
        <w:t>13. Force Majeure</w:t>
      </w:r>
      <w:bookmarkEnd w:id="40"/>
    </w:p>
    <w:p w14:paraId="3B0BAD34" w14:textId="77777777" w:rsidR="00EE692C" w:rsidRDefault="00000000">
      <w:pPr>
        <w:spacing w:after="160" w:line="280" w:lineRule="auto"/>
        <w:jc w:val="both"/>
      </w:pPr>
      <w:r>
        <w:t>Neither Party shall be liable for any failure or delay in performing its obligations under this Agreement (other than payment obligations already due at the time the Force Majeure Event begins) to the extent that such failure or delay results from a Force Majeure Event.</w:t>
      </w:r>
    </w:p>
    <w:p w14:paraId="4A007FCA" w14:textId="77777777" w:rsidR="00EE692C" w:rsidRDefault="00000000">
      <w:pPr>
        <w:spacing w:after="160" w:line="280" w:lineRule="auto"/>
        <w:jc w:val="both"/>
      </w:pPr>
      <w:r>
        <w:t>"Force Majeure Event" means any event beyond the reasonable control of the affected Party, including natural disaster, war, civil unrest, act of government or public authority, epidemic or pandemic, or a general and material failure of utilities or telecommunications infrastructure in the State of Qatar.</w:t>
      </w:r>
    </w:p>
    <w:p w14:paraId="10334D17" w14:textId="77777777" w:rsidR="00EE692C" w:rsidRDefault="00000000">
      <w:pPr>
        <w:spacing w:after="160" w:line="280" w:lineRule="auto"/>
        <w:jc w:val="both"/>
      </w:pPr>
      <w:r>
        <w:t>The Party affected by a Force Majeure Event shall notify the other Party in writing within [Number] days of becoming aware of the event, describing its nature and expected duration, and shall use reasonable efforts to mitigate its effects. If a Force Majeure Event continues for more than [Number] consecutive days, either Party may terminate this Agreement by written notice, without penalty, subject to settlement between the Parties of all amounts accrued and outstanding up to the date of termination.</w:t>
      </w:r>
    </w:p>
    <w:p w14:paraId="1B2123A1" w14:textId="77777777" w:rsidR="00EE692C" w:rsidRDefault="00000000">
      <w:pPr>
        <w:pStyle w:val="Heading1"/>
        <w:bidi/>
        <w:spacing w:before="40" w:after="200"/>
        <w:jc w:val="right"/>
      </w:pPr>
      <w:bookmarkStart w:id="41" w:name="_Toc236832342"/>
      <w:r>
        <w:rPr>
          <w:rFonts w:ascii="IBM Plex Sans Arabic" w:eastAsia="IBM Plex Sans Arabic" w:hAnsi="IBM Plex Sans Arabic" w:cs="IBM Plex Sans Arabic"/>
          <w:b/>
          <w:bCs/>
          <w:color w:val="16535B"/>
          <w:rtl/>
        </w:rPr>
        <w:t>القوة القاهرة .١٣</w:t>
      </w:r>
      <w:bookmarkEnd w:id="41"/>
    </w:p>
    <w:p w14:paraId="61609AC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يكون أي طرف مسؤولاً عن أي إخفاق أو تأخير في تنفيذ التزاماته بموجب هذا العقد (باستثناء التزامات الدفع المستحقة بالفعل عند بدء حدث القوة القاهرة) بالقدر الذي ينجم فيه هذا الإخفاق أو التأخير عن حدث قوة قاهرة.</w:t>
      </w:r>
    </w:p>
    <w:p w14:paraId="521E7C1D"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يُقصد بـ "حدث القوة القاهرة" أي حدث خارج عن السيطرة المعقولة للطرف المتأثر، بما في ذلك الكوارث الطبيعية أو الحرب أو الاضطرابات المدنية أو إجراءات الحكومة أو السلطات العامة أو الأوبئة أو الجوائح، أو التعطل العام والجوهري للمرافق أو البنية التحتية للاتصالات في دولة قطر.</w:t>
      </w:r>
    </w:p>
    <w:p w14:paraId="768C4AB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يُخطر الطرف المتأثر بحدث قوة قاهرة الطرف الآخر خطياً خلال [عدد] يوماً من علمه بالحدث، موضحاً طبيعته ومدته المتوقعة، ويبذل جهوداً معقولة للتخفيف من آثاره. إذا استمر حدث القوة القاهرة لأكثر من [عدد] يوماً متتالياً، يجوز لأي من الطرفين إنهاء هذا العقد بإشعار خطي، دون أي غرامة، مع مراعاة تسوية جميع المبالغ المستحقة والمتراكمة بين الطرفين حتى تاريخ الإنهاء.</w:t>
      </w:r>
    </w:p>
    <w:p w14:paraId="7F1C0534" w14:textId="77777777" w:rsidR="00EE692C" w:rsidRDefault="00EE692C">
      <w:pPr>
        <w:pBdr>
          <w:bottom w:val="single" w:sz="6" w:space="1" w:color="D8E4E1"/>
        </w:pBdr>
        <w:spacing w:before="40" w:after="200"/>
      </w:pPr>
    </w:p>
    <w:p w14:paraId="7100A648" w14:textId="77777777" w:rsidR="00EE692C" w:rsidRDefault="00000000">
      <w:pPr>
        <w:pStyle w:val="Heading1"/>
        <w:spacing w:before="320" w:after="120"/>
      </w:pPr>
      <w:bookmarkStart w:id="42" w:name="_Toc236832343"/>
      <w:r>
        <w:rPr>
          <w:b/>
          <w:bCs/>
          <w:color w:val="16535B"/>
        </w:rPr>
        <w:t>14. Assignment and Transfer</w:t>
      </w:r>
      <w:bookmarkEnd w:id="42"/>
    </w:p>
    <w:p w14:paraId="40F804E1" w14:textId="77777777" w:rsidR="00EE692C" w:rsidRDefault="00000000">
      <w:pPr>
        <w:spacing w:after="160" w:line="280" w:lineRule="auto"/>
        <w:jc w:val="both"/>
      </w:pPr>
      <w:r>
        <w:t>The First Party may, at its discretion and without requiring the consent of the Second Party, assign, transfer, sell, participate, or otherwise dispose of the whole or any part of its rights, benefits, and obligations under this Agreement — including its ownership share in the Asset and its rights to receive rental or sale proceeds — to any bank, financial institution, special purpose vehicle, or other third party, including for purposes of syndication, risk participation, or securitisation, provided that any such assignment shall not adversely affect the Second Party's rights under this Agreement. The First Party shall give the Second Party written notice of any such assignment.</w:t>
      </w:r>
    </w:p>
    <w:p w14:paraId="05DFF4CC" w14:textId="77777777" w:rsidR="00EE692C" w:rsidRDefault="00000000">
      <w:pPr>
        <w:spacing w:after="160" w:line="280" w:lineRule="auto"/>
        <w:jc w:val="both"/>
      </w:pPr>
      <w:r>
        <w:t>The Second Party shall not assign, transfer, or otherwise deal with its rights or obligations under this Agreement without the prior written consent of the First Party.</w:t>
      </w:r>
    </w:p>
    <w:p w14:paraId="7BBEED67" w14:textId="77777777" w:rsidR="00EE692C" w:rsidRDefault="00000000">
      <w:pPr>
        <w:pStyle w:val="Heading1"/>
        <w:bidi/>
        <w:spacing w:before="40" w:after="200"/>
        <w:jc w:val="right"/>
      </w:pPr>
      <w:bookmarkStart w:id="43" w:name="_Toc236832344"/>
      <w:r>
        <w:rPr>
          <w:rFonts w:ascii="IBM Plex Sans Arabic" w:eastAsia="IBM Plex Sans Arabic" w:hAnsi="IBM Plex Sans Arabic" w:cs="IBM Plex Sans Arabic"/>
          <w:b/>
          <w:bCs/>
          <w:color w:val="16535B"/>
          <w:rtl/>
        </w:rPr>
        <w:t>التنازل والنقل .١٤</w:t>
      </w:r>
      <w:bookmarkEnd w:id="43"/>
    </w:p>
    <w:p w14:paraId="66A68A9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يجوز للطرف الأول، وفقاً لتقديره ودون الحاجة إلى موافقة الطرف الثاني، أن يتنازل عن كل أو أي جزء من حقوقه ومنافعه والتزاماته بموجب هذا العقد أو ينقلها أو يبيعها أو يشارك فيها أو يتصرف فيها بأي شكل آخر — بما في ذلك حصته المملوكة في الأصل وحقوقه في تحصيل عائدات الإيجار أو البيع — إلى أي بنك أو مؤسسة مالية أو كيان ذي غرض خاص أو أي طرف ثالث آخر، بما في ذلك لأغراض المشاركة المصرفية أو المشاركة في المخاطر أو التسنيد، شريطة ألا يؤثر هذا التنازل سلباً على حقوق الطرف الثاني بموجب هذا العقد. ويوجّه الطرف الأول إشعاراً خطياً للطرف الثاني بأي تنازل من هذا القبيل.</w:t>
      </w:r>
    </w:p>
    <w:p w14:paraId="1E1ECA2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يجوز للطرف الثاني التنازل عن حقوقه أو التزاماته بموجب هذا العقد أو نقلها أو التعامل معها بأي شكل آخر دون موافقة خطية مسبقة من الطرف الأول.</w:t>
      </w:r>
    </w:p>
    <w:p w14:paraId="1E3DD5BE" w14:textId="77777777" w:rsidR="00EE692C" w:rsidRDefault="00EE692C">
      <w:pPr>
        <w:pBdr>
          <w:bottom w:val="single" w:sz="6" w:space="1" w:color="D8E4E1"/>
        </w:pBdr>
        <w:spacing w:before="40" w:after="200"/>
      </w:pPr>
    </w:p>
    <w:p w14:paraId="453DADDE" w14:textId="77777777" w:rsidR="00EE692C" w:rsidRDefault="00000000">
      <w:pPr>
        <w:pStyle w:val="Heading1"/>
        <w:spacing w:before="320" w:after="120"/>
      </w:pPr>
      <w:bookmarkStart w:id="44" w:name="_Toc236832345"/>
      <w:r>
        <w:rPr>
          <w:b/>
          <w:bCs/>
          <w:color w:val="16535B"/>
        </w:rPr>
        <w:t>15. Electronic Execution and Digital Platform</w:t>
      </w:r>
      <w:bookmarkEnd w:id="44"/>
    </w:p>
    <w:p w14:paraId="6A44014D" w14:textId="77777777" w:rsidR="00EE692C" w:rsidRDefault="00000000">
      <w:pPr>
        <w:spacing w:after="160" w:line="280" w:lineRule="auto"/>
        <w:jc w:val="both"/>
      </w:pPr>
      <w:r>
        <w:t>The Parties agree that this Agreement, and any related notice, consent, offer, acceptance, or instruction, may be executed, given, or communicated by electronic means, including through the Blox digital platform, electronic signature, or authenticated electronic acceptance, and that such electronic execution or communication shall have the same legal effect and enforceability as a handwritten signature or physical delivery, in accordance with Law No. (16) of 2010 (the Electronic Commerce and Transactions Law) of the State of Qatar. Each Party consents to the use of electronic records and electronic signatures for all purposes under this Agreement and waives any right to challenge the validity of this Agreement solely on the ground that it was executed or communicated electronically.</w:t>
      </w:r>
    </w:p>
    <w:p w14:paraId="4DF2D724" w14:textId="77777777" w:rsidR="00EE692C" w:rsidRDefault="00000000">
      <w:pPr>
        <w:pStyle w:val="Heading1"/>
        <w:bidi/>
        <w:spacing w:before="40" w:after="200"/>
        <w:jc w:val="right"/>
      </w:pPr>
      <w:bookmarkStart w:id="45" w:name="_Toc236832346"/>
      <w:r>
        <w:rPr>
          <w:rFonts w:ascii="IBM Plex Sans Arabic" w:eastAsia="IBM Plex Sans Arabic" w:hAnsi="IBM Plex Sans Arabic" w:cs="IBM Plex Sans Arabic"/>
          <w:b/>
          <w:bCs/>
          <w:color w:val="16535B"/>
          <w:rtl/>
        </w:rPr>
        <w:t>التنفيذ الإلكتروني والمنصة الرقمية .١٥</w:t>
      </w:r>
      <w:bookmarkEnd w:id="45"/>
    </w:p>
    <w:p w14:paraId="783456B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يتفق الطرفان على أنه يجوز إبرام هذا العقد، وتقديم أو توصيل أي إخطار أو موافقة أو عرض أو قبول أو تعليمات متعلقة به، بالوسائل الإلكترونية، بما في ذلك عبر المنصة الرقمية لبلوكس أو التوقيع الإلكتروني أو القبول الإلكتروني الموثَّق، وأن يكون لهذا التنفيذ أو التواصل الإلكتروني ذات الأثر القانوني وقابلية التنفيذ التي يتمتع بها التوقيع الخطي أو التسليم المادي، وذلك وفقاً للقانون رقم (16) لسنة 2010 (قانون المعاملات والتجارة الإلكترونية) لدولة قطر. يوافق كل طرف على استخدام السجلات والتوقيعات الإلكترونية لجميع الأغراض بموجب هذا العقد، ويتنازل عن أي حق في الطعن بصحة هذا العقد لمجرد أنه أُبرم أو تم التواصل بشأنه إلكترونياً.</w:t>
      </w:r>
    </w:p>
    <w:p w14:paraId="0AEEC39C" w14:textId="77777777" w:rsidR="00EE692C" w:rsidRDefault="00EE692C">
      <w:pPr>
        <w:pBdr>
          <w:bottom w:val="single" w:sz="6" w:space="1" w:color="D8E4E1"/>
        </w:pBdr>
        <w:spacing w:before="40" w:after="200"/>
      </w:pPr>
    </w:p>
    <w:p w14:paraId="04D2DC2A" w14:textId="77777777" w:rsidR="00EE692C" w:rsidRDefault="00000000">
      <w:pPr>
        <w:pStyle w:val="Heading1"/>
        <w:spacing w:before="320" w:after="120"/>
      </w:pPr>
      <w:bookmarkStart w:id="46" w:name="_Toc236832347"/>
      <w:r>
        <w:rPr>
          <w:b/>
          <w:bCs/>
          <w:color w:val="16535B"/>
        </w:rPr>
        <w:t>16. Data Protection</w:t>
      </w:r>
      <w:bookmarkEnd w:id="46"/>
    </w:p>
    <w:p w14:paraId="2854FC58" w14:textId="77777777" w:rsidR="00EE692C" w:rsidRDefault="00000000">
      <w:pPr>
        <w:spacing w:after="160" w:line="280" w:lineRule="auto"/>
        <w:jc w:val="both"/>
      </w:pPr>
      <w:r>
        <w:t>In connection with this Agreement, the First Party may collect, process, store, and use the Second Party's personal data, including identification, financial, and contact information, for purposes including underwriting, contract administration, payment collection, regulatory reporting, and fraud prevention. The First Party shall process such personal data in accordance with the PDPPL and any regulations issued thereunder, and shall implement appropriate technical and organisational measures to protect such data against unauthorised access, loss, or misuse.</w:t>
      </w:r>
    </w:p>
    <w:p w14:paraId="5F618193" w14:textId="77777777" w:rsidR="00EE692C" w:rsidRDefault="00000000">
      <w:pPr>
        <w:spacing w:after="160" w:line="280" w:lineRule="auto"/>
        <w:jc w:val="both"/>
      </w:pPr>
      <w:r>
        <w:t>The Second Party consents to the processing of their personal data for the purposes described above and, where required for regulatory or credit assessment purposes, to the sharing of such data with QCB, licensed credit bureaus, Takaful providers, and professional advisors engaged by the First Party, subject to those recipients' confidentiality obligations.</w:t>
      </w:r>
    </w:p>
    <w:p w14:paraId="3AB4DACA" w14:textId="77777777" w:rsidR="00EE692C" w:rsidRDefault="00000000">
      <w:pPr>
        <w:pStyle w:val="Heading1"/>
        <w:bidi/>
        <w:spacing w:before="40" w:after="200"/>
        <w:jc w:val="right"/>
      </w:pPr>
      <w:bookmarkStart w:id="47" w:name="_Toc236832348"/>
      <w:r>
        <w:rPr>
          <w:rFonts w:ascii="IBM Plex Sans Arabic" w:eastAsia="IBM Plex Sans Arabic" w:hAnsi="IBM Plex Sans Arabic" w:cs="IBM Plex Sans Arabic"/>
          <w:b/>
          <w:bCs/>
          <w:color w:val="16535B"/>
          <w:rtl/>
        </w:rPr>
        <w:t>حماية البيانات .١٦</w:t>
      </w:r>
      <w:bookmarkEnd w:id="47"/>
    </w:p>
    <w:p w14:paraId="473A50E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فيما يتعلق بهذا العقد، يجوز للطرف الأول جمع بيانات الطرف الثاني الشخصية ومعالجتها وتخزينها واستخدامها، بما في ذلك بيانات الهوية والبيانات المالية وبيانات التواصل، لأغراض تشمل التحقق الائتماني وإدارة العقد وتحصيل المدفوعات والإبلاغ التنظيمي ومنع الاحتيال. يعالج الطرف الأول هذه البيانات الشخصية وفقاً لقانون حماية الخصوصية وأي لوائح صادرة بموجبه، ويطبق التدابير التقنية والتنظيمية المناسبة لحماية هذه البيانات من الوصول غير المصرح به أو الفقدان أو إساءة الاستخدام.</w:t>
      </w:r>
    </w:p>
    <w:p w14:paraId="233F49E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يوافق الطرف الثاني على معالجة بياناته الشخصية للأغراض الموضحة أعلاه، وعلى مشاركة هذه البيانات، عند اللزوم لأغراض تنظيمية أو تقييم ائتماني، مع مصرف قطر المركزي ومكاتب الائتمان المرخصة ومزوّدي التكافل والمستشارين المهنيين الذين يستعين بهم الطرف الأول، مع مراعاة التزامات السرية الواقعة على هؤلاء المتلقين.</w:t>
      </w:r>
    </w:p>
    <w:p w14:paraId="4E02C011" w14:textId="77777777" w:rsidR="00EE692C" w:rsidRDefault="00EE692C">
      <w:pPr>
        <w:pBdr>
          <w:bottom w:val="single" w:sz="6" w:space="1" w:color="D8E4E1"/>
        </w:pBdr>
        <w:spacing w:before="40" w:after="200"/>
      </w:pPr>
    </w:p>
    <w:p w14:paraId="5A8F18E7" w14:textId="77777777" w:rsidR="00EE692C" w:rsidRDefault="00000000">
      <w:pPr>
        <w:pStyle w:val="Heading1"/>
        <w:spacing w:before="320" w:after="120"/>
      </w:pPr>
      <w:bookmarkStart w:id="48" w:name="_Toc236832349"/>
      <w:r>
        <w:rPr>
          <w:b/>
          <w:bCs/>
          <w:color w:val="16535B"/>
        </w:rPr>
        <w:t>17. Shariah Compliance</w:t>
      </w:r>
      <w:bookmarkEnd w:id="48"/>
    </w:p>
    <w:p w14:paraId="3EBB2FC2" w14:textId="77777777" w:rsidR="00EE692C" w:rsidRDefault="00000000">
      <w:pPr>
        <w:spacing w:after="160" w:line="280" w:lineRule="auto"/>
        <w:jc w:val="both"/>
      </w:pPr>
      <w:r>
        <w:t>This Agreement and all transactions contemplated herein are intended to comply with the principles of Islamic Shariah, including the prohibition of Riba (interest), Gharar (excessive uncertainty), and Maysir (speculation). This Agreement shall be interpreted and performed in a manner consistent with the rulings of the Shariah Supervisory Board of Blox and the standards issued by AAOIFI. In the event of any conflict between the terms of this Agreement and Shariah principles, the Shariah principles shall prevail.</w:t>
      </w:r>
    </w:p>
    <w:p w14:paraId="2E23F726" w14:textId="77777777" w:rsidR="00EE692C" w:rsidRDefault="00000000">
      <w:pPr>
        <w:pStyle w:val="Heading1"/>
        <w:bidi/>
        <w:spacing w:before="40" w:after="200"/>
        <w:jc w:val="right"/>
      </w:pPr>
      <w:bookmarkStart w:id="49" w:name="_Toc236832350"/>
      <w:r>
        <w:rPr>
          <w:rFonts w:ascii="IBM Plex Sans Arabic" w:eastAsia="IBM Plex Sans Arabic" w:hAnsi="IBM Plex Sans Arabic" w:cs="IBM Plex Sans Arabic"/>
          <w:b/>
          <w:bCs/>
          <w:color w:val="16535B"/>
          <w:rtl/>
        </w:rPr>
        <w:t>الامتثال للشريعة الإسلامية .١٧</w:t>
      </w:r>
      <w:bookmarkEnd w:id="49"/>
    </w:p>
    <w:p w14:paraId="34CD4632"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lastRenderedPageBreak/>
        <w:t>يُقصد من هذا العقد وجميع المعاملات المتصورة فيه الامتثال لمبادئ الشريعة الإسلامية، بما في ذلك تحريم الربا والغرر والميسر. يُفسَّر هذا العقد ويُنفَّذ بما يتوافق مع أحكام هيئة الرقابة الشرعية لبلوكس والمعايير الصادرة عن الأيوفي. في حال وجود أي تعارض بين شروط هذا العقد ومبادئ الشريعة الإسلامية، تسود مبادئ الشريعة الإسلامية.</w:t>
      </w:r>
    </w:p>
    <w:p w14:paraId="420ABA64" w14:textId="77777777" w:rsidR="00EE692C" w:rsidRDefault="00EE692C">
      <w:pPr>
        <w:pBdr>
          <w:bottom w:val="single" w:sz="6" w:space="1" w:color="D8E4E1"/>
        </w:pBdr>
        <w:spacing w:before="40" w:after="200"/>
      </w:pPr>
    </w:p>
    <w:p w14:paraId="309D5A15" w14:textId="77777777" w:rsidR="00EE692C" w:rsidRDefault="00000000">
      <w:pPr>
        <w:pStyle w:val="Heading1"/>
        <w:spacing w:before="320" w:after="120"/>
      </w:pPr>
      <w:bookmarkStart w:id="50" w:name="_Toc236832351"/>
      <w:r>
        <w:rPr>
          <w:b/>
          <w:bCs/>
          <w:color w:val="16535B"/>
        </w:rPr>
        <w:t>18. Governing Law and Dispute Resolution</w:t>
      </w:r>
      <w:bookmarkEnd w:id="50"/>
    </w:p>
    <w:p w14:paraId="1F95A39C" w14:textId="77777777" w:rsidR="00EE692C" w:rsidRDefault="00000000">
      <w:pPr>
        <w:spacing w:after="160" w:line="280" w:lineRule="auto"/>
        <w:jc w:val="both"/>
      </w:pPr>
      <w:r>
        <w:t>This Agreement shall be governed by and construed in accordance with Law No. (22) of 2004 (Qatar Civil Code) and all other applicable laws of the State of Qatar, to the extent they do not conflict with the principles of Islamic Shariah.</w:t>
      </w:r>
    </w:p>
    <w:p w14:paraId="4AB25231" w14:textId="77777777" w:rsidR="00EE692C" w:rsidRDefault="00000000">
      <w:pPr>
        <w:spacing w:after="160" w:line="280" w:lineRule="auto"/>
        <w:jc w:val="both"/>
      </w:pPr>
      <w:r>
        <w:t>The Parties shall first attempt to resolve any dispute, controversy, or claim arising out of or relating to this Agreement amicably through good-faith negotiation for a period of [Number] days from written notice of the dispute.</w:t>
      </w:r>
    </w:p>
    <w:p w14:paraId="3607F652" w14:textId="77777777" w:rsidR="00EE692C" w:rsidRDefault="00000000">
      <w:pPr>
        <w:spacing w:after="160" w:line="280" w:lineRule="auto"/>
        <w:jc w:val="both"/>
      </w:pPr>
      <w:r>
        <w:t>If the dispute is not resolved within that period, either Party may elect to refer the dispute to final and binding arbitration administered by the Qatar International Center for Conciliation and Arbitration (QICCA) in accordance with its Rules then in force, by a sole arbitrator appointed under those Rules, seated in Doha, State of Qatar, and conducted in the Arabic and/or English language. In the absence of such election by either Party, the dispute shall be referred to the competent courts of the State of Qatar.</w:t>
      </w:r>
    </w:p>
    <w:p w14:paraId="6A817D6E" w14:textId="77777777" w:rsidR="00EE692C" w:rsidRDefault="00000000">
      <w:pPr>
        <w:spacing w:after="160" w:line="280" w:lineRule="auto"/>
        <w:jc w:val="both"/>
      </w:pPr>
      <w:r>
        <w:t>Nothing in this Clause shall prevent either Party from seeking interim or injunctive relief before the competent courts of the State of Qatar, or from applying to those courts to enforce any arbitral award rendered under this Clause.</w:t>
      </w:r>
    </w:p>
    <w:p w14:paraId="04B5D668" w14:textId="77777777" w:rsidR="00EE692C" w:rsidRDefault="00000000">
      <w:pPr>
        <w:pStyle w:val="Heading1"/>
        <w:bidi/>
        <w:spacing w:before="40" w:after="200"/>
        <w:jc w:val="right"/>
      </w:pPr>
      <w:bookmarkStart w:id="51" w:name="_Toc236832352"/>
      <w:r>
        <w:rPr>
          <w:rFonts w:ascii="IBM Plex Sans Arabic" w:eastAsia="IBM Plex Sans Arabic" w:hAnsi="IBM Plex Sans Arabic" w:cs="IBM Plex Sans Arabic"/>
          <w:b/>
          <w:bCs/>
          <w:color w:val="16535B"/>
          <w:rtl/>
        </w:rPr>
        <w:t>القانون الواجب التطبيق وتسوية النزاعات .١٨</w:t>
      </w:r>
      <w:bookmarkEnd w:id="51"/>
    </w:p>
    <w:p w14:paraId="4EEF0768"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يخضع هذا العقد ويُفسَّر وفقاً للقانون رقم (22) لسنة 2004 (القانون المدني القطري) وجميع القوانين الأخرى المعمول بها في دولة قطر، بالقدر الذي لا يتعارض فيه مع مبادئ الشريعة الإسلامية.</w:t>
      </w:r>
    </w:p>
    <w:p w14:paraId="42FC0064"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يسعى الطرفان أولاً إلى تسوية أي نزاع أو خلاف أو مطالبة ينشأ عن هذا العقد أو يتعلق به ودياً من خلال مفاوضات بحسن نية لمدة [عدد] يوماً من تاريخ الإشعار الخطي بالنزاع.</w:t>
      </w:r>
    </w:p>
    <w:p w14:paraId="58A7CD7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إذا لم تتم تسوية النزاع خلال تلك المدة، يجوز لأي من الطرفين اختيار إحالة النزاع إلى التحكيم النهائي والملزم الذي يديره مركز قطر الدولي للتوفيق والتحكيم (QICCA) وفقاً لقواعده السارية حينذاك، أمام محكّم واحد يُعيَّن بموجب تلك القواعد، ويكون مقر التحكيم مدينة الدوحة، دولة قطر، ويُجرى باللغة العربية و/أو الإنجليزية. وفي حال عدم اختيار أي من الطرفين لهذا الخيار، يُحال النزاع إلى المحاكم المختصة في دولة قطر.</w:t>
      </w:r>
    </w:p>
    <w:p w14:paraId="3882904C"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لا يمنع أي مما ورد في هذا البند أياً من الطرفين من طلب إجراءات مستعجلة أو تحفظية أمام المحاكم المختصة في دولة قطر، أو من التقدم إلى تلك المحاكم لتنفيذ أي حكم تحكيم صادر بموجب هذا البند.</w:t>
      </w:r>
    </w:p>
    <w:p w14:paraId="03E67853" w14:textId="77777777" w:rsidR="00EE692C" w:rsidRDefault="00EE692C">
      <w:pPr>
        <w:pBdr>
          <w:bottom w:val="single" w:sz="6" w:space="1" w:color="D8E4E1"/>
        </w:pBdr>
        <w:spacing w:before="40" w:after="200"/>
      </w:pPr>
    </w:p>
    <w:p w14:paraId="3BA2AAEB" w14:textId="77777777" w:rsidR="00EE692C" w:rsidRDefault="00000000">
      <w:pPr>
        <w:pStyle w:val="Heading1"/>
        <w:spacing w:before="320" w:after="120"/>
      </w:pPr>
      <w:bookmarkStart w:id="52" w:name="_Toc236832353"/>
      <w:r>
        <w:rPr>
          <w:b/>
          <w:bCs/>
          <w:color w:val="16535B"/>
        </w:rPr>
        <w:t>19. Language</w:t>
      </w:r>
      <w:bookmarkEnd w:id="52"/>
    </w:p>
    <w:p w14:paraId="6A83DDFF" w14:textId="77777777" w:rsidR="00EE692C" w:rsidRDefault="00000000">
      <w:pPr>
        <w:spacing w:after="160" w:line="280" w:lineRule="auto"/>
        <w:jc w:val="both"/>
      </w:pPr>
      <w:r>
        <w:lastRenderedPageBreak/>
        <w:t>This Agreement is executed in both Arabic and English. Both texts are equally authentic. In the event of any discrepancy or conflict between the two texts, the Arabic text shall prevail, in accordance with applicable Qatar law.</w:t>
      </w:r>
    </w:p>
    <w:p w14:paraId="5FE87DAA" w14:textId="77777777" w:rsidR="00EE692C" w:rsidRDefault="00000000">
      <w:pPr>
        <w:pStyle w:val="Heading1"/>
        <w:bidi/>
        <w:spacing w:before="40" w:after="200"/>
        <w:jc w:val="right"/>
      </w:pPr>
      <w:bookmarkStart w:id="53" w:name="_Toc236832354"/>
      <w:r>
        <w:rPr>
          <w:rFonts w:ascii="IBM Plex Sans Arabic" w:eastAsia="IBM Plex Sans Arabic" w:hAnsi="IBM Plex Sans Arabic" w:cs="IBM Plex Sans Arabic"/>
          <w:b/>
          <w:bCs/>
          <w:color w:val="16535B"/>
          <w:rtl/>
        </w:rPr>
        <w:t>اللغة .١٩</w:t>
      </w:r>
      <w:bookmarkEnd w:id="53"/>
    </w:p>
    <w:p w14:paraId="7529D086"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أُبرم هذا العقد باللغتين العربية والإنجليزية. كلا النصين متساويان في الحجية. في حال وجود أي تعارض أو اختلاف بين النصين، يُعتمد النص العربي، وفقاً لقانون قطر المعمول به.</w:t>
      </w:r>
    </w:p>
    <w:p w14:paraId="6031A8DA" w14:textId="77777777" w:rsidR="00EE692C" w:rsidRDefault="00EE692C">
      <w:pPr>
        <w:pBdr>
          <w:bottom w:val="single" w:sz="6" w:space="1" w:color="D8E4E1"/>
        </w:pBdr>
        <w:spacing w:before="40" w:after="200"/>
      </w:pPr>
    </w:p>
    <w:p w14:paraId="6C279CEB" w14:textId="77777777" w:rsidR="00EE692C" w:rsidRDefault="00000000">
      <w:pPr>
        <w:pStyle w:val="Heading1"/>
        <w:spacing w:before="320" w:after="120"/>
      </w:pPr>
      <w:bookmarkStart w:id="54" w:name="_Toc236832355"/>
      <w:r>
        <w:rPr>
          <w:b/>
          <w:bCs/>
          <w:color w:val="16535B"/>
        </w:rPr>
        <w:t>20. Entire Agreement and Amendments</w:t>
      </w:r>
      <w:bookmarkEnd w:id="54"/>
    </w:p>
    <w:p w14:paraId="46BBC886" w14:textId="77777777" w:rsidR="00EE692C" w:rsidRDefault="00000000">
      <w:pPr>
        <w:spacing w:after="160" w:line="280" w:lineRule="auto"/>
        <w:jc w:val="both"/>
      </w:pPr>
      <w:r>
        <w:t>This Agreement, together with the Ijarah Agreement, the Promise to Purchase (Wa'd), and all annexes hereto, constitutes the entire agreement between the Parties with respect to the subject matter hereof and supersedes all prior negotiations, representations, and agreements. No amendment to this Agreement shall be valid unless made in writing and signed by both Parties.</w:t>
      </w:r>
    </w:p>
    <w:p w14:paraId="2D089EEA" w14:textId="77777777" w:rsidR="00EE692C" w:rsidRDefault="00000000">
      <w:pPr>
        <w:pStyle w:val="Heading1"/>
        <w:bidi/>
        <w:spacing w:before="40" w:after="200"/>
        <w:jc w:val="right"/>
      </w:pPr>
      <w:bookmarkStart w:id="55" w:name="_Toc236832356"/>
      <w:r>
        <w:rPr>
          <w:rFonts w:ascii="IBM Plex Sans Arabic" w:eastAsia="IBM Plex Sans Arabic" w:hAnsi="IBM Plex Sans Arabic" w:cs="IBM Plex Sans Arabic"/>
          <w:b/>
          <w:bCs/>
          <w:color w:val="16535B"/>
          <w:rtl/>
        </w:rPr>
        <w:t>العقد الكامل والتعديلات .٢٠</w:t>
      </w:r>
      <w:bookmarkEnd w:id="55"/>
    </w:p>
    <w:p w14:paraId="3EC52F81"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يُشكّل هذا العقد، إلى جانب عقد الإجارة ووعد الشراء (الوعد) وجميع الملاحق المرفقة به، الاتفاقية الكاملة بين الطرفين فيما يتعلق بموضوعه، ويحل محل جميع المفاوضات والإقرارات والاتفاقيات السابقة. لا يكون أي تعديل على هذا العقد صحيحاً ما لم يكن خطياً وموقعاً من كلا الطرفين.</w:t>
      </w:r>
    </w:p>
    <w:p w14:paraId="2DBC400E" w14:textId="77777777" w:rsidR="00EE692C" w:rsidRDefault="00EE692C">
      <w:pPr>
        <w:pBdr>
          <w:bottom w:val="single" w:sz="6" w:space="1" w:color="D8E4E1"/>
        </w:pBdr>
        <w:spacing w:before="40" w:after="200"/>
      </w:pPr>
    </w:p>
    <w:p w14:paraId="29F22AE9" w14:textId="77777777" w:rsidR="00EE692C" w:rsidRDefault="00000000">
      <w:pPr>
        <w:pStyle w:val="Heading1"/>
        <w:spacing w:before="320" w:after="120"/>
      </w:pPr>
      <w:bookmarkStart w:id="56" w:name="_Toc236832357"/>
      <w:r>
        <w:rPr>
          <w:b/>
          <w:bCs/>
          <w:color w:val="16535B"/>
        </w:rPr>
        <w:t>21. Notices</w:t>
      </w:r>
      <w:bookmarkEnd w:id="56"/>
    </w:p>
    <w:p w14:paraId="4A64ED9B" w14:textId="77777777" w:rsidR="00EE692C" w:rsidRDefault="00000000">
      <w:pPr>
        <w:spacing w:after="160" w:line="280" w:lineRule="auto"/>
        <w:jc w:val="both"/>
      </w:pPr>
      <w:r>
        <w:t>All notices under this Agreement shall be in writing and delivered by hand, registered mail, or email (with read receipt) to the addresses set out in the Parties section above. Notices shall be deemed received: (a) immediately upon hand delivery; (b) five (5) business days after posting by registered mail; or (c) upon confirmed receipt by email.</w:t>
      </w:r>
    </w:p>
    <w:p w14:paraId="1CFC3FA8" w14:textId="77777777" w:rsidR="00EE692C" w:rsidRDefault="00000000">
      <w:pPr>
        <w:pStyle w:val="Heading1"/>
        <w:bidi/>
        <w:spacing w:before="40" w:after="200"/>
        <w:jc w:val="right"/>
      </w:pPr>
      <w:bookmarkStart w:id="57" w:name="_Toc236832358"/>
      <w:r>
        <w:rPr>
          <w:rFonts w:ascii="IBM Plex Sans Arabic" w:eastAsia="IBM Plex Sans Arabic" w:hAnsi="IBM Plex Sans Arabic" w:cs="IBM Plex Sans Arabic"/>
          <w:b/>
          <w:bCs/>
          <w:color w:val="16535B"/>
          <w:rtl/>
        </w:rPr>
        <w:t>الإخطارات .٢١</w:t>
      </w:r>
      <w:bookmarkEnd w:id="57"/>
    </w:p>
    <w:p w14:paraId="1422DC89" w14:textId="77777777" w:rsidR="00EE692C" w:rsidRDefault="00000000">
      <w:pPr>
        <w:bidi/>
        <w:spacing w:after="240" w:line="300" w:lineRule="auto"/>
        <w:jc w:val="both"/>
      </w:pPr>
      <w:r>
        <w:rPr>
          <w:rFonts w:ascii="IBM Plex Sans Arabic" w:eastAsia="IBM Plex Sans Arabic" w:hAnsi="IBM Plex Sans Arabic" w:cs="IBM Plex Sans Arabic"/>
          <w:sz w:val="22"/>
          <w:szCs w:val="22"/>
          <w:rtl/>
        </w:rPr>
        <w:t>تكون جميع الإخطارات بموجب هذا العقد خطية وتُسلَّم يداً بيد أو بالبريد المسجل أو بالبريد الإلكتروني (مع إيصال القراءة) إلى العناوين المذكورة في قسم الأطراف أعلاه. تُعدّ الإخطارات مستلمة: (أ) فور التسليم يداً بيد؛ (ب) بعد خمسة (5) أيام عمل من الإيداع بالبريد المسجل؛ (ج) عند تأكيد الاستلام بالبريد الإلكتروني.</w:t>
      </w:r>
    </w:p>
    <w:p w14:paraId="187338B5" w14:textId="77777777" w:rsidR="00EE692C" w:rsidRDefault="00EE692C">
      <w:pPr>
        <w:pBdr>
          <w:bottom w:val="single" w:sz="6" w:space="1" w:color="D8E4E1"/>
        </w:pBdr>
        <w:spacing w:before="40" w:after="200"/>
      </w:pPr>
    </w:p>
    <w:p w14:paraId="17532F6E" w14:textId="77777777" w:rsidR="00EE692C" w:rsidRDefault="00000000">
      <w:r>
        <w:br w:type="page"/>
      </w:r>
    </w:p>
    <w:p w14:paraId="6D4F40DC" w14:textId="77777777" w:rsidR="00EE692C" w:rsidRDefault="00000000">
      <w:pPr>
        <w:pStyle w:val="Heading1"/>
        <w:spacing w:before="320" w:after="120"/>
      </w:pPr>
      <w:bookmarkStart w:id="58" w:name="_Toc236832359"/>
      <w:r>
        <w:rPr>
          <w:b/>
          <w:bCs/>
          <w:color w:val="16535B"/>
        </w:rPr>
        <w:lastRenderedPageBreak/>
        <w:t>22. Signatures</w:t>
      </w:r>
      <w:bookmarkEnd w:id="58"/>
    </w:p>
    <w:p w14:paraId="14783714" w14:textId="77777777" w:rsidR="00EE692C" w:rsidRDefault="00000000">
      <w:pPr>
        <w:pStyle w:val="Heading1"/>
        <w:bidi/>
        <w:spacing w:before="40" w:after="200"/>
        <w:jc w:val="right"/>
      </w:pPr>
      <w:bookmarkStart w:id="59" w:name="_Toc236832360"/>
      <w:r>
        <w:rPr>
          <w:rFonts w:ascii="IBM Plex Sans Arabic" w:eastAsia="IBM Plex Sans Arabic" w:hAnsi="IBM Plex Sans Arabic" w:cs="IBM Plex Sans Arabic"/>
          <w:b/>
          <w:bCs/>
          <w:color w:val="16535B"/>
          <w:rtl/>
        </w:rPr>
        <w:t>التوقيعات .٢٢</w:t>
      </w:r>
      <w:bookmarkEnd w:id="59"/>
    </w:p>
    <w:p w14:paraId="62E5B72E" w14:textId="77777777" w:rsidR="00EE692C" w:rsidRDefault="00EE692C">
      <w:pPr>
        <w:spacing w:after="200"/>
      </w:pPr>
    </w:p>
    <w:p w14:paraId="21B15367" w14:textId="77777777" w:rsidR="00EE692C" w:rsidRDefault="00000000">
      <w:pPr>
        <w:pBdr>
          <w:top w:val="single" w:sz="12" w:space="4" w:color="16535B"/>
        </w:pBdr>
        <w:spacing w:before="200" w:after="160"/>
      </w:pPr>
      <w:r>
        <w:rPr>
          <w:b/>
          <w:bCs/>
          <w:color w:val="16535B"/>
          <w:sz w:val="24"/>
          <w:szCs w:val="24"/>
        </w:rPr>
        <w:t>First Party</w:t>
      </w:r>
    </w:p>
    <w:p w14:paraId="2AD95B47" w14:textId="77777777" w:rsidR="00EE692C" w:rsidRDefault="00000000">
      <w:pPr>
        <w:bidi/>
        <w:spacing w:after="160"/>
        <w:jc w:val="right"/>
      </w:pPr>
      <w:r>
        <w:rPr>
          <w:rFonts w:ascii="IBM Plex Sans Arabic" w:eastAsia="IBM Plex Sans Arabic" w:hAnsi="IBM Plex Sans Arabic" w:cs="IBM Plex Sans Arabic"/>
          <w:b/>
          <w:bCs/>
          <w:color w:val="16535B"/>
          <w:sz w:val="24"/>
          <w:szCs w:val="24"/>
          <w:rtl/>
        </w:rPr>
        <w:t>الطرف الأول</w:t>
      </w:r>
    </w:p>
    <w:p w14:paraId="6F8F89DB" w14:textId="77777777" w:rsidR="00EE692C" w:rsidRDefault="00000000">
      <w:pPr>
        <w:spacing w:after="160" w:line="280" w:lineRule="auto"/>
        <w:jc w:val="both"/>
      </w:pPr>
      <w:r>
        <w:t>Blox</w:t>
      </w:r>
    </w:p>
    <w:p w14:paraId="70A8994E" w14:textId="77777777" w:rsidR="00EE692C" w:rsidRDefault="00000000">
      <w:pPr>
        <w:tabs>
          <w:tab w:val="right" w:pos="9026"/>
        </w:tabs>
        <w:spacing w:after="100"/>
      </w:pPr>
      <w:r>
        <w:rPr>
          <w:b/>
          <w:bCs/>
          <w:color w:val="16535B"/>
        </w:rPr>
        <w:t xml:space="preserve">Name: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الاسم :</w:t>
      </w:r>
    </w:p>
    <w:p w14:paraId="0F0E4431" w14:textId="77777777" w:rsidR="00EE692C" w:rsidRDefault="00000000">
      <w:pPr>
        <w:tabs>
          <w:tab w:val="right" w:pos="9026"/>
        </w:tabs>
        <w:spacing w:after="100"/>
      </w:pPr>
      <w:r>
        <w:rPr>
          <w:b/>
          <w:bCs/>
          <w:color w:val="16535B"/>
        </w:rPr>
        <w:t xml:space="preserve">Title / QID: </w:t>
      </w:r>
      <w:r>
        <w:rPr>
          <w:color w:val="708090"/>
        </w:rPr>
        <w:t>_______________________________</w:t>
      </w:r>
      <w:r>
        <w:tab/>
      </w:r>
      <w:r>
        <w:rPr>
          <w:rFonts w:ascii="IBM Plex Sans Arabic" w:eastAsia="IBM Plex Sans Arabic" w:hAnsi="IBM Plex Sans Arabic" w:cs="IBM Plex Sans Arabic"/>
          <w:b/>
          <w:bCs/>
          <w:color w:val="16535B"/>
          <w:sz w:val="22"/>
          <w:szCs w:val="22"/>
          <w:rtl/>
        </w:rPr>
        <w:t>المنصب / رقم الهوية :</w:t>
      </w:r>
    </w:p>
    <w:p w14:paraId="315AD335" w14:textId="77777777" w:rsidR="00EE692C" w:rsidRDefault="00000000">
      <w:pPr>
        <w:tabs>
          <w:tab w:val="right" w:pos="9026"/>
        </w:tabs>
        <w:spacing w:after="100"/>
      </w:pPr>
      <w:r>
        <w:rPr>
          <w:b/>
          <w:bCs/>
          <w:color w:val="16535B"/>
        </w:rPr>
        <w:t xml:space="preserve">Signature: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التوقيع :</w:t>
      </w:r>
    </w:p>
    <w:p w14:paraId="04657611" w14:textId="77777777" w:rsidR="00EE692C" w:rsidRDefault="00000000">
      <w:pPr>
        <w:tabs>
          <w:tab w:val="right" w:pos="9026"/>
        </w:tabs>
        <w:spacing w:after="100"/>
      </w:pPr>
      <w:r>
        <w:rPr>
          <w:b/>
          <w:bCs/>
          <w:color w:val="16535B"/>
        </w:rPr>
        <w:t xml:space="preserve">Date: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التاريخ :</w:t>
      </w:r>
    </w:p>
    <w:p w14:paraId="436F2D89" w14:textId="77777777" w:rsidR="00EE692C" w:rsidRDefault="00EE692C">
      <w:pPr>
        <w:spacing w:after="400"/>
      </w:pPr>
    </w:p>
    <w:p w14:paraId="1B32C5ED" w14:textId="77777777" w:rsidR="00EE692C" w:rsidRDefault="00000000">
      <w:pPr>
        <w:pBdr>
          <w:top w:val="single" w:sz="12" w:space="4" w:color="16535B"/>
        </w:pBdr>
        <w:spacing w:before="200" w:after="160"/>
      </w:pPr>
      <w:r>
        <w:rPr>
          <w:b/>
          <w:bCs/>
          <w:color w:val="16535B"/>
          <w:sz w:val="24"/>
          <w:szCs w:val="24"/>
        </w:rPr>
        <w:t>Second Party</w:t>
      </w:r>
    </w:p>
    <w:p w14:paraId="05DFD0D2" w14:textId="77777777" w:rsidR="00EE692C" w:rsidRDefault="00000000">
      <w:pPr>
        <w:bidi/>
        <w:spacing w:after="160"/>
        <w:jc w:val="right"/>
      </w:pPr>
      <w:r>
        <w:rPr>
          <w:rFonts w:ascii="IBM Plex Sans Arabic" w:eastAsia="IBM Plex Sans Arabic" w:hAnsi="IBM Plex Sans Arabic" w:cs="IBM Plex Sans Arabic"/>
          <w:b/>
          <w:bCs/>
          <w:color w:val="16535B"/>
          <w:sz w:val="24"/>
          <w:szCs w:val="24"/>
          <w:rtl/>
        </w:rPr>
        <w:t>الطرف الثاني</w:t>
      </w:r>
    </w:p>
    <w:p w14:paraId="765AB2D8" w14:textId="77777777" w:rsidR="00EE692C" w:rsidRDefault="00000000">
      <w:pPr>
        <w:spacing w:after="160" w:line="280" w:lineRule="auto"/>
        <w:jc w:val="both"/>
      </w:pPr>
      <w:r>
        <w:t>Customer / العميل</w:t>
      </w:r>
    </w:p>
    <w:p w14:paraId="108C0F45" w14:textId="77777777" w:rsidR="00EE692C" w:rsidRDefault="00000000">
      <w:pPr>
        <w:tabs>
          <w:tab w:val="right" w:pos="9026"/>
        </w:tabs>
        <w:spacing w:after="100"/>
      </w:pPr>
      <w:r>
        <w:rPr>
          <w:b/>
          <w:bCs/>
          <w:color w:val="16535B"/>
        </w:rPr>
        <w:t xml:space="preserve">Name: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الاسم :</w:t>
      </w:r>
    </w:p>
    <w:p w14:paraId="683274D9" w14:textId="77777777" w:rsidR="00EE692C" w:rsidRDefault="00000000">
      <w:pPr>
        <w:tabs>
          <w:tab w:val="right" w:pos="9026"/>
        </w:tabs>
        <w:spacing w:after="100"/>
      </w:pPr>
      <w:r>
        <w:rPr>
          <w:b/>
          <w:bCs/>
          <w:color w:val="16535B"/>
        </w:rPr>
        <w:t xml:space="preserve">Title / QID: </w:t>
      </w:r>
      <w:r>
        <w:rPr>
          <w:color w:val="708090"/>
        </w:rPr>
        <w:t>_______________________________</w:t>
      </w:r>
      <w:r>
        <w:tab/>
      </w:r>
      <w:r>
        <w:rPr>
          <w:rFonts w:ascii="IBM Plex Sans Arabic" w:eastAsia="IBM Plex Sans Arabic" w:hAnsi="IBM Plex Sans Arabic" w:cs="IBM Plex Sans Arabic"/>
          <w:b/>
          <w:bCs/>
          <w:color w:val="16535B"/>
          <w:sz w:val="22"/>
          <w:szCs w:val="22"/>
          <w:rtl/>
        </w:rPr>
        <w:t>المنصب / رقم الهوية :</w:t>
      </w:r>
    </w:p>
    <w:p w14:paraId="72B99E2B" w14:textId="77777777" w:rsidR="00EE692C" w:rsidRDefault="00000000">
      <w:pPr>
        <w:tabs>
          <w:tab w:val="right" w:pos="9026"/>
        </w:tabs>
        <w:spacing w:after="100"/>
      </w:pPr>
      <w:r>
        <w:rPr>
          <w:b/>
          <w:bCs/>
          <w:color w:val="16535B"/>
        </w:rPr>
        <w:t xml:space="preserve">Signature: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التوقيع :</w:t>
      </w:r>
    </w:p>
    <w:p w14:paraId="55F5C2B1" w14:textId="77777777" w:rsidR="00EE692C" w:rsidRDefault="00000000">
      <w:pPr>
        <w:tabs>
          <w:tab w:val="right" w:pos="9026"/>
        </w:tabs>
        <w:spacing w:after="100"/>
      </w:pPr>
      <w:r>
        <w:rPr>
          <w:b/>
          <w:bCs/>
          <w:color w:val="16535B"/>
        </w:rPr>
        <w:t xml:space="preserve">Date: </w:t>
      </w:r>
      <w:r>
        <w:rPr>
          <w:color w:val="708090"/>
        </w:rPr>
        <w:t>_______________________________</w:t>
      </w:r>
      <w:r>
        <w:tab/>
      </w:r>
      <w:r>
        <w:rPr>
          <w:rFonts w:ascii="IBM Plex Sans Arabic" w:eastAsia="IBM Plex Sans Arabic" w:hAnsi="IBM Plex Sans Arabic" w:cs="IBM Plex Sans Arabic"/>
          <w:b/>
          <w:bCs/>
          <w:color w:val="16535B"/>
          <w:sz w:val="22"/>
          <w:szCs w:val="22"/>
          <w:rtl/>
        </w:rPr>
        <w:t>التاريخ :</w:t>
      </w:r>
    </w:p>
    <w:p w14:paraId="503AEFDE" w14:textId="77777777" w:rsidR="00EE692C" w:rsidRDefault="00EE692C">
      <w:pPr>
        <w:spacing w:after="400"/>
      </w:pPr>
    </w:p>
    <w:sectPr w:rsidR="00EE692C">
      <w:headerReference w:type="default" r:id="rId13"/>
      <w:footerReference w:type="default" r:id="rId14"/>
      <w:pgSz w:w="12240" w:h="15840"/>
      <w:pgMar w:top="1000" w:right="1100" w:bottom="1400" w:left="11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4" w:author="Faraz Adam" w:date="2026-09-03T14:51:00Z" w:initials="FA">
    <w:p w14:paraId="6F4D2114" w14:textId="77777777" w:rsidR="00C05742" w:rsidRDefault="00C05742" w:rsidP="00C05742">
      <w:r>
        <w:rPr>
          <w:rStyle w:val="CommentReference"/>
        </w:rPr>
        <w:annotationRef/>
      </w:r>
      <w:r>
        <w:rPr>
          <w:sz w:val="20"/>
          <w:szCs w:val="20"/>
        </w:rPr>
        <w:t>There must be a mention that the any equity owned by the customer will be paid to them from the proceeds of the sale.</w:t>
      </w:r>
    </w:p>
    <w:p w14:paraId="7CFAF0B3" w14:textId="77777777" w:rsidR="00C05742" w:rsidRDefault="00C05742" w:rsidP="00C05742"/>
    <w:p w14:paraId="41F10D92" w14:textId="77777777" w:rsidR="00C05742" w:rsidRDefault="00C05742" w:rsidP="00C05742">
      <w:r>
        <w:rPr>
          <w:sz w:val="20"/>
          <w:szCs w:val="20"/>
        </w:rPr>
        <w:t>Additionally, the customer should make you an agent to sell the car here.</w:t>
      </w:r>
    </w:p>
    <w:p w14:paraId="57A26E55" w14:textId="77777777" w:rsidR="00C05742" w:rsidRDefault="00C05742" w:rsidP="00C05742"/>
    <w:p w14:paraId="0D6F99FC" w14:textId="77777777" w:rsidR="00C05742" w:rsidRDefault="00C05742" w:rsidP="00C05742">
      <w:r>
        <w:rPr>
          <w:sz w:val="20"/>
          <w:szCs w:val="20"/>
        </w:rPr>
        <w:t>You are entitled to proceeds for the amount your equity is worth, not the full balance of financing owed.</w:t>
      </w:r>
    </w:p>
    <w:p w14:paraId="0D7309A1" w14:textId="77777777" w:rsidR="00C05742" w:rsidRDefault="00C05742" w:rsidP="00C05742"/>
    <w:p w14:paraId="19634E1C" w14:textId="77777777" w:rsidR="00C05742" w:rsidRDefault="00C05742" w:rsidP="00C05742">
      <w:r>
        <w:rPr>
          <w:sz w:val="20"/>
          <w:szCs w:val="20"/>
        </w:rPr>
        <w:t>All this must be reflected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634E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08C09A" w16cex:dateUtc="2026-09-03T1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634E1C" w16cid:durableId="5108C0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B50EF" w14:textId="77777777" w:rsidR="00D15263" w:rsidRDefault="00D15263">
      <w:r>
        <w:separator/>
      </w:r>
    </w:p>
  </w:endnote>
  <w:endnote w:type="continuationSeparator" w:id="0">
    <w:p w14:paraId="26821358" w14:textId="77777777" w:rsidR="00D15263" w:rsidRDefault="00D152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BM Plex Sans">
    <w:charset w:val="00"/>
    <w:family w:val="swiss"/>
    <w:pitch w:val="variable"/>
    <w:sig w:usb0="A00002EF" w:usb1="5000207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IBM Plex Sans Arabic">
    <w:altName w:val="Cambria"/>
    <w:charset w:val="4D"/>
    <w:family w:val="swiss"/>
    <w:pitch w:val="variable"/>
    <w:sig w:usb0="A000026F" w:usb1="5000207B" w:usb2="00000000" w:usb3="00000000" w:csb0="00000197" w:csb1="00000000"/>
  </w:font>
  <w:font w:name="Space Grotesk">
    <w:altName w:val="Cambria"/>
    <w:panose1 w:val="00000000000000000000"/>
    <w:charset w:val="00"/>
    <w:family w:val="roman"/>
    <w:notTrueType/>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BLX-TPL-MUSH-V2 · BloX LLC · blox-it.com · Own it, don't owe it.</w:t></w:r><w:tab/></w:r><w:r><w:rPr><w:color w:val="708090"/><w:sz w:val="13"/><w:szCs w:val="13"/></w:rPr><w:t xml:space="preserve">Page </w:t></w:r><w:r><w:rPr><w:color w:val="708090"/><w:sz w:val="13"/><w:szCs w:val="13"/></w:rPr><w:fldChar w:fldCharType="begin"/></w:r><w:r><w:rPr><w:color w:val="708090"/><w:sz w:val="13"/><w:szCs w:val="13"/></w:rPr><w:instrText>PAGE</w:instrText></w:r><w:r><w:rPr><w:color w:val="708090"/><w:sz w:val="13"/><w:szCs w:val="13"/></w:rPr><w:fldChar w:fldCharType="separate"/></w:r><w:r w:rsidR="00816D37"><w:rPr><w:noProof/><w:color w:val="708090"/><w:sz w:val="13"/><w:szCs w:val="13"/></w:rPr><w:t>1</w:t></w:r><w:r><w:rPr><w:color w:val="708090"/><w:sz w:val="13"/><w:szCs w:val="13"/></w:rPr><w:fldChar w:fldCharType="end"/></w:r><w:r><w:rPr><w:color w:val="708090"/><w:sz w:val="13"/><w:szCs w:val="13"/></w:rPr><w:t xml:space="preserve"> of </w:t></w:r><w:r><w:rPr><w:color w:val="708090"/><w:sz w:val="13"/><w:szCs w:val="13"/></w:rPr><w:fldChar w:fldCharType="begin"/></w:r><w:r><w:rPr><w:color w:val="708090"/><w:sz w:val="13"/><w:szCs w:val="13"/></w:rPr><w:instrText>NUMPAGES</w:instrText></w:r><w:r><w:rPr><w:color w:val="708090"/><w:sz w:val="13"/><w:szCs w:val="13"/></w:rPr><w:fldChar w:fldCharType="separate"/></w:r><w:r w:rsidR="00816D37"><w:rPr><w:noProof/><w:color w:val="708090"/><w:sz w:val="13"/><w:szCs w:val="13"/></w:rPr><w:t>2</w:t></w:r><w:r><w:rPr><w:color w:val="708090"/><w:sz w:val="13"/><w:szCs w:val="13"/></w:rPr><w:fldChar w:fldCharType="end"/></w:r></w:p></w:ftr>
</file>

<file path=word/footer2.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BLOXFOOT01" w14:textId="77777777" w:rsidR="00175AB8" w:rsidRDefault="00000000"><w:pPr><w:tabs><w:tab w:val="right" w:pos="9906"/></w:tabs></w:pPr><w:r><w:rPr><w:color w:val="708090"/><w:sz w:val="13"/><w:szCs w:val="13"/></w:rPr><w:t xml:space="preserve">BLX-TPL-MUSH-V2 · BloX LLC · blox-it.com · Own it, don't owe it.</w:t></w:r></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A2081" w14:textId="77777777" w:rsidR="00D15263" w:rsidRDefault="00D15263">
      <w:r>
        <w:separator/>
      </w:r>
    </w:p>
  </w:footnote>
  <w:footnote w:type="continuationSeparator" w:id="0">
    <w:p w14:paraId="01FF9AEA" w14:textId="77777777" w:rsidR="00D15263" w:rsidRDefault="00D152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000"/>
      <w:gridCol w:w="5906"/>
    </w:tblGrid>
    <w:tr w:rsidR="00175AB8" w14:paraId="22480494" w14:textId="77777777">
      <w:tblPrEx>
        <w:tblCellMar>
          <w:top w:w="0" w:type="dxa"/>
          <w:bottom w:w="0" w:type="dxa"/>
        </w:tblCellMar>
      </w:tblPrEx>
      <w:tc>
        <w:tcPr>
          <w:tcW w:w="4000" w:type="dxa"/>
          <w:tcMar>
            <w:top w:w="0" w:type="dxa"/>
            <w:left w:w="0" w:type="dxa"/>
            <w:bottom w:w="0" w:type="dxa"/>
            <w:right w:w="110" w:type="dxa"/>
          </w:tcMar>
        </w:tcPr>
        <w:p w14:paraId="BLOXLOGO01" w14:textId="77777777" w:rsidR="00000000" w:rsidRDefault="00000000">
          <w:r>
            <w:drawing>
              <wp:inline xmlns:wp="http://schemas.openxmlformats.org/drawingml/2006/wordprocessingDrawing" distT="0" distB="0" distL="0" distR="0">
                <wp:extent cx="1320800" cy="392430"/>
                <wp:effectExtent l="0" t="0" r="0" b="0"/>
                <wp:docPr id="100001" name="Blo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BloX Logo"/>
                        <pic:cNvPicPr/>
                      </pic:nvPicPr>
                      <pic:blipFill>
                        <a:blip xmlns:r="http://schemas.openxmlformats.org/officeDocument/2006/relationships" r:embed="rIdLogo"/>
                        <a:stretch>
                          <a:fillRect/>
                        </a:stretch>
                      </pic:blipFill>
                      <pic:spPr>
                        <a:xfrm>
                          <a:off x="0" y="0"/>
                          <a:ext cx="1320800" cy="392430"/>
                        </a:xfrm>
                        <a:prstGeom prst="rect">
                          <a:avLst/>
                        </a:prstGeom>
                      </pic:spPr>
                    </pic:pic>
                  </a:graphicData>
                </a:graphic>
              </wp:inline>
            </w:drawing>
          </w:r>
        </w:p>
        <w:p w14:paraId="4B80F73D" w14:textId="77777777" w:rsidR="00175AB8" w:rsidRDefault="00000000">
          <w:r>
            <w:rPr>
              <w:color w:val="708090"/>
              <w:sz w:val="11"/>
              <w:szCs w:val="11"/>
            </w:rPr>
            <w:t>F I N A N C E   U N B O X E D</w:t>
          </w:r>
        </w:p>
      </w:tc>
      <w:tc>
        <w:tcPr>
          <w:tcW w:w="5906" w:type="dxa"/>
          <w:tcMar>
            <w:top w:w="0" w:type="dxa"/>
            <w:left w:w="110" w:type="dxa"/>
            <w:bottom w:w="0" w:type="dxa"/>
            <w:right w:w="0" w:type="dxa"/>
          </w:tcMar>
        </w:tcPr>
        <w:p w14:paraId="2D99B5C7" w14:textId="77777777" w:rsidR="00175AB8" w:rsidRDefault="00000000">
          <w:pPr>
            <w:jc w:val="right"/>
          </w:pPr>
          <w:proofErr w:type="spellStart"/>
          <w:r>
            <w:rPr>
              <w:b/>
              <w:bCs/>
              <w:color w:val="708090"/>
              <w:sz w:val="15"/>
              <w:szCs w:val="15"/>
            </w:rPr>
            <w:t>BloX</w:t>
          </w:r>
          <w:proofErr w:type="spellEnd"/>
          <w:r>
            <w:rPr>
              <w:b/>
              <w:bCs/>
              <w:color w:val="708090"/>
              <w:sz w:val="15"/>
              <w:szCs w:val="15"/>
            </w:rPr>
            <w:t xml:space="preserve"> LLC</w:t>
          </w:r>
        </w:p>
        <w:p w14:paraId="7CDF6C3B" w14:textId="77777777" w:rsidR="00175AB8" w:rsidRDefault="00000000">
          <w:pPr>
            <w:jc w:val="right"/>
          </w:pPr>
          <w:r>
            <w:rPr>
              <w:color w:val="708090"/>
              <w:sz w:val="13"/>
              <w:szCs w:val="13"/>
            </w:rPr>
            <w:t>Qatar Financial Centre · QFC No. 03403 · Doha, Qatar</w:t>
          </w:r>
        </w:p>
      </w:tc>
    </w:tr>
  </w:tbl>
  <w:p w14:paraId="3FE46008" w14:textId="77777777" w:rsidR="00175AB8" w:rsidRDefault="00175AB8">
    <w:pPr>
      <w:pBdr>
        <w:bottom w:val="single" w:sz="8" w:space="0" w:color="00CFA2"/>
      </w:pBdr>
      <w:spacing w:before="20" w:after="160"/>
    </w:pPr>
  </w:p>
</w:hdr>
</file>

<file path=word/header2.xml><w:p w14:paraId="BLOXLOGO01" w14:textId="77777777" w:rsidR="00000000" w:rsidRDefault="00000000"><w:r><w:drawing><wp:inline distT="0" distB="0" distL="0" distR="0" xmlns:wp="http://schemas.openxmlformats.org/drawingml/2006/wordprocessingDrawing"><wp:extent cx="1320800" cy="392430"/><wp:effectExtent l="0" t="0" r="0" b="0"/><wp:docPr id="100001" name="BloX Logo"/><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0001" name="BloX Logo"/><pic:cNvPicPr/></pic:nvPicPr><pic:blipFill><a:blip xmlns:r="http://schemas.openxmlformats.org/officeDocument/2006/relationships" r:embed="rIdLogo"/><a:stretch><a:fillRect/></a:stretch></pic:blipFill><pic:spPr><a:xfrm><a:off x="0" y="0"/><a:ext cx="1320800" cy="392430"/></a:xfrm><a:prstGeom prst="rect"><a:avLst/></a:prstGeom></pic:spPr></pic:pic></a:graphicData></a:graphic></wp:inline></w:drawing></w:r></w:p><?xml version="1.0" encoding="UTF-8" standalone="yes"?>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4965E814" w14:textId="77777777" w:rsidR="00EE692C" w:rsidRDefault="00000000"><w:pPr><w:jc w:val="right"/></w:pPr><w:r><w:rPr><w:i/><w:iCs/><w:color w:val="708090"/><w:sz w:val="16"/><w:szCs w:val="16"/></w:rPr><w:t>Blox — Diminishing Musharakah Agreement</w:t></w:r></w:p></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1664A"/>
    <w:multiLevelType w:val="hybridMultilevel"/>
    <w:tmpl w:val="72AEF5E4"/>
    <w:lvl w:ilvl="0" w:tplc="D362F674">
      <w:start w:val="1"/>
      <w:numFmt w:val="bullet"/>
      <w:lvlText w:val="●"/>
      <w:lvlJc w:val="left"/>
      <w:pPr>
        <w:ind w:left="720" w:hanging="360"/>
      </w:pPr>
    </w:lvl>
    <w:lvl w:ilvl="1" w:tplc="52AE36AA">
      <w:start w:val="1"/>
      <w:numFmt w:val="bullet"/>
      <w:lvlText w:val="○"/>
      <w:lvlJc w:val="left"/>
      <w:pPr>
        <w:ind w:left="1440" w:hanging="360"/>
      </w:pPr>
    </w:lvl>
    <w:lvl w:ilvl="2" w:tplc="71A67DD8">
      <w:start w:val="1"/>
      <w:numFmt w:val="bullet"/>
      <w:lvlText w:val="■"/>
      <w:lvlJc w:val="left"/>
      <w:pPr>
        <w:ind w:left="2160" w:hanging="360"/>
      </w:pPr>
    </w:lvl>
    <w:lvl w:ilvl="3" w:tplc="440E5BD4">
      <w:start w:val="1"/>
      <w:numFmt w:val="bullet"/>
      <w:lvlText w:val="●"/>
      <w:lvlJc w:val="left"/>
      <w:pPr>
        <w:ind w:left="2880" w:hanging="360"/>
      </w:pPr>
    </w:lvl>
    <w:lvl w:ilvl="4" w:tplc="35649984">
      <w:start w:val="1"/>
      <w:numFmt w:val="bullet"/>
      <w:lvlText w:val="○"/>
      <w:lvlJc w:val="left"/>
      <w:pPr>
        <w:ind w:left="3600" w:hanging="360"/>
      </w:pPr>
    </w:lvl>
    <w:lvl w:ilvl="5" w:tplc="E6E69B82">
      <w:start w:val="1"/>
      <w:numFmt w:val="bullet"/>
      <w:lvlText w:val="■"/>
      <w:lvlJc w:val="left"/>
      <w:pPr>
        <w:ind w:left="4320" w:hanging="360"/>
      </w:pPr>
    </w:lvl>
    <w:lvl w:ilvl="6" w:tplc="6F8CED6A">
      <w:start w:val="1"/>
      <w:numFmt w:val="bullet"/>
      <w:lvlText w:val="●"/>
      <w:lvlJc w:val="left"/>
      <w:pPr>
        <w:ind w:left="5040" w:hanging="360"/>
      </w:pPr>
    </w:lvl>
    <w:lvl w:ilvl="7" w:tplc="7C1E139E">
      <w:start w:val="1"/>
      <w:numFmt w:val="bullet"/>
      <w:lvlText w:val="●"/>
      <w:lvlJc w:val="left"/>
      <w:pPr>
        <w:ind w:left="5760" w:hanging="360"/>
      </w:pPr>
    </w:lvl>
    <w:lvl w:ilvl="8" w:tplc="FF389F5C">
      <w:start w:val="1"/>
      <w:numFmt w:val="bullet"/>
      <w:lvlText w:val="●"/>
      <w:lvlJc w:val="left"/>
      <w:pPr>
        <w:ind w:left="6480" w:hanging="360"/>
      </w:pPr>
    </w:lvl>
  </w:abstractNum>
  <w:num w:numId="1" w16cid:durableId="504318564">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raz Adam">
    <w15:presenceInfo w15:providerId="Windows Live" w15:userId="3ef9b62b2c86c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2C"/>
    <w:rsid w:val="00032BE2"/>
    <w:rsid w:val="00607A0D"/>
    <w:rsid w:val="00677C7F"/>
    <w:rsid w:val="006B25F2"/>
    <w:rsid w:val="00892877"/>
    <w:rsid w:val="00C05742"/>
    <w:rsid w:val="00D15263"/>
    <w:rsid w:val="00EE692C"/>
    <w:rsid w:val="00F14282"/>
    <w:rsid w:val="00FA49A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E698A"/>
  <w15:docId w15:val="{5AACABFD-11D0-44FC-9C84-82446946B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BM Plex Sans" w:eastAsia="IBM Plex Sans" w:hAnsi="IBM Plex Sans" w:cs="IBM Plex Sans"/>
        <w:color w:val="1A242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07A0D"/>
    <w:pPr>
      <w:spacing w:after="100"/>
    </w:pPr>
  </w:style>
  <w:style w:type="paragraph" w:styleId="TOC2">
    <w:name w:val="toc 2"/>
    <w:basedOn w:val="Normal"/>
    <w:next w:val="Normal"/>
    <w:autoRedefine/>
    <w:uiPriority w:val="39"/>
    <w:unhideWhenUsed/>
    <w:rsid w:val="00607A0D"/>
    <w:pPr>
      <w:spacing w:after="100"/>
      <w:ind w:left="210"/>
    </w:pPr>
  </w:style>
  <w:style w:type="character" w:styleId="CommentReference">
    <w:name w:val="annotation reference"/>
    <w:basedOn w:val="DefaultParagraphFont"/>
    <w:uiPriority w:val="99"/>
    <w:semiHidden/>
    <w:unhideWhenUsed/>
    <w:rsid w:val="00C05742"/>
    <w:rPr>
      <w:sz w:val="16"/>
      <w:szCs w:val="16"/>
    </w:rPr>
  </w:style>
  <w:style w:type="paragraph" w:styleId="CommentText">
    <w:name w:val="annotation text"/>
    <w:basedOn w:val="Normal"/>
    <w:link w:val="CommentTextChar"/>
    <w:uiPriority w:val="99"/>
    <w:semiHidden/>
    <w:unhideWhenUsed/>
    <w:rsid w:val="00C05742"/>
    <w:rPr>
      <w:sz w:val="20"/>
      <w:szCs w:val="20"/>
    </w:rPr>
  </w:style>
  <w:style w:type="character" w:customStyle="1" w:styleId="CommentTextChar">
    <w:name w:val="Comment Text Char"/>
    <w:basedOn w:val="DefaultParagraphFont"/>
    <w:link w:val="CommentText"/>
    <w:uiPriority w:val="99"/>
    <w:semiHidden/>
    <w:rsid w:val="00C05742"/>
    <w:rPr>
      <w:sz w:val="20"/>
      <w:szCs w:val="20"/>
    </w:rPr>
  </w:style>
  <w:style w:type="paragraph" w:styleId="CommentSubject">
    <w:name w:val="annotation subject"/>
    <w:basedOn w:val="CommentText"/>
    <w:next w:val="CommentText"/>
    <w:link w:val="CommentSubjectChar"/>
    <w:uiPriority w:val="99"/>
    <w:semiHidden/>
    <w:unhideWhenUsed/>
    <w:rsid w:val="00C05742"/>
    <w:rPr>
      <w:b/>
      <w:bCs/>
    </w:rPr>
  </w:style>
  <w:style w:type="character" w:customStyle="1" w:styleId="CommentSubjectChar">
    <w:name w:val="Comment Subject Char"/>
    <w:basedOn w:val="CommentTextChar"/>
    <w:link w:val="CommentSubject"/>
    <w:uiPriority w:val="99"/>
    <w:semiHidden/>
    <w:rsid w:val="00C057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oter" Target="footer2.xml"/></Relationships>
</file>

<file path=word/_rels/header1.xml.rels><?xml version="1.0" encoding="UTF-8" standalone="yes"?>
<Relationships xmlns="http://schemas.openxmlformats.org/package/2006/relationships">
  <Relationship Id="rIdLogo" Type="http://schemas.openxmlformats.org/officeDocument/2006/relationships/image" Target="media/blox-logo-nav.png"/>
</Relationships>
</file>

<file path=word/_rels/header2.xml.rels><?xml version="1.0" encoding="UTF-8" standalone="yes"?>
<Relationships xmlns="http://schemas.openxmlformats.org/package/2006/relationships">
  <Relationship Id="rIdLogo" Type="http://schemas.openxmlformats.org/officeDocument/2006/relationships/image" Target="media/blox-logo-nav.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17</Pages>
  <Words>5624</Words>
  <Characters>32057</Characters>
  <Application>Microsoft Office Word</Application>
  <DocSecurity>0</DocSecurity>
  <Lines>267</Lines>
  <Paragraphs>75</Paragraphs>
  <ScaleCrop>false</ScaleCrop>
  <Company/>
  <LinksUpToDate>false</LinksUpToDate>
  <CharactersWithSpaces>37606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Shariefi</cp:lastModifiedBy>
  <cp:revision>4</cp:revision>
  <dcterms:created xsi:type="dcterms:W3CDTF">2026-08-05T11:22:00Z</dcterms:created>
  <dcterms:modified xsi:type="dcterms:W3CDTF">2026-09-09T08:15:00Z</dcterms:modified>
</cp:coreProperties>
</file>