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usiness_requirements_document_br_e0a1f9"/>
      <w:r>
        <w:rPr>
          <w:rFonts w:eastAsia="source serif 4" w:cs="source serif 4" w:ascii="source serif 4" w:hAnsi="source serif 4"/>
          <w:b/>
          <w:color w:val="000000"/>
          <w:sz w:val="39"/>
        </w:rPr>
        <w:t xml:space="preserve">Business Requirements Document (BRD) for Blox Automotive Digital Lending Platform</w:t>
      </w:r>
      <w:bookmarkEnd w:id="0"/>
    </w:p>
    <w:p>
      <w:pPr>
        <w:spacing w:line="360" w:before="315" w:after="105" w:lineRule="auto"/>
        <w:ind w:left="-30"/>
        <w:jc w:val="left"/>
      </w:pPr>
      <w:bookmarkStart w:id="1" w:name="document_overview"/>
      <w:r>
        <w:rPr>
          <w:rFonts w:eastAsia="source serif 4" w:cs="source serif 4" w:ascii="source serif 4" w:hAnsi="source serif 4"/>
          <w:b/>
          <w:color w:val="000000"/>
          <w:sz w:val="24"/>
        </w:rPr>
        <w:t xml:space="preserve">Document Overview</w:t>
      </w:r>
      <w:bookmarkEnd w:id="1"/>
    </w:p>
    <w:p>
      <w:pPr>
        <w:spacing w:line="360" w:after="210" w:lineRule="auto"/>
      </w:pPr>
      <w:r>
        <w:rPr>
          <w:rFonts w:eastAsia="source serif 4" w:cs="source serif 4" w:ascii="source serif 4" w:hAnsi="source serif 4"/>
          <w:color w:val="000000"/>
        </w:rPr>
        <w:t xml:space="preserve">This BRD defines the business, compliance, process, functional, and control requirements for </w:t>
      </w:r>
      <w:r>
        <w:rPr>
          <w:rFonts w:eastAsia="source serif 4" w:cs="source serif 4" w:ascii="source serif 4" w:hAnsi="source serif 4"/>
          <w:b/>
          <w:color w:val="000000"/>
        </w:rPr>
        <w:t xml:space="preserve">Blox</w:t>
      </w:r>
      <w:r>
        <w:rPr>
          <w:rFonts w:eastAsia="source serif 4" w:cs="source serif 4" w:ascii="source serif 4" w:hAnsi="source serif 4"/>
          <w:color w:val="000000"/>
        </w:rPr>
        <w:t xml:space="preserve">, a digital automotive lending platform operating in Qatar. The document is structured around the e-KYC requirements set out by Qatar Central Bank (QCB) in the attached regulation, which entered into force on 9 October 2023 and applies to QCB-regulated entities implementing e-KYC for individual customer management [cite:16].</w:t>
      </w:r>
    </w:p>
    <w:p>
      <w:pPr>
        <w:spacing w:line="360" w:after="210" w:lineRule="auto"/>
      </w:pPr>
      <w:r>
        <w:rPr>
          <w:rFonts w:eastAsia="source serif 4" w:cs="source serif 4" w:ascii="source serif 4" w:hAnsi="source serif 4"/>
          <w:color w:val="000000"/>
        </w:rPr>
        <w:t xml:space="preserve">Blox is assumed to support end-to-end digital onboarding for retail automotive finance applicants, including customer registration, identity capture, verification, risk screening, loan application intake, and account activation. Where Blox is sponsored by, integrated with, or operated on behalf of a QCB-regulated lender or payment/financing entity, the platform must implement the control environment, approval model, and operational safeguards prescribed by QCB for e-KYC [cite:16].</w:t>
      </w:r>
    </w:p>
    <w:p>
      <w:pPr>
        <w:spacing w:line="360" w:before="315" w:after="105" w:lineRule="auto"/>
        <w:ind w:left="-30"/>
        <w:jc w:val="left"/>
      </w:pPr>
      <w:bookmarkStart w:id="2" w:name="business_context"/>
      <w:r>
        <w:rPr>
          <w:rFonts w:eastAsia="source serif 4" w:cs="source serif 4" w:ascii="source serif 4" w:hAnsi="source serif 4"/>
          <w:b/>
          <w:color w:val="000000"/>
          <w:sz w:val="24"/>
        </w:rPr>
        <w:t xml:space="preserve">Business Context</w:t>
      </w:r>
      <w:bookmarkEnd w:id="2"/>
    </w:p>
    <w:p>
      <w:pPr>
        <w:spacing w:line="360" w:after="210" w:lineRule="auto"/>
      </w:pPr>
      <w:r>
        <w:rPr>
          <w:rFonts w:eastAsia="source serif 4" w:cs="source serif 4" w:ascii="source serif 4" w:hAnsi="source serif 4"/>
          <w:color w:val="000000"/>
        </w:rPr>
        <w:t xml:space="preserve">The business objective of Blox is to enable customers in Qatar to apply for automotive financing digitally with minimal branch dependency, faster onboarding, and stronger fraud controls. The platform should reduce abandonment in the loan origination journey while maintaining compliance with QCB requirements on identity verification, AML/CFT controls, data privacy, security, and fraud prevention [cite:16].</w:t>
      </w:r>
    </w:p>
    <w:p>
      <w:pPr>
        <w:spacing w:line="360" w:after="210" w:lineRule="auto"/>
      </w:pPr>
      <w:r>
        <w:rPr>
          <w:rFonts w:eastAsia="source serif 4" w:cs="source serif 4" w:ascii="source serif 4" w:hAnsi="source serif 4"/>
          <w:color w:val="000000"/>
        </w:rPr>
        <w:t xml:space="preserve">Blox should support a compliant digital onboarding model that allows the lender to identify and verify customers electronically, collect only data necessary for onboarding, and maintain sufficient security throughout the identity lifecycle. The platform must be designed so that automation improves speed and user experience without weakening the standard required for physical face-to-face verification [cite:16].</w:t>
      </w:r>
    </w:p>
    <w:p>
      <w:pPr>
        <w:spacing w:line="360" w:before="315" w:after="105" w:lineRule="auto"/>
        <w:ind w:left="-30"/>
        <w:jc w:val="left"/>
      </w:pPr>
      <w:bookmarkStart w:id="3" w:name="objectives"/>
      <w:r>
        <w:rPr>
          <w:rFonts w:eastAsia="source serif 4" w:cs="source serif 4" w:ascii="source serif 4" w:hAnsi="source serif 4"/>
          <w:b/>
          <w:color w:val="000000"/>
          <w:sz w:val="24"/>
        </w:rPr>
        <w:t xml:space="preserve">Objectives</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Digitize onboarding for automotive lending applicants in Qatar while meeting QCB e-KYC requirements [cite:16].</w:t>
      </w:r>
    </w:p>
    <w:p>
      <w:pPr>
        <w:numPr>
          <w:ilvl w:val="0"/>
          <w:numId w:val="1"/>
        </w:numPr>
        <w:spacing w:line="360" w:before="105" w:after="105" w:lineRule="auto"/>
      </w:pPr>
      <w:r>
        <w:rPr>
          <w:rFonts w:eastAsia="source serif 4" w:cs="source serif 4" w:ascii="source serif 4" w:hAnsi="source serif 4"/>
          <w:color w:val="000000"/>
          <w:sz w:val="21"/>
        </w:rPr>
        <w:t xml:space="preserve">Enable secure customer identity capture, verification, sanctions screening, and onboarding decisioning [cite:16].</w:t>
      </w:r>
    </w:p>
    <w:p>
      <w:pPr>
        <w:numPr>
          <w:ilvl w:val="0"/>
          <w:numId w:val="1"/>
        </w:numPr>
        <w:spacing w:line="360" w:before="105" w:after="105" w:lineRule="auto"/>
      </w:pPr>
      <w:r>
        <w:rPr>
          <w:rFonts w:eastAsia="source serif 4" w:cs="source serif 4" w:ascii="source serif 4" w:hAnsi="source serif 4"/>
          <w:color w:val="000000"/>
          <w:sz w:val="21"/>
        </w:rPr>
        <w:t xml:space="preserve">Provide an audit-ready operating model with board-approved governance, documented risk controls, and monitoring [cite:16].</w:t>
      </w:r>
    </w:p>
    <w:p>
      <w:pPr>
        <w:numPr>
          <w:ilvl w:val="0"/>
          <w:numId w:val="1"/>
        </w:numPr>
        <w:spacing w:line="360" w:before="105" w:after="105" w:lineRule="auto"/>
      </w:pPr>
      <w:r>
        <w:rPr>
          <w:rFonts w:eastAsia="source serif 4" w:cs="source serif 4" w:ascii="source serif 4" w:hAnsi="source serif 4"/>
          <w:color w:val="000000"/>
          <w:sz w:val="21"/>
        </w:rPr>
        <w:t xml:space="preserve">Reduce impersonation, document fraud, synthetic identity risk, and deepfake exposure through layered controls [cite:16].</w:t>
      </w:r>
    </w:p>
    <w:p>
      <w:pPr>
        <w:numPr>
          <w:ilvl w:val="0"/>
          <w:numId w:val="1"/>
        </w:numPr>
        <w:spacing w:line="360" w:before="105" w:after="105" w:lineRule="auto"/>
      </w:pPr>
      <w:r>
        <w:rPr>
          <w:rFonts w:eastAsia="source serif 4" w:cs="source serif 4" w:ascii="source serif 4" w:hAnsi="source serif 4"/>
          <w:color w:val="000000"/>
          <w:sz w:val="21"/>
        </w:rPr>
        <w:t xml:space="preserve">Support future scalability for outsourced verification services, third-party databases, and trusted identity integrations, subject to QCB approval [cite:16].</w:t>
      </w:r>
    </w:p>
    <w:p>
      <w:pPr>
        <w:spacing w:line="360" w:before="315" w:after="105" w:lineRule="auto"/>
        <w:ind w:left="-30"/>
        <w:jc w:val="left"/>
      </w:pPr>
      <w:bookmarkStart w:id="4" w:name="scope"/>
      <w:r>
        <w:rPr>
          <w:rFonts w:eastAsia="source serif 4" w:cs="source serif 4" w:ascii="source serif 4" w:hAnsi="source serif 4"/>
          <w:b/>
          <w:color w:val="000000"/>
          <w:sz w:val="24"/>
        </w:rPr>
        <w:t xml:space="preserve">Scope</w:t>
      </w:r>
      <w:bookmarkEnd w:id="4"/>
    </w:p>
    <w:p>
      <w:pPr>
        <w:spacing w:line="360" w:before="315" w:after="105" w:lineRule="auto"/>
        <w:ind w:left="-30"/>
        <w:jc w:val="left"/>
      </w:pPr>
      <w:bookmarkStart w:id="5" w:name="in_scope"/>
      <w:r>
        <w:rPr>
          <w:rFonts w:eastAsia="source serif 4" w:cs="source serif 4" w:ascii="source serif 4" w:hAnsi="source serif 4"/>
          <w:b/>
          <w:color w:val="000000"/>
          <w:sz w:val="24"/>
        </w:rPr>
        <w:t xml:space="preserve">In Scope</w:t>
      </w:r>
      <w:bookmarkEnd w:id="5"/>
    </w:p>
    <w:p>
      <w:pPr>
        <w:numPr>
          <w:ilvl w:val="0"/>
          <w:numId w:val="2"/>
        </w:numPr>
        <w:spacing w:line="360" w:before="105" w:after="105" w:lineRule="auto"/>
      </w:pPr>
      <w:r>
        <w:rPr>
          <w:rFonts w:eastAsia="source serif 4" w:cs="source serif 4" w:ascii="source serif 4" w:hAnsi="source serif 4"/>
          <w:color w:val="000000"/>
          <w:sz w:val="21"/>
        </w:rPr>
        <w:t xml:space="preserve">Retail customer onboarding for automotive finance applications.</w:t>
      </w:r>
    </w:p>
    <w:p>
      <w:pPr>
        <w:numPr>
          <w:ilvl w:val="0"/>
          <w:numId w:val="2"/>
        </w:numPr>
        <w:spacing w:line="360" w:before="105" w:after="105" w:lineRule="auto"/>
      </w:pPr>
      <w:r>
        <w:rPr>
          <w:rFonts w:eastAsia="source serif 4" w:cs="source serif 4" w:ascii="source serif 4" w:hAnsi="source serif 4"/>
          <w:color w:val="000000"/>
          <w:sz w:val="21"/>
        </w:rPr>
        <w:t xml:space="preserve">Digital registration through mobile app and web portal.</w:t>
      </w:r>
    </w:p>
    <w:p>
      <w:pPr>
        <w:numPr>
          <w:ilvl w:val="0"/>
          <w:numId w:val="2"/>
        </w:numPr>
        <w:spacing w:line="360" w:before="105" w:after="105" w:lineRule="auto"/>
      </w:pPr>
      <w:r>
        <w:rPr>
          <w:rFonts w:eastAsia="source serif 4" w:cs="source serif 4" w:ascii="source serif 4" w:hAnsi="source serif 4"/>
          <w:color w:val="000000"/>
          <w:sz w:val="21"/>
        </w:rPr>
        <w:t xml:space="preserve">Capture of Qatar national ID and ICAO-compliant passport for eligible applicants.</w:t>
      </w:r>
    </w:p>
    <w:p>
      <w:pPr>
        <w:numPr>
          <w:ilvl w:val="0"/>
          <w:numId w:val="2"/>
        </w:numPr>
        <w:spacing w:line="360" w:before="105" w:after="105" w:lineRule="auto"/>
      </w:pPr>
      <w:r>
        <w:rPr>
          <w:rFonts w:eastAsia="source serif 4" w:cs="source serif 4" w:ascii="source serif 4" w:hAnsi="source serif 4"/>
          <w:color w:val="000000"/>
          <w:sz w:val="21"/>
        </w:rPr>
        <w:t xml:space="preserve">Consent capture, document scan, OCR/NFC extraction where applicable, biometric/liveness verification, and sanctions screening.</w:t>
      </w:r>
    </w:p>
    <w:p>
      <w:pPr>
        <w:numPr>
          <w:ilvl w:val="0"/>
          <w:numId w:val="2"/>
        </w:numPr>
        <w:spacing w:line="360" w:before="105" w:after="105" w:lineRule="auto"/>
      </w:pPr>
      <w:r>
        <w:rPr>
          <w:rFonts w:eastAsia="source serif 4" w:cs="source serif 4" w:ascii="source serif 4" w:hAnsi="source serif 4"/>
          <w:color w:val="000000"/>
          <w:sz w:val="21"/>
        </w:rPr>
        <w:t xml:space="preserve">Risk scoring, exception handling, manual review, and fraud monitoring.</w:t>
      </w:r>
    </w:p>
    <w:p>
      <w:pPr>
        <w:numPr>
          <w:ilvl w:val="0"/>
          <w:numId w:val="2"/>
        </w:numPr>
        <w:spacing w:line="360" w:before="105" w:after="105" w:lineRule="auto"/>
      </w:pPr>
      <w:r>
        <w:rPr>
          <w:rFonts w:eastAsia="source serif 4" w:cs="source serif 4" w:ascii="source serif 4" w:hAnsi="source serif 4"/>
          <w:color w:val="000000"/>
          <w:sz w:val="21"/>
        </w:rPr>
        <w:t xml:space="preserve">Management reporting, audit trails, incident reporting, and ongoing compliance monitoring.</w:t>
      </w:r>
    </w:p>
    <w:p>
      <w:pPr>
        <w:numPr>
          <w:ilvl w:val="0"/>
          <w:numId w:val="2"/>
        </w:numPr>
        <w:spacing w:line="360" w:before="105" w:after="105" w:lineRule="auto"/>
      </w:pPr>
      <w:r>
        <w:rPr>
          <w:rFonts w:eastAsia="source serif 4" w:cs="source serif 4" w:ascii="source serif 4" w:hAnsi="source serif 4"/>
          <w:color w:val="000000"/>
          <w:sz w:val="21"/>
        </w:rPr>
        <w:t xml:space="preserve">Integration with regulated lender systems, CRM, LOS, fraud systems, and approved third-party verification providers [cite:16].</w:t>
      </w:r>
    </w:p>
    <w:p>
      <w:pPr>
        <w:spacing w:line="360" w:before="315" w:after="105" w:lineRule="auto"/>
        <w:ind w:left="-30"/>
        <w:jc w:val="left"/>
      </w:pPr>
      <w:bookmarkStart w:id="6" w:name="out_of_scope"/>
      <w:r>
        <w:rPr>
          <w:rFonts w:eastAsia="source serif 4" w:cs="source serif 4" w:ascii="source serif 4" w:hAnsi="source serif 4"/>
          <w:b/>
          <w:color w:val="000000"/>
          <w:sz w:val="24"/>
        </w:rPr>
        <w:t xml:space="preserve">Out of Scope</w:t>
      </w:r>
      <w:bookmarkEnd w:id="6"/>
    </w:p>
    <w:p>
      <w:pPr>
        <w:numPr>
          <w:ilvl w:val="0"/>
          <w:numId w:val="3"/>
        </w:numPr>
        <w:spacing w:line="360" w:before="105" w:after="105" w:lineRule="auto"/>
      </w:pPr>
      <w:r>
        <w:rPr>
          <w:rFonts w:eastAsia="source serif 4" w:cs="source serif 4" w:ascii="source serif 4" w:hAnsi="source serif 4"/>
          <w:color w:val="000000"/>
          <w:sz w:val="21"/>
        </w:rPr>
        <w:t xml:space="preserve">Corporate borrower onboarding, as the attached regulation is framed for individual customer management [cite:16].</w:t>
      </w:r>
    </w:p>
    <w:p>
      <w:pPr>
        <w:numPr>
          <w:ilvl w:val="0"/>
          <w:numId w:val="3"/>
        </w:numPr>
        <w:spacing w:line="360" w:before="105" w:after="105" w:lineRule="auto"/>
      </w:pPr>
      <w:r>
        <w:rPr>
          <w:rFonts w:eastAsia="source serif 4" w:cs="source serif 4" w:ascii="source serif 4" w:hAnsi="source serif 4"/>
          <w:color w:val="000000"/>
          <w:sz w:val="21"/>
        </w:rPr>
        <w:t xml:space="preserve">Credit underwriting policy itself, except where onboarding controls affect eligibility or escalation.</w:t>
      </w:r>
    </w:p>
    <w:p>
      <w:pPr>
        <w:numPr>
          <w:ilvl w:val="0"/>
          <w:numId w:val="3"/>
        </w:numPr>
        <w:spacing w:line="360" w:before="105" w:after="105" w:lineRule="auto"/>
      </w:pPr>
      <w:r>
        <w:rPr>
          <w:rFonts w:eastAsia="source serif 4" w:cs="source serif 4" w:ascii="source serif 4" w:hAnsi="source serif 4"/>
          <w:color w:val="000000"/>
          <w:sz w:val="21"/>
        </w:rPr>
        <w:t xml:space="preserve">Collections, repossession, and post-disbursement servicing.</w:t>
      </w:r>
    </w:p>
    <w:p>
      <w:pPr>
        <w:numPr>
          <w:ilvl w:val="0"/>
          <w:numId w:val="3"/>
        </w:numPr>
        <w:spacing w:line="360" w:before="105" w:after="105" w:lineRule="auto"/>
      </w:pPr>
      <w:r>
        <w:rPr>
          <w:rFonts w:eastAsia="source serif 4" w:cs="source serif 4" w:ascii="source serif 4" w:hAnsi="source serif 4"/>
          <w:color w:val="000000"/>
          <w:sz w:val="21"/>
        </w:rPr>
        <w:t xml:space="preserve">Cross-border onboarding of foreign nationals without prior exceptional approval from QCB [cite:16].</w:t>
      </w:r>
    </w:p>
    <w:p>
      <w:pPr>
        <w:spacing w:line="360" w:before="315" w:after="105" w:lineRule="auto"/>
        <w:ind w:left="-30"/>
        <w:jc w:val="left"/>
      </w:pPr>
      <w:bookmarkStart w:id="7" w:name="regulatory_foundation"/>
      <w:r>
        <w:rPr>
          <w:rFonts w:eastAsia="source serif 4" w:cs="source serif 4" w:ascii="source serif 4" w:hAnsi="source serif 4"/>
          <w:b/>
          <w:color w:val="000000"/>
          <w:sz w:val="24"/>
        </w:rPr>
        <w:t xml:space="preserve">Regulatory Foundation</w:t>
      </w:r>
      <w:bookmarkEnd w:id="7"/>
    </w:p>
    <w:p>
      <w:pPr>
        <w:spacing w:line="360" w:after="210" w:lineRule="auto"/>
      </w:pPr>
      <w:r>
        <w:rPr>
          <w:rFonts w:eastAsia="source serif 4" w:cs="source serif 4" w:ascii="source serif 4" w:hAnsi="source serif 4"/>
          <w:color w:val="000000"/>
        </w:rPr>
        <w:t xml:space="preserve">The regulation applies to all QCB-regulated entities pursuing implementation of e-KYC for individual customer management and must be read together with the QCB Law, Law No. 20 of 2019 on AML/CFT, the AML/CFT Instructions for Financial Institutions, and related security and data privacy requirements [cite:16]. For Blox, this means the onboarding design cannot be treated as a standalone product feature; it must be embedded within the regulated entity's control framework, risk appetite, information security model, and AML/CFT operating procedures [cite:16].</w:t>
      </w:r>
    </w:p>
    <w:p>
      <w:pPr>
        <w:spacing w:line="360" w:after="210" w:lineRule="auto"/>
      </w:pPr>
      <w:r>
        <w:rPr>
          <w:rFonts w:eastAsia="source serif 4" w:cs="source serif 4" w:ascii="source serif 4" w:hAnsi="source serif 4"/>
          <w:color w:val="000000"/>
        </w:rPr>
        <w:t xml:space="preserve">The platform may only be deployed after the regulated entity requests approval from QCB to apply e-KYC procedures. The approval submission must include targeted groups, limits plans for each group, oversight mechanisms, risk mitigation, technical controls, fraud prevention controls, and security controls against data breaches and cyber risk [cite:16].</w:t>
      </w:r>
    </w:p>
    <w:p>
      <w:pPr>
        <w:spacing w:line="360" w:before="315" w:after="105" w:lineRule="auto"/>
        <w:ind w:left="-30"/>
        <w:jc w:val="left"/>
      </w:pPr>
      <w:bookmarkStart w:id="8" w:name="stakeholders"/>
      <w:r>
        <w:rPr>
          <w:rFonts w:eastAsia="source serif 4" w:cs="source serif 4" w:ascii="source serif 4" w:hAnsi="source serif 4"/>
          <w:b/>
          <w:color w:val="000000"/>
          <w:sz w:val="24"/>
        </w:rPr>
        <w:t xml:space="preserve">Stakeholders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Stakeholder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in Blox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Requirement 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Sponsor regulated 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owner of onboarding and lending relationship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Remains fully accountable for regulatory compliance even if e-KYC is outsourced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Board of directors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Approves risk appetite and 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approve overall risk appetite and internal management for e-KYC implementation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Senior management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accountability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Responsible for assessment, understanding, and monitoring reliance on e-KYC for material services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and MLRO teams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AML/CFT and sanctions oversight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ensure reporting of known, suspected, or attempted financial crime activity and sanctions screening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 security team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architecture and incident response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operate under applicable security regulation and report security incidents and digital fraud incidents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Operations / onboarding team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Exception handling and manual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for high-risk review, failed onboarding handling, and quality checks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Third-party e-KYC provider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Optional outsourced service provider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Subject to QCB approval, due diligence, audit rights, and data protection controls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Customers / applicants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 users of digital onboarding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be informed of data collection purpose and provide required consent [cite:16]</w:t>
            </w:r>
          </w:p>
        </w:tc>
      </w:tr>
    </w:tbl>
    <w:p>
      <w:pPr>
        <w:spacing w:lineRule="auto"/>
      </w:pPr>
    </w:p>
    <w:p>
      <w:pPr>
        <w:spacing w:line="360" w:before="315" w:after="105" w:lineRule="auto"/>
        <w:ind w:left="-30"/>
        <w:jc w:val="left"/>
      </w:pPr>
      <w:bookmarkStart w:id="9" w:name="business_requirements"/>
      <w:r>
        <w:rPr>
          <w:rFonts w:eastAsia="source serif 4" w:cs="source serif 4" w:ascii="source serif 4" w:hAnsi="source serif 4"/>
          <w:b/>
          <w:color w:val="000000"/>
          <w:sz w:val="24"/>
        </w:rPr>
        <w:t xml:space="preserve">Business Requirements</w:t>
      </w:r>
      <w:bookmarkEnd w:id="9"/>
    </w:p>
    <w:p>
      <w:pPr>
        <w:spacing w:line="360" w:before="315" w:after="105" w:lineRule="auto"/>
        <w:ind w:left="-30"/>
        <w:jc w:val="left"/>
      </w:pPr>
      <w:bookmarkStart w:id="10" w:name="br_1_governance_model"/>
      <w:r>
        <w:rPr>
          <w:rFonts w:eastAsia="source serif 4" w:cs="source serif 4" w:ascii="source serif 4" w:hAnsi="source serif 4"/>
          <w:b/>
          <w:color w:val="000000"/>
          <w:sz w:val="24"/>
        </w:rPr>
        <w:t xml:space="preserve">BR-1 Governance Model</w:t>
      </w:r>
      <w:bookmarkEnd w:id="10"/>
    </w:p>
    <w:p>
      <w:pPr>
        <w:spacing w:line="360" w:after="210" w:lineRule="auto"/>
      </w:pPr>
      <w:r>
        <w:rPr>
          <w:rFonts w:eastAsia="source serif 4" w:cs="source serif 4" w:ascii="source serif 4" w:hAnsi="source serif 4"/>
          <w:color w:val="000000"/>
        </w:rPr>
        <w:t xml:space="preserve">Blox shall operate only under a defined and current e-KYC policy aligned with the regulated entity's internal policies, ICT standards, information security requirements, and operational risk framework [cite:16]. The sponsoring entity shall establish a dedicated function, or assign an existing function, to oversee, review, and monitor the e-KYC process end to end [cite:16].</w:t>
      </w:r>
    </w:p>
    <w:p>
      <w:pPr>
        <w:spacing w:line="360" w:before="315" w:after="105" w:lineRule="auto"/>
        <w:ind w:left="-30"/>
        <w:jc w:val="left"/>
      </w:pPr>
      <w:bookmarkStart w:id="11" w:name="br_2_qcb_approval_readiness"/>
      <w:r>
        <w:rPr>
          <w:rFonts w:eastAsia="source serif 4" w:cs="source serif 4" w:ascii="source serif 4" w:hAnsi="source serif 4"/>
          <w:b/>
          <w:color w:val="000000"/>
          <w:sz w:val="24"/>
        </w:rPr>
        <w:t xml:space="preserve">BR-2 QCB Approval Readiness</w:t>
      </w:r>
      <w:bookmarkEnd w:id="11"/>
    </w:p>
    <w:p>
      <w:pPr>
        <w:spacing w:line="360" w:after="210" w:lineRule="auto"/>
      </w:pPr>
      <w:r>
        <w:rPr>
          <w:rFonts w:eastAsia="source serif 4" w:cs="source serif 4" w:ascii="source serif 4" w:hAnsi="source serif 4"/>
          <w:color w:val="000000"/>
        </w:rPr>
        <w:t xml:space="preserve">Before go-live, Blox shall support preparation of a QCB approval package including customer segments, transaction or product limits where relevant, oversight model, risk mitigation controls, fraud controls, and cyber/data protection controls [cite:16]. No production deployment shall occur until regulatory approval is obtained for the e-KYC process, and any outsourcing arrangement shall require separate prior approval from QCB [cite:16].</w:t>
      </w:r>
    </w:p>
    <w:p>
      <w:pPr>
        <w:spacing w:line="360" w:before="315" w:after="105" w:lineRule="auto"/>
        <w:ind w:left="-30"/>
        <w:jc w:val="left"/>
      </w:pPr>
      <w:bookmarkStart w:id="12" w:name="br_3_customer_eligibility"/>
      <w:r>
        <w:rPr>
          <w:rFonts w:eastAsia="source serif 4" w:cs="source serif 4" w:ascii="source serif 4" w:hAnsi="source serif 4"/>
          <w:b/>
          <w:color w:val="000000"/>
          <w:sz w:val="24"/>
        </w:rPr>
        <w:t xml:space="preserve">BR-3 Customer Eligibility</w:t>
      </w:r>
      <w:bookmarkEnd w:id="12"/>
    </w:p>
    <w:p>
      <w:pPr>
        <w:spacing w:line="360" w:after="210" w:lineRule="auto"/>
      </w:pPr>
      <w:r>
        <w:rPr>
          <w:rFonts w:eastAsia="source serif 4" w:cs="source serif 4" w:ascii="source serif 4" w:hAnsi="source serif 4"/>
          <w:color w:val="000000"/>
        </w:rPr>
        <w:t xml:space="preserve">Blox shall define minimum acceptable customer criteria based on security and financial history considerations as part of onboarding policy [cite:16]. Blox shall restrict onboarding of foreign nationals or special customer categories unless the regulated entity has obtained prior exceptional approval from QCB for that e-KYC approach [cite:16].</w:t>
      </w:r>
    </w:p>
    <w:p>
      <w:pPr>
        <w:spacing w:line="360" w:before="315" w:after="105" w:lineRule="auto"/>
        <w:ind w:left="-30"/>
        <w:jc w:val="left"/>
      </w:pPr>
      <w:bookmarkStart w:id="13" w:name="br_4_customer_consent_and_data_mi_c829c8"/>
      <w:r>
        <w:rPr>
          <w:rFonts w:eastAsia="source serif 4" w:cs="source serif 4" w:ascii="source serif 4" w:hAnsi="source serif 4"/>
          <w:b/>
          <w:color w:val="000000"/>
          <w:sz w:val="24"/>
        </w:rPr>
        <w:t xml:space="preserve">BR-4 Customer Consent and Data Minimization</w:t>
      </w:r>
      <w:bookmarkEnd w:id="13"/>
    </w:p>
    <w:p>
      <w:pPr>
        <w:spacing w:line="360" w:after="210" w:lineRule="auto"/>
      </w:pPr>
      <w:r>
        <w:rPr>
          <w:rFonts w:eastAsia="source serif 4" w:cs="source serif 4" w:ascii="source serif 4" w:hAnsi="source serif 4"/>
          <w:color w:val="000000"/>
        </w:rPr>
        <w:t xml:space="preserve">Blox shall explicitly disclose the purpose of personal data collection during onboarding and capture customer consent before processing personal data for e-KYC [cite:16]. Blox shall collect only information necessary for e-KYC and related onboarding activities, and where customer data is processed by a service provider, consent handling must align with Law No. 13 of 2016 on Personal Data Privacy Protection [cite:16].</w:t>
      </w:r>
    </w:p>
    <w:p>
      <w:pPr>
        <w:spacing w:line="360" w:before="315" w:after="105" w:lineRule="auto"/>
        <w:ind w:left="-30"/>
        <w:jc w:val="left"/>
      </w:pPr>
      <w:bookmarkStart w:id="14" w:name="br_5_accepted_identity_documents"/>
      <w:r>
        <w:rPr>
          <w:rFonts w:eastAsia="source serif 4" w:cs="source serif 4" w:ascii="source serif 4" w:hAnsi="source serif 4"/>
          <w:b/>
          <w:color w:val="000000"/>
          <w:sz w:val="24"/>
        </w:rPr>
        <w:t xml:space="preserve">BR-5 Accepted Identity Documents</w:t>
      </w:r>
      <w:bookmarkEnd w:id="14"/>
    </w:p>
    <w:p>
      <w:pPr>
        <w:spacing w:line="360" w:after="210" w:lineRule="auto"/>
      </w:pPr>
      <w:r>
        <w:rPr>
          <w:rFonts w:eastAsia="source serif 4" w:cs="source serif 4" w:ascii="source serif 4" w:hAnsi="source serif 4"/>
          <w:color w:val="000000"/>
        </w:rPr>
        <w:t xml:space="preserve">Blox shall publish acceptable document types in its terms and conditions on digital channels and permit only those documents in the e-KYC flow [cite:16]. The platform shall support Qatar national ID for eligible applicants and ICAO-compliant passports for non-national ID holders, with document capture performed through scanning technology and optional NFC extraction for RFID-enabled documents [cite:16].</w:t>
      </w:r>
    </w:p>
    <w:p>
      <w:pPr>
        <w:spacing w:line="360" w:before="315" w:after="105" w:lineRule="auto"/>
        <w:ind w:left="-30"/>
        <w:jc w:val="left"/>
      </w:pPr>
      <w:bookmarkStart w:id="15" w:name="br_6_registration_and_authentication"/>
      <w:r>
        <w:rPr>
          <w:rFonts w:eastAsia="source serif 4" w:cs="source serif 4" w:ascii="source serif 4" w:hAnsi="source serif 4"/>
          <w:b/>
          <w:color w:val="000000"/>
          <w:sz w:val="24"/>
        </w:rPr>
        <w:t xml:space="preserve">BR-6 Registration and Authentication</w:t>
      </w:r>
      <w:bookmarkEnd w:id="15"/>
    </w:p>
    <w:p>
      <w:pPr>
        <w:spacing w:line="360" w:after="210" w:lineRule="auto"/>
      </w:pPr>
      <w:r>
        <w:rPr>
          <w:rFonts w:eastAsia="source serif 4" w:cs="source serif 4" w:ascii="source serif 4" w:hAnsi="source serif 4"/>
          <w:color w:val="000000"/>
        </w:rPr>
        <w:t xml:space="preserve">Blox shall provide digital onboarding through one or more approved channels such as mobile applications and online portals [cite:16]. During registration, the platform shall temporarily store captured data on the user's device only in encrypted form, wipe the data after secure transmission, apply geo-fencing and IP verification, and enforce multi-factor authentication such as OTP to the registered phone number [cite:16].</w:t>
      </w:r>
    </w:p>
    <w:p>
      <w:pPr>
        <w:spacing w:line="360" w:before="315" w:after="105" w:lineRule="auto"/>
        <w:ind w:left="-30"/>
        <w:jc w:val="left"/>
      </w:pPr>
      <w:bookmarkStart w:id="16" w:name="br_7_liveness_and_anti_impersonation"/>
      <w:r>
        <w:rPr>
          <w:rFonts w:eastAsia="source serif 4" w:cs="source serif 4" w:ascii="source serif 4" w:hAnsi="source serif 4"/>
          <w:b/>
          <w:color w:val="000000"/>
          <w:sz w:val="24"/>
        </w:rPr>
        <w:t xml:space="preserve">BR-7 Liveness and Anti-Impersonation</w:t>
      </w:r>
      <w:bookmarkEnd w:id="16"/>
    </w:p>
    <w:p>
      <w:pPr>
        <w:spacing w:line="360" w:after="210" w:lineRule="auto"/>
      </w:pPr>
      <w:r>
        <w:rPr>
          <w:rFonts w:eastAsia="source serif 4" w:cs="source serif 4" w:ascii="source serif 4" w:hAnsi="source serif 4"/>
          <w:color w:val="000000"/>
        </w:rPr>
        <w:t xml:space="preserve">Blox shall require applicants to complete randomized real-time liveness actions during onboarding to reduce fraud and identity theft risk [cite:16]. The platform shall prevent onboarding through still images or edited videos and should incorporate anti-deepfake and document authenticity controls to strengthen fraud defenses [cite:16].</w:t>
      </w:r>
    </w:p>
    <w:p>
      <w:pPr>
        <w:spacing w:line="360" w:before="315" w:after="105" w:lineRule="auto"/>
        <w:ind w:left="-30"/>
        <w:jc w:val="left"/>
      </w:pPr>
      <w:bookmarkStart w:id="17" w:name="br_8_identification_and_verification"/>
      <w:r>
        <w:rPr>
          <w:rFonts w:eastAsia="source serif 4" w:cs="source serif 4" w:ascii="source serif 4" w:hAnsi="source serif 4"/>
          <w:b/>
          <w:color w:val="000000"/>
          <w:sz w:val="24"/>
        </w:rPr>
        <w:t xml:space="preserve">BR-8 Identification and Verification</w:t>
      </w:r>
      <w:bookmarkEnd w:id="17"/>
    </w:p>
    <w:p>
      <w:pPr>
        <w:spacing w:line="360" w:after="210" w:lineRule="auto"/>
      </w:pPr>
      <w:r>
        <w:rPr>
          <w:rFonts w:eastAsia="source serif 4" w:cs="source serif 4" w:ascii="source serif 4" w:hAnsi="source serif 4"/>
          <w:color w:val="000000"/>
        </w:rPr>
        <w:t xml:space="preserve">At minimum, Blox shall perform a live scan of the identity document, collect identity information documentation, and collect applicant data through a digital onboarding form [cite:16]. The verification layer shall support live photo or live video capture, trusted database or third-party verification, visual verification of document authenticity, and consistency checks such as VIZ/MRZ comparison or QR-based validation where available [cite:16].</w:t>
      </w:r>
    </w:p>
    <w:p>
      <w:pPr>
        <w:spacing w:line="360" w:before="315" w:after="105" w:lineRule="auto"/>
        <w:ind w:left="-30"/>
        <w:jc w:val="left"/>
      </w:pPr>
      <w:bookmarkStart w:id="18" w:name="br_9_aml_cft_and_sanctions_controls"/>
      <w:r>
        <w:rPr>
          <w:rFonts w:eastAsia="source serif 4" w:cs="source serif 4" w:ascii="source serif 4" w:hAnsi="source serif 4"/>
          <w:b/>
          <w:color w:val="000000"/>
          <w:sz w:val="24"/>
        </w:rPr>
        <w:t xml:space="preserve">BR-9 AML/CFT and Sanctions Controls</w:t>
      </w:r>
      <w:bookmarkEnd w:id="18"/>
    </w:p>
    <w:p>
      <w:pPr>
        <w:spacing w:line="360" w:after="210" w:lineRule="auto"/>
      </w:pPr>
      <w:r>
        <w:rPr>
          <w:rFonts w:eastAsia="source serif 4" w:cs="source serif 4" w:ascii="source serif 4" w:hAnsi="source serif 4"/>
          <w:color w:val="000000"/>
        </w:rPr>
        <w:t xml:space="preserve">Blox shall screen applicants against national sanctions lists and other sanctions lists before the relationship is established and continuously during the customer relationship [cite:16]. The platform shall support escalation, blocking, reporting, and enhanced due diligence workflows in line with AML/CFT obligations where a match, suspicion, or elevated risk is detected [cite:16].</w:t>
      </w:r>
    </w:p>
    <w:p>
      <w:pPr>
        <w:spacing w:line="360" w:before="315" w:after="105" w:lineRule="auto"/>
        <w:ind w:left="-30"/>
        <w:jc w:val="left"/>
      </w:pPr>
      <w:bookmarkStart w:id="19" w:name="br_10_exceptions_and_manual_review"/>
      <w:r>
        <w:rPr>
          <w:rFonts w:eastAsia="source serif 4" w:cs="source serif 4" w:ascii="source serif 4" w:hAnsi="source serif 4"/>
          <w:b/>
          <w:color w:val="000000"/>
          <w:sz w:val="24"/>
        </w:rPr>
        <w:t xml:space="preserve">BR-10 Exceptions and Manual Review</w:t>
      </w:r>
      <w:bookmarkEnd w:id="19"/>
    </w:p>
    <w:p>
      <w:pPr>
        <w:spacing w:line="360" w:after="210" w:lineRule="auto"/>
      </w:pPr>
      <w:r>
        <w:rPr>
          <w:rFonts w:eastAsia="source serif 4" w:cs="source serif 4" w:ascii="source serif 4" w:hAnsi="source serif 4"/>
          <w:color w:val="000000"/>
        </w:rPr>
        <w:t xml:space="preserve">Blox shall identify high-risk customers during onboarding and throughout the relationship for human review and enhanced due diligence [cite:16]. The platform shall also provide controls for re-registration after failed onboarding, define handling of unsuccessful attempts, and support manual continuation mechanisms when automated verification fails or falls below acceptance thresholds [cite:16].</w:t>
      </w:r>
    </w:p>
    <w:p>
      <w:pPr>
        <w:spacing w:line="360" w:before="315" w:after="105" w:lineRule="auto"/>
        <w:ind w:left="-30"/>
        <w:jc w:val="left"/>
      </w:pPr>
      <w:bookmarkStart w:id="20" w:name="br_11_security_and_resilience"/>
      <w:r>
        <w:rPr>
          <w:rFonts w:eastAsia="source serif 4" w:cs="source serif 4" w:ascii="source serif 4" w:hAnsi="source serif 4"/>
          <w:b/>
          <w:color w:val="000000"/>
          <w:sz w:val="24"/>
        </w:rPr>
        <w:t xml:space="preserve">BR-11 Security and Resilience</w:t>
      </w:r>
      <w:bookmarkEnd w:id="20"/>
    </w:p>
    <w:p>
      <w:pPr>
        <w:spacing w:line="360" w:after="210" w:lineRule="auto"/>
      </w:pPr>
      <w:r>
        <w:rPr>
          <w:rFonts w:eastAsia="source serif 4" w:cs="source serif 4" w:ascii="source serif 4" w:hAnsi="source serif 4"/>
          <w:color w:val="000000"/>
        </w:rPr>
        <w:t xml:space="preserve">Blox shall comply with the applicable sector-specific security regulation for deployment and operation of its e-KYC application and associated processes [cite:16]. The platform shall encrypt personal and biometric data, validate applications against recognized security controls such as OWASP Top 10 before deployment, and continuously monitor the application for security and fraud risks [cite:16].</w:t>
      </w:r>
    </w:p>
    <w:p>
      <w:pPr>
        <w:spacing w:line="360" w:before="315" w:after="105" w:lineRule="auto"/>
        <w:ind w:left="-30"/>
        <w:jc w:val="left"/>
      </w:pPr>
      <w:bookmarkStart w:id="21" w:name="br_12_auditability_and_reporting"/>
      <w:r>
        <w:rPr>
          <w:rFonts w:eastAsia="source serif 4" w:cs="source serif 4" w:ascii="source serif 4" w:hAnsi="source serif 4"/>
          <w:b/>
          <w:color w:val="000000"/>
          <w:sz w:val="24"/>
        </w:rPr>
        <w:t xml:space="preserve">BR-12 Auditability and Reporting</w:t>
      </w:r>
      <w:bookmarkEnd w:id="21"/>
    </w:p>
    <w:p>
      <w:pPr>
        <w:spacing w:line="360" w:after="210" w:lineRule="auto"/>
      </w:pPr>
      <w:r>
        <w:rPr>
          <w:rFonts w:eastAsia="source serif 4" w:cs="source serif 4" w:ascii="source serif 4" w:hAnsi="source serif 4"/>
          <w:color w:val="000000"/>
        </w:rPr>
        <w:t xml:space="preserve">Blox shall collect audit logs, fraud attempt reports, security violation reports, and key risk indicators related to the e-KYC process on an ongoing basis [cite:16]. The platform shall support annual reporting on biometric performance requirements and maintain evidence needed for board oversight, external audit, regulatory inspections, and compliance reviews [cite:16].</w:t>
      </w:r>
    </w:p>
    <w:p>
      <w:pPr>
        <w:spacing w:line="360" w:before="315" w:after="105" w:lineRule="auto"/>
        <w:ind w:left="-30"/>
        <w:jc w:val="left"/>
      </w:pPr>
      <w:bookmarkStart w:id="22" w:name="functional_requirements"/>
      <w:r>
        <w:rPr>
          <w:rFonts w:eastAsia="source serif 4" w:cs="source serif 4" w:ascii="source serif 4" w:hAnsi="source serif 4"/>
          <w:b/>
          <w:color w:val="000000"/>
          <w:sz w:val="24"/>
        </w:rPr>
        <w:t xml:space="preserve">Functional Requirements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Functional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present customer consent language before identity capture and record time-stamped acceptance linked to the applicant session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display acceptable document types in the onboarding journey and reject unsupported documents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capture live scans of identity documents and extract data using OCR, with NFC support where applicable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support Arabic and English as standard languages and include text identification and text-to-speech capability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capture onboarding form data and bind it to the identity session for verification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perform OTP-based multi-factor authentication to the registered phone number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run geo-fencing and IP verification checks during registration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require randomized liveness actions and reject still image or edited video attempts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support live selfie photo and/or live video verification against the submitted identity document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validate document authenticity using visual verification techniques, including photo replacement detection and data integrity checks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cross-verify applicant data against trusted third-party or regulated data sources where integrated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screen sanctions lists prior to relationship creation and continuously thereafter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route high-risk, failed, or suspicious cases to manual review queues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limit re-registration and block repeated failed attempts after configurable thresholds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maintain encrypted transmission and storage of personal and biometric data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generate reports on fraud attempts, security incidents, KRIs, and biometric performance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support integration with certificate authorities and digital signature repositories where required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maintain complete audit trails for onboarding decisions, checks performed, alerts raised, and user actions [cite:16]</w:t>
            </w:r>
          </w:p>
        </w:tc>
      </w:tr>
    </w:tbl>
    <w:p>
      <w:pPr>
        <w:spacing w:lineRule="auto"/>
      </w:pPr>
    </w:p>
    <w:p>
      <w:pPr>
        <w:spacing w:line="360" w:before="315" w:after="105" w:lineRule="auto"/>
        <w:ind w:left="-30"/>
        <w:jc w:val="left"/>
      </w:pPr>
      <w:bookmarkStart w:id="23" w:name="non_functional_requirements"/>
      <w:r>
        <w:rPr>
          <w:rFonts w:eastAsia="source serif 4" w:cs="source serif 4" w:ascii="source serif 4" w:hAnsi="source serif 4"/>
          <w:b/>
          <w:color w:val="000000"/>
          <w:sz w:val="24"/>
        </w:rPr>
        <w:t xml:space="preserve">Non-Functional Requirements</w:t>
      </w:r>
      <w:bookmarkEnd w:id="23"/>
    </w:p>
    <w:p>
      <w:pPr>
        <w:spacing w:line="360" w:before="315" w:after="105" w:lineRule="auto"/>
        <w:ind w:left="-30"/>
        <w:jc w:val="left"/>
      </w:pPr>
      <w:bookmarkStart w:id="24" w:name="security"/>
      <w:r>
        <w:rPr>
          <w:rFonts w:eastAsia="source serif 4" w:cs="source serif 4" w:ascii="source serif 4" w:hAnsi="source serif 4"/>
          <w:b/>
          <w:color w:val="000000"/>
          <w:sz w:val="24"/>
        </w:rPr>
        <w:t xml:space="preserve">Security</w:t>
      </w:r>
      <w:bookmarkEnd w:id="24"/>
    </w:p>
    <w:p>
      <w:pPr>
        <w:numPr>
          <w:ilvl w:val="0"/>
          <w:numId w:val="4"/>
        </w:numPr>
        <w:spacing w:line="360" w:before="105" w:after="105" w:lineRule="auto"/>
      </w:pPr>
      <w:r>
        <w:rPr>
          <w:rFonts w:eastAsia="source serif 4" w:cs="source serif 4" w:ascii="source serif 4" w:hAnsi="source serif 4"/>
          <w:color w:val="000000"/>
          <w:sz w:val="21"/>
        </w:rPr>
        <w:t xml:space="preserve">All personal and biometric data must be encrypted in storage and transit using strong cryptographic controls aligned with sector-specific security requirements [cite:16].</w:t>
      </w:r>
    </w:p>
    <w:p>
      <w:pPr>
        <w:numPr>
          <w:ilvl w:val="0"/>
          <w:numId w:val="4"/>
        </w:numPr>
        <w:spacing w:line="360" w:before="105" w:after="105" w:lineRule="auto"/>
      </w:pPr>
      <w:r>
        <w:rPr>
          <w:rFonts w:eastAsia="source serif 4" w:cs="source serif 4" w:ascii="source serif 4" w:hAnsi="source serif 4"/>
          <w:color w:val="000000"/>
          <w:sz w:val="21"/>
        </w:rPr>
        <w:t xml:space="preserve">The platform must continuously monitor security and fraud risks and produce regular violation and fraud reports [cite:16].</w:t>
      </w:r>
    </w:p>
    <w:p>
      <w:pPr>
        <w:numPr>
          <w:ilvl w:val="0"/>
          <w:numId w:val="4"/>
        </w:numPr>
        <w:spacing w:line="360" w:before="105" w:after="105" w:lineRule="auto"/>
      </w:pPr>
      <w:r>
        <w:rPr>
          <w:rFonts w:eastAsia="source serif 4" w:cs="source serif 4" w:ascii="source serif 4" w:hAnsi="source serif 4"/>
          <w:color w:val="000000"/>
          <w:sz w:val="21"/>
        </w:rPr>
        <w:t xml:space="preserve">The production application must be security-validated before deployment, including controls consistent with OWASP Top 10 practices [cite:16].</w:t>
      </w:r>
    </w:p>
    <w:p>
      <w:pPr>
        <w:spacing w:line="360" w:before="315" w:after="105" w:lineRule="auto"/>
        <w:ind w:left="-30"/>
        <w:jc w:val="left"/>
      </w:pPr>
      <w:bookmarkStart w:id="25" w:name="privacy"/>
      <w:r>
        <w:rPr>
          <w:rFonts w:eastAsia="source serif 4" w:cs="source serif 4" w:ascii="source serif 4" w:hAnsi="source serif 4"/>
          <w:b/>
          <w:color w:val="000000"/>
          <w:sz w:val="24"/>
        </w:rPr>
        <w:t xml:space="preserve">Privacy</w:t>
      </w:r>
      <w:bookmarkEnd w:id="25"/>
    </w:p>
    <w:p>
      <w:pPr>
        <w:numPr>
          <w:ilvl w:val="0"/>
          <w:numId w:val="5"/>
        </w:numPr>
        <w:spacing w:line="360" w:before="105" w:after="105" w:lineRule="auto"/>
      </w:pPr>
      <w:r>
        <w:rPr>
          <w:rFonts w:eastAsia="source serif 4" w:cs="source serif 4" w:ascii="source serif 4" w:hAnsi="source serif 4"/>
          <w:color w:val="000000"/>
          <w:sz w:val="21"/>
        </w:rPr>
        <w:t xml:space="preserve">The platform must comply with Qatar's Personal Data Privacy Protection Law and collect only data necessary for the e-KYC purpose disclosed to the customer [cite:16].</w:t>
      </w:r>
    </w:p>
    <w:p>
      <w:pPr>
        <w:numPr>
          <w:ilvl w:val="0"/>
          <w:numId w:val="5"/>
        </w:numPr>
        <w:spacing w:line="360" w:before="105" w:after="105" w:lineRule="auto"/>
      </w:pPr>
      <w:r>
        <w:rPr>
          <w:rFonts w:eastAsia="source serif 4" w:cs="source serif 4" w:ascii="source serif 4" w:hAnsi="source serif 4"/>
          <w:color w:val="000000"/>
          <w:sz w:val="21"/>
        </w:rPr>
        <w:t xml:space="preserve">Customer records must be protected with sufficient security measures and processing by third parties must be subject to consent and data protection controls [cite:16].</w:t>
      </w:r>
    </w:p>
    <w:p>
      <w:pPr>
        <w:spacing w:line="360" w:before="315" w:after="105" w:lineRule="auto"/>
        <w:ind w:left="-30"/>
        <w:jc w:val="left"/>
      </w:pPr>
      <w:bookmarkStart w:id="26" w:name="performance_and_quality"/>
      <w:r>
        <w:rPr>
          <w:rFonts w:eastAsia="source serif 4" w:cs="source serif 4" w:ascii="source serif 4" w:hAnsi="source serif 4"/>
          <w:b/>
          <w:color w:val="000000"/>
          <w:sz w:val="24"/>
        </w:rPr>
        <w:t xml:space="preserve">Performance and Quality</w:t>
      </w:r>
      <w:bookmarkEnd w:id="26"/>
    </w:p>
    <w:p>
      <w:pPr>
        <w:numPr>
          <w:ilvl w:val="0"/>
          <w:numId w:val="6"/>
        </w:numPr>
        <w:spacing w:line="360" w:before="105" w:after="105" w:lineRule="auto"/>
      </w:pPr>
      <w:r>
        <w:rPr>
          <w:rFonts w:eastAsia="source serif 4" w:cs="source serif 4" w:ascii="source serif 4" w:hAnsi="source serif 4"/>
          <w:color w:val="000000"/>
          <w:sz w:val="21"/>
        </w:rPr>
        <w:t xml:space="preserve">The platform must define, review, and report performance requirements for biometrics annually [cite:16].</w:t>
      </w:r>
    </w:p>
    <w:p>
      <w:pPr>
        <w:numPr>
          <w:ilvl w:val="0"/>
          <w:numId w:val="6"/>
        </w:numPr>
        <w:spacing w:line="360" w:before="105" w:after="105" w:lineRule="auto"/>
      </w:pPr>
      <w:r>
        <w:rPr>
          <w:rFonts w:eastAsia="source serif 4" w:cs="source serif 4" w:ascii="source serif 4" w:hAnsi="source serif 4"/>
          <w:color w:val="000000"/>
          <w:sz w:val="21"/>
        </w:rPr>
        <w:t xml:space="preserve">The platform must maintain minimum quality standards for e-KYC processing and monitor adherence continuously [cite:16].</w:t>
      </w:r>
    </w:p>
    <w:p>
      <w:pPr>
        <w:spacing w:line="360" w:before="315" w:after="105" w:lineRule="auto"/>
        <w:ind w:left="-30"/>
        <w:jc w:val="left"/>
      </w:pPr>
      <w:bookmarkStart w:id="27" w:name="audit_and_control"/>
      <w:r>
        <w:rPr>
          <w:rFonts w:eastAsia="source serif 4" w:cs="source serif 4" w:ascii="source serif 4" w:hAnsi="source serif 4"/>
          <w:b/>
          <w:color w:val="000000"/>
          <w:sz w:val="24"/>
        </w:rPr>
        <w:t xml:space="preserve">Audit and Control</w:t>
      </w:r>
      <w:bookmarkEnd w:id="27"/>
    </w:p>
    <w:p>
      <w:pPr>
        <w:numPr>
          <w:ilvl w:val="0"/>
          <w:numId w:val="7"/>
        </w:numPr>
        <w:spacing w:line="360" w:before="105" w:after="105" w:lineRule="auto"/>
      </w:pPr>
      <w:r>
        <w:rPr>
          <w:rFonts w:eastAsia="source serif 4" w:cs="source serif 4" w:ascii="source serif 4" w:hAnsi="source serif 4"/>
          <w:color w:val="000000"/>
          <w:sz w:val="21"/>
        </w:rPr>
        <w:t xml:space="preserve">The platform must support periodic external assessment by auditors with experience in e-KYC, financial crime, cybersecurity, and AML standards [cite:16].</w:t>
      </w:r>
    </w:p>
    <w:p>
      <w:pPr>
        <w:numPr>
          <w:ilvl w:val="0"/>
          <w:numId w:val="7"/>
        </w:numPr>
        <w:spacing w:line="360" w:before="105" w:after="105" w:lineRule="auto"/>
      </w:pPr>
      <w:r>
        <w:rPr>
          <w:rFonts w:eastAsia="source serif 4" w:cs="source serif 4" w:ascii="source serif 4" w:hAnsi="source serif 4"/>
          <w:color w:val="000000"/>
          <w:sz w:val="21"/>
        </w:rPr>
        <w:t xml:space="preserve">The platform must preserve evidence required for QCB inspection, board reporting, and outsourced service provider audit rights [cite:16].</w:t>
      </w:r>
    </w:p>
    <w:p>
      <w:pPr>
        <w:spacing w:line="360" w:before="315" w:after="105" w:lineRule="auto"/>
        <w:ind w:left="-30"/>
        <w:jc w:val="left"/>
      </w:pPr>
      <w:bookmarkStart w:id="28" w:name="process_flow_requirements"/>
      <w:r>
        <w:rPr>
          <w:rFonts w:eastAsia="source serif 4" w:cs="source serif 4" w:ascii="source serif 4" w:hAnsi="source serif 4"/>
          <w:b/>
          <w:color w:val="000000"/>
          <w:sz w:val="24"/>
        </w:rPr>
        <w:t xml:space="preserve">Process Flow Requirements</w:t>
      </w:r>
      <w:bookmarkEnd w:id="28"/>
    </w:p>
    <w:p>
      <w:pPr>
        <w:spacing w:line="360" w:before="315" w:after="105" w:lineRule="auto"/>
        <w:ind w:left="-30"/>
        <w:jc w:val="left"/>
      </w:pPr>
      <w:bookmarkStart w:id="29" w:name="target_journey"/>
      <w:r>
        <w:rPr>
          <w:rFonts w:eastAsia="source serif 4" w:cs="source serif 4" w:ascii="source serif 4" w:hAnsi="source serif 4"/>
          <w:b/>
          <w:color w:val="000000"/>
          <w:sz w:val="24"/>
        </w:rPr>
        <w:t xml:space="preserve">Target Journey</w:t>
      </w:r>
      <w:bookmarkEnd w:id="29"/>
    </w:p>
    <w:p>
      <w:pPr>
        <w:numPr>
          <w:ilvl w:val="0"/>
          <w:numId w:val="8"/>
        </w:numPr>
        <w:spacing w:line="360" w:before="105" w:after="105" w:lineRule="auto"/>
      </w:pPr>
      <w:r>
        <w:rPr>
          <w:rFonts w:eastAsia="source serif 4" w:cs="source serif 4" w:ascii="source serif 4" w:hAnsi="source serif 4"/>
          <w:color w:val="000000"/>
          <w:sz w:val="21"/>
        </w:rPr>
        <w:t xml:space="preserve">Customer initiates automotive finance application via app or web portal [cite:16].</w:t>
      </w:r>
    </w:p>
    <w:p>
      <w:pPr>
        <w:numPr>
          <w:ilvl w:val="0"/>
          <w:numId w:val="8"/>
        </w:numPr>
        <w:spacing w:line="360" w:before="105" w:after="105" w:lineRule="auto"/>
      </w:pPr>
      <w:r>
        <w:rPr>
          <w:rFonts w:eastAsia="source serif 4" w:cs="source serif 4" w:ascii="source serif 4" w:hAnsi="source serif 4"/>
          <w:color w:val="000000"/>
          <w:sz w:val="21"/>
        </w:rPr>
        <w:t xml:space="preserve">Platform presents privacy notice, e-KYC purpose statement, consent request, and acceptable document guidance [cite:16].</w:t>
      </w:r>
    </w:p>
    <w:p>
      <w:pPr>
        <w:numPr>
          <w:ilvl w:val="0"/>
          <w:numId w:val="8"/>
        </w:numPr>
        <w:spacing w:line="360" w:before="105" w:after="105" w:lineRule="auto"/>
      </w:pPr>
      <w:r>
        <w:rPr>
          <w:rFonts w:eastAsia="source serif 4" w:cs="source serif 4" w:ascii="source serif 4" w:hAnsi="source serif 4"/>
          <w:color w:val="000000"/>
          <w:sz w:val="21"/>
        </w:rPr>
        <w:t xml:space="preserve">Customer enters basic information and verifies mobile number using OTP [cite:16].</w:t>
      </w:r>
    </w:p>
    <w:p>
      <w:pPr>
        <w:numPr>
          <w:ilvl w:val="0"/>
          <w:numId w:val="8"/>
        </w:numPr>
        <w:spacing w:line="360" w:before="105" w:after="105" w:lineRule="auto"/>
      </w:pPr>
      <w:r>
        <w:rPr>
          <w:rFonts w:eastAsia="source serif 4" w:cs="source serif 4" w:ascii="source serif 4" w:hAnsi="source serif 4"/>
          <w:color w:val="000000"/>
          <w:sz w:val="21"/>
        </w:rPr>
        <w:t xml:space="preserve">Customer scans national ID or ICAO-compliant passport; OCR and NFC extraction are performed where available [cite:16].</w:t>
      </w:r>
    </w:p>
    <w:p>
      <w:pPr>
        <w:numPr>
          <w:ilvl w:val="0"/>
          <w:numId w:val="8"/>
        </w:numPr>
        <w:spacing w:line="360" w:before="105" w:after="105" w:lineRule="auto"/>
      </w:pPr>
      <w:r>
        <w:rPr>
          <w:rFonts w:eastAsia="source serif 4" w:cs="source serif 4" w:ascii="source serif 4" w:hAnsi="source serif 4"/>
          <w:color w:val="000000"/>
          <w:sz w:val="21"/>
        </w:rPr>
        <w:t xml:space="preserve">Platform captures live selfie or live video and runs liveness detection using randomized actions [cite:16].</w:t>
      </w:r>
    </w:p>
    <w:p>
      <w:pPr>
        <w:numPr>
          <w:ilvl w:val="0"/>
          <w:numId w:val="8"/>
        </w:numPr>
        <w:spacing w:line="360" w:before="105" w:after="105" w:lineRule="auto"/>
      </w:pPr>
      <w:r>
        <w:rPr>
          <w:rFonts w:eastAsia="source serif 4" w:cs="source serif 4" w:ascii="source serif 4" w:hAnsi="source serif 4"/>
          <w:color w:val="000000"/>
          <w:sz w:val="21"/>
        </w:rPr>
        <w:t xml:space="preserve">Platform performs document authenticity checks, data consistency checks, geo-fencing, IP verification, and device linking checks [cite:16].</w:t>
      </w:r>
    </w:p>
    <w:p>
      <w:pPr>
        <w:numPr>
          <w:ilvl w:val="0"/>
          <w:numId w:val="8"/>
        </w:numPr>
        <w:spacing w:line="360" w:before="105" w:after="105" w:lineRule="auto"/>
      </w:pPr>
      <w:r>
        <w:rPr>
          <w:rFonts w:eastAsia="source serif 4" w:cs="source serif 4" w:ascii="source serif 4" w:hAnsi="source serif 4"/>
          <w:color w:val="000000"/>
          <w:sz w:val="21"/>
        </w:rPr>
        <w:t xml:space="preserve">Platform cross-verifies identity data with trusted sources and screens sanctions lists [cite:16].</w:t>
      </w:r>
    </w:p>
    <w:p>
      <w:pPr>
        <w:numPr>
          <w:ilvl w:val="0"/>
          <w:numId w:val="8"/>
        </w:numPr>
        <w:spacing w:line="360" w:before="105" w:after="105" w:lineRule="auto"/>
      </w:pPr>
      <w:r>
        <w:rPr>
          <w:rFonts w:eastAsia="source serif 4" w:cs="source serif 4" w:ascii="source serif 4" w:hAnsi="source serif 4"/>
          <w:color w:val="000000"/>
          <w:sz w:val="21"/>
        </w:rPr>
        <w:t xml:space="preserve">Cases are auto-approved, referred for manual review, or rejected according to configured thresholds and risk rules consistent with the regulated entity's risk appetite [cite:16].</w:t>
      </w:r>
    </w:p>
    <w:p>
      <w:pPr>
        <w:numPr>
          <w:ilvl w:val="0"/>
          <w:numId w:val="8"/>
        </w:numPr>
        <w:spacing w:line="360" w:before="105" w:after="105" w:lineRule="auto"/>
      </w:pPr>
      <w:r>
        <w:rPr>
          <w:rFonts w:eastAsia="source serif 4" w:cs="source serif 4" w:ascii="source serif 4" w:hAnsi="source serif 4"/>
          <w:color w:val="000000"/>
          <w:sz w:val="21"/>
        </w:rPr>
        <w:t xml:space="preserve">Approved applicants proceed to the remaining credit application and loan origination steps outside the core scope of the e-KYC regulation [cite:16].</w:t>
      </w:r>
    </w:p>
    <w:p>
      <w:pPr>
        <w:spacing w:line="360" w:before="315" w:after="105" w:lineRule="auto"/>
        <w:ind w:left="-30"/>
        <w:jc w:val="left"/>
      </w:pPr>
      <w:bookmarkStart w:id="30" w:name="outsourcing_requirements"/>
      <w:r>
        <w:rPr>
          <w:rFonts w:eastAsia="source serif 4" w:cs="source serif 4" w:ascii="source serif 4" w:hAnsi="source serif 4"/>
          <w:b/>
          <w:color w:val="000000"/>
          <w:sz w:val="24"/>
        </w:rPr>
        <w:t xml:space="preserve">Outsourcing Requirements</w:t>
      </w:r>
      <w:bookmarkEnd w:id="30"/>
    </w:p>
    <w:p>
      <w:pPr>
        <w:spacing w:line="360" w:after="210" w:lineRule="auto"/>
      </w:pPr>
      <w:r>
        <w:rPr>
          <w:rFonts w:eastAsia="source serif 4" w:cs="source serif 4" w:ascii="source serif 4" w:hAnsi="source serif 4"/>
          <w:color w:val="000000"/>
        </w:rPr>
        <w:t xml:space="preserve">If Blox relies on a third-party e-KYC provider, prior approval from QCB is required before outsourcing the e-KYC process [cite:16]. The outsourcing agreement must address confidentiality of customer information, QCB's right to inspect or audit the provider and its subcontractors, and termination rights under specified circumstances [cite:16].</w:t>
      </w:r>
    </w:p>
    <w:p>
      <w:pPr>
        <w:spacing w:line="360" w:after="210" w:lineRule="auto"/>
      </w:pPr>
      <w:r>
        <w:rPr>
          <w:rFonts w:eastAsia="source serif 4" w:cs="source serif 4" w:ascii="source serif 4" w:hAnsi="source serif 4"/>
          <w:color w:val="000000"/>
        </w:rPr>
        <w:t xml:space="preserve">The regulated entity must remain fully accountable for compliance even where implementation is outsourced, and must provide QCB with due diligence results, background checks on the provider, risk assessment, data protection controls, and the customer consent collection mechanism [cite:16]. This requirement is commercially important for Blox because any SaaS, API-based verification vendor, facial recognition provider, or document intelligence partner must be contractually and operationally governed as part of the regulated compliance perimeter [cite:16].</w:t>
      </w:r>
    </w:p>
    <w:p>
      <w:pPr>
        <w:spacing w:line="360" w:before="315" w:after="105" w:lineRule="auto"/>
        <w:ind w:left="-30"/>
        <w:jc w:val="left"/>
      </w:pPr>
      <w:bookmarkStart w:id="31" w:name="risk_and_control_framework"/>
      <w:r>
        <w:rPr>
          <w:rFonts w:eastAsia="source serif 4" w:cs="source serif 4" w:ascii="source serif 4" w:hAnsi="source serif 4"/>
          <w:b/>
          <w:color w:val="000000"/>
          <w:sz w:val="24"/>
        </w:rPr>
        <w:t xml:space="preserve">Risk and Control Framework</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Control 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impersonation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Live capture, liveness detection, biometric comparison, anti-deepfake controls, document authenticity checks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forgery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Scanning technology, OCR/NFC extraction, VIZ/MRZ checks, photo replacement detection, QR validation where available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AML/CFT exposure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Pre-onboarding sanctions screening, continuous screening, high-risk escalation, FIU reporting procedures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breach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 encryption, sector-specific security controls, secure transmission, controlled storage, incident reporting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Outsourcing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Prior QCB approval, due diligence, audit rights, contractual controls, provider risk assessment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 fraud attempts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Re-registration controls, blocking after failed attempts, device tagging and alert triggers [cite:16]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Poor 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Board-approved risk appetite, senior management accountability, dedicated oversight function, KRI reporting [cite:16]</w:t>
            </w:r>
          </w:p>
        </w:tc>
      </w:tr>
    </w:tbl>
    <w:p>
      <w:pPr>
        <w:spacing w:lineRule="auto"/>
      </w:pPr>
    </w:p>
    <w:p>
      <w:pPr>
        <w:spacing w:line="360" w:before="315" w:after="105" w:lineRule="auto"/>
        <w:ind w:left="-30"/>
        <w:jc w:val="left"/>
      </w:pPr>
      <w:bookmarkStart w:id="32" w:name="assumptions"/>
      <w:r>
        <w:rPr>
          <w:rFonts w:eastAsia="source serif 4" w:cs="source serif 4" w:ascii="source serif 4" w:hAnsi="source serif 4"/>
          <w:b/>
          <w:color w:val="000000"/>
          <w:sz w:val="24"/>
        </w:rPr>
        <w:t xml:space="preserve">Assumptions</w:t>
      </w:r>
      <w:bookmarkEnd w:id="32"/>
    </w:p>
    <w:p>
      <w:pPr>
        <w:numPr>
          <w:ilvl w:val="0"/>
          <w:numId w:val="9"/>
        </w:numPr>
        <w:spacing w:line="360" w:before="105" w:after="105" w:lineRule="auto"/>
      </w:pPr>
      <w:r>
        <w:rPr>
          <w:rFonts w:eastAsia="source serif 4" w:cs="source serif 4" w:ascii="source serif 4" w:hAnsi="source serif 4"/>
          <w:color w:val="000000"/>
          <w:sz w:val="21"/>
        </w:rPr>
        <w:t xml:space="preserve">Blox will operate either as a platform of, or in direct integration with, a QCB-regulated financing or payments-related entity subject to the attached regulation [cite:16].</w:t>
      </w:r>
    </w:p>
    <w:p>
      <w:pPr>
        <w:numPr>
          <w:ilvl w:val="0"/>
          <w:numId w:val="9"/>
        </w:numPr>
        <w:spacing w:line="360" w:before="105" w:after="105" w:lineRule="auto"/>
      </w:pPr>
      <w:r>
        <w:rPr>
          <w:rFonts w:eastAsia="source serif 4" w:cs="source serif 4" w:ascii="source serif 4" w:hAnsi="source serif 4"/>
          <w:color w:val="000000"/>
          <w:sz w:val="21"/>
        </w:rPr>
        <w:t xml:space="preserve">Automotive finance onboarding is for individual retail applicants rather than corporate fleet financing [cite:16].</w:t>
      </w:r>
    </w:p>
    <w:p>
      <w:pPr>
        <w:numPr>
          <w:ilvl w:val="0"/>
          <w:numId w:val="9"/>
        </w:numPr>
        <w:spacing w:line="360" w:before="105" w:after="105" w:lineRule="auto"/>
      </w:pPr>
      <w:r>
        <w:rPr>
          <w:rFonts w:eastAsia="source serif 4" w:cs="source serif 4" w:ascii="source serif 4" w:hAnsi="source serif 4"/>
          <w:color w:val="000000"/>
          <w:sz w:val="21"/>
        </w:rPr>
        <w:t xml:space="preserve">Credit bureau, underwriting, pricing, and loan booking controls will be addressed in separate business and technical requirement sets.</w:t>
      </w:r>
    </w:p>
    <w:p>
      <w:pPr>
        <w:numPr>
          <w:ilvl w:val="0"/>
          <w:numId w:val="9"/>
        </w:numPr>
        <w:spacing w:line="360" w:before="105" w:after="105" w:lineRule="auto"/>
      </w:pPr>
      <w:r>
        <w:rPr>
          <w:rFonts w:eastAsia="source serif 4" w:cs="source serif 4" w:ascii="source serif 4" w:hAnsi="source serif 4"/>
          <w:color w:val="000000"/>
          <w:sz w:val="21"/>
        </w:rPr>
        <w:t xml:space="preserve">Any onboarding of foreign nationals, if desired, will require a distinct regulatory strategy and prior exceptional approval from QCB [cite:16].</w:t>
      </w:r>
    </w:p>
    <w:p>
      <w:pPr>
        <w:spacing w:line="360" w:before="315" w:after="105" w:lineRule="auto"/>
        <w:ind w:left="-30"/>
        <w:jc w:val="left"/>
      </w:pPr>
      <w:bookmarkStart w:id="33" w:name="dependencies"/>
      <w:r>
        <w:rPr>
          <w:rFonts w:eastAsia="source serif 4" w:cs="source serif 4" w:ascii="source serif 4" w:hAnsi="source serif 4"/>
          <w:b/>
          <w:color w:val="000000"/>
          <w:sz w:val="24"/>
        </w:rPr>
        <w:t xml:space="preserve">Dependencies</w:t>
      </w:r>
      <w:bookmarkEnd w:id="33"/>
    </w:p>
    <w:p>
      <w:pPr>
        <w:numPr>
          <w:ilvl w:val="0"/>
          <w:numId w:val="10"/>
        </w:numPr>
        <w:spacing w:line="360" w:before="105" w:after="105" w:lineRule="auto"/>
      </w:pPr>
      <w:r>
        <w:rPr>
          <w:rFonts w:eastAsia="source serif 4" w:cs="source serif 4" w:ascii="source serif 4" w:hAnsi="source serif 4"/>
          <w:color w:val="000000"/>
          <w:sz w:val="21"/>
        </w:rPr>
        <w:t xml:space="preserve">QCB approval for the e-KYC deployment model [cite:16].</w:t>
      </w:r>
    </w:p>
    <w:p>
      <w:pPr>
        <w:numPr>
          <w:ilvl w:val="0"/>
          <w:numId w:val="10"/>
        </w:numPr>
        <w:spacing w:line="360" w:before="105" w:after="105" w:lineRule="auto"/>
      </w:pPr>
      <w:r>
        <w:rPr>
          <w:rFonts w:eastAsia="source serif 4" w:cs="source serif 4" w:ascii="source serif 4" w:hAnsi="source serif 4"/>
          <w:color w:val="000000"/>
          <w:sz w:val="21"/>
        </w:rPr>
        <w:t xml:space="preserve">Board approval of risk appetite and governance framework [cite:16].</w:t>
      </w:r>
    </w:p>
    <w:p>
      <w:pPr>
        <w:numPr>
          <w:ilvl w:val="0"/>
          <w:numId w:val="10"/>
        </w:numPr>
        <w:spacing w:line="360" w:before="105" w:after="105" w:lineRule="auto"/>
      </w:pPr>
      <w:r>
        <w:rPr>
          <w:rFonts w:eastAsia="source serif 4" w:cs="source serif 4" w:ascii="source serif 4" w:hAnsi="source serif 4"/>
          <w:color w:val="000000"/>
          <w:sz w:val="21"/>
        </w:rPr>
        <w:t xml:space="preserve">Sector-specific information security compliance and testing [cite:16].</w:t>
      </w:r>
    </w:p>
    <w:p>
      <w:pPr>
        <w:numPr>
          <w:ilvl w:val="0"/>
          <w:numId w:val="10"/>
        </w:numPr>
        <w:spacing w:line="360" w:before="105" w:after="105" w:lineRule="auto"/>
      </w:pPr>
      <w:r>
        <w:rPr>
          <w:rFonts w:eastAsia="source serif 4" w:cs="source serif 4" w:ascii="source serif 4" w:hAnsi="source serif 4"/>
          <w:color w:val="000000"/>
          <w:sz w:val="21"/>
        </w:rPr>
        <w:t xml:space="preserve">AML/CFT operating model, sanctions screening integrations, and escalation procedures [cite:16].</w:t>
      </w:r>
    </w:p>
    <w:p>
      <w:pPr>
        <w:numPr>
          <w:ilvl w:val="0"/>
          <w:numId w:val="10"/>
        </w:numPr>
        <w:spacing w:line="360" w:before="105" w:after="105" w:lineRule="auto"/>
      </w:pPr>
      <w:r>
        <w:rPr>
          <w:rFonts w:eastAsia="source serif 4" w:cs="source serif 4" w:ascii="source serif 4" w:hAnsi="source serif 4"/>
          <w:color w:val="000000"/>
          <w:sz w:val="21"/>
        </w:rPr>
        <w:t xml:space="preserve">Trusted third-party data sources, document verification services, biometric engines, and device intelligence tools where used [cite:16].</w:t>
      </w:r>
    </w:p>
    <w:p>
      <w:pPr>
        <w:numPr>
          <w:ilvl w:val="0"/>
          <w:numId w:val="10"/>
        </w:numPr>
        <w:spacing w:line="360" w:before="105" w:after="105" w:lineRule="auto"/>
      </w:pPr>
      <w:r>
        <w:rPr>
          <w:rFonts w:eastAsia="source serif 4" w:cs="source serif 4" w:ascii="source serif 4" w:hAnsi="source serif 4"/>
          <w:color w:val="000000"/>
          <w:sz w:val="21"/>
        </w:rPr>
        <w:t xml:space="preserve">Privacy notices, customer consent design, and data retention controls aligned with applicable law [cite:16].</w:t>
      </w:r>
    </w:p>
    <w:p>
      <w:pPr>
        <w:spacing w:line="360" w:before="315" w:after="105" w:lineRule="auto"/>
        <w:ind w:left="-30"/>
        <w:jc w:val="left"/>
      </w:pPr>
      <w:bookmarkStart w:id="34" w:name="acceptance_criteria"/>
      <w:r>
        <w:rPr>
          <w:rFonts w:eastAsia="source serif 4" w:cs="source serif 4" w:ascii="source serif 4" w:hAnsi="source serif 4"/>
          <w:b/>
          <w:color w:val="000000"/>
          <w:sz w:val="24"/>
        </w:rPr>
        <w:t xml:space="preserve">Acceptance Criteria</w:t>
      </w:r>
      <w:bookmarkEnd w:id="34"/>
    </w:p>
    <w:p>
      <w:pPr>
        <w:spacing w:line="360" w:after="210" w:lineRule="auto"/>
      </w:pPr>
      <w:r>
        <w:rPr>
          <w:rFonts w:eastAsia="source serif 4" w:cs="source serif 4" w:ascii="source serif 4" w:hAnsi="source serif 4"/>
          <w:color w:val="000000"/>
        </w:rPr>
        <w:t xml:space="preserve">Blox shall be considered ready for regulated deployment when all of the following conditions are met:</w:t>
      </w:r>
    </w:p>
    <w:p>
      <w:pPr>
        <w:numPr>
          <w:ilvl w:val="0"/>
          <w:numId w:val="11"/>
        </w:numPr>
        <w:spacing w:line="360" w:before="105" w:after="105" w:lineRule="auto"/>
      </w:pPr>
      <w:r>
        <w:rPr>
          <w:rFonts w:eastAsia="source serif 4" w:cs="source serif 4" w:ascii="source serif 4" w:hAnsi="source serif 4"/>
          <w:color w:val="000000"/>
          <w:sz w:val="21"/>
        </w:rPr>
        <w:t xml:space="preserve">A documented e-KYC policy and governance model are approved internally and aligned to QCB requirements [cite:16].</w:t>
      </w:r>
    </w:p>
    <w:p>
      <w:pPr>
        <w:numPr>
          <w:ilvl w:val="0"/>
          <w:numId w:val="11"/>
        </w:numPr>
        <w:spacing w:line="360" w:before="105" w:after="105" w:lineRule="auto"/>
      </w:pPr>
      <w:r>
        <w:rPr>
          <w:rFonts w:eastAsia="source serif 4" w:cs="source serif 4" w:ascii="source serif 4" w:hAnsi="source serif 4"/>
          <w:color w:val="000000"/>
          <w:sz w:val="21"/>
        </w:rPr>
        <w:t xml:space="preserve">QCB approval is obtained for the e-KYC process and any outsourcing arrangement [cite:16].</w:t>
      </w:r>
    </w:p>
    <w:p>
      <w:pPr>
        <w:numPr>
          <w:ilvl w:val="0"/>
          <w:numId w:val="11"/>
        </w:numPr>
        <w:spacing w:line="360" w:before="105" w:after="105" w:lineRule="auto"/>
      </w:pPr>
      <w:r>
        <w:rPr>
          <w:rFonts w:eastAsia="source serif 4" w:cs="source serif 4" w:ascii="source serif 4" w:hAnsi="source serif 4"/>
          <w:color w:val="000000"/>
          <w:sz w:val="21"/>
        </w:rPr>
        <w:t xml:space="preserve">The onboarding journey supports consent, document capture, OTP, liveness, verification, sanctions screening, and exception handling [cite:16].</w:t>
      </w:r>
    </w:p>
    <w:p>
      <w:pPr>
        <w:numPr>
          <w:ilvl w:val="0"/>
          <w:numId w:val="11"/>
        </w:numPr>
        <w:spacing w:line="360" w:before="105" w:after="105" w:lineRule="auto"/>
      </w:pPr>
      <w:r>
        <w:rPr>
          <w:rFonts w:eastAsia="source serif 4" w:cs="source serif 4" w:ascii="source serif 4" w:hAnsi="source serif 4"/>
          <w:color w:val="000000"/>
          <w:sz w:val="21"/>
        </w:rPr>
        <w:t xml:space="preserve">Security testing, fraud controls, encryption, monitoring, and audit logging are operational [cite:16].</w:t>
      </w:r>
    </w:p>
    <w:p>
      <w:pPr>
        <w:numPr>
          <w:ilvl w:val="0"/>
          <w:numId w:val="11"/>
        </w:numPr>
        <w:spacing w:line="360" w:before="105" w:after="105" w:lineRule="auto"/>
      </w:pPr>
      <w:r>
        <w:rPr>
          <w:rFonts w:eastAsia="source serif 4" w:cs="source serif 4" w:ascii="source serif 4" w:hAnsi="source serif 4"/>
          <w:color w:val="000000"/>
          <w:sz w:val="21"/>
        </w:rPr>
        <w:t xml:space="preserve">Manual review workflows and enhanced due diligence pathways are in place for high-risk or failed cases [cite:16].</w:t>
      </w:r>
    </w:p>
    <w:p>
      <w:pPr>
        <w:numPr>
          <w:ilvl w:val="0"/>
          <w:numId w:val="11"/>
        </w:numPr>
        <w:spacing w:line="360" w:before="105" w:after="105" w:lineRule="auto"/>
      </w:pPr>
      <w:r>
        <w:rPr>
          <w:rFonts w:eastAsia="source serif 4" w:cs="source serif 4" w:ascii="source serif 4" w:hAnsi="source serif 4"/>
          <w:color w:val="000000"/>
          <w:sz w:val="21"/>
        </w:rPr>
        <w:t xml:space="preserve">Reporting for KRIs, fraud attempts, security incidents, and biometric performance is available [cite:16].</w:t>
      </w:r>
    </w:p>
    <w:p>
      <w:pPr>
        <w:spacing w:line="360" w:before="315" w:after="105" w:lineRule="auto"/>
        <w:ind w:left="-30"/>
        <w:jc w:val="left"/>
      </w:pPr>
      <w:bookmarkStart w:id="35" w:name="implementation_priorities"/>
      <w:r>
        <w:rPr>
          <w:rFonts w:eastAsia="source serif 4" w:cs="source serif 4" w:ascii="source serif 4" w:hAnsi="source serif 4"/>
          <w:b/>
          <w:color w:val="000000"/>
          <w:sz w:val="24"/>
        </w:rPr>
        <w:t xml:space="preserve">Implementation Priorities</w:t>
      </w:r>
      <w:bookmarkEnd w:id="35"/>
    </w:p>
    <w:p>
      <w:pPr>
        <w:spacing w:line="360" w:before="315" w:after="105" w:lineRule="auto"/>
        <w:ind w:left="-30"/>
        <w:jc w:val="left"/>
      </w:pPr>
      <w:bookmarkStart w:id="36" w:name="phase_1_compliance_foundation"/>
      <w:r>
        <w:rPr>
          <w:rFonts w:eastAsia="source serif 4" w:cs="source serif 4" w:ascii="source serif 4" w:hAnsi="source serif 4"/>
          <w:b/>
          <w:color w:val="000000"/>
          <w:sz w:val="24"/>
        </w:rPr>
        <w:t xml:space="preserve">Phase 1: Compliance Foundation</w:t>
      </w:r>
      <w:bookmarkEnd w:id="36"/>
    </w:p>
    <w:p>
      <w:pPr>
        <w:numPr>
          <w:ilvl w:val="0"/>
          <w:numId w:val="12"/>
        </w:numPr>
        <w:spacing w:line="360" w:before="105" w:after="105" w:lineRule="auto"/>
      </w:pPr>
      <w:r>
        <w:rPr>
          <w:rFonts w:eastAsia="source serif 4" w:cs="source serif 4" w:ascii="source serif 4" w:hAnsi="source serif 4"/>
          <w:color w:val="000000"/>
          <w:sz w:val="21"/>
        </w:rPr>
        <w:t xml:space="preserve">Governance policy, QCB approval pack, consent flows, document rules, OTP, secure storage, sanctions screening, and audit logs [cite:16].</w:t>
      </w:r>
    </w:p>
    <w:p>
      <w:pPr>
        <w:spacing w:line="360" w:before="315" w:after="105" w:lineRule="auto"/>
        <w:ind w:left="-30"/>
        <w:jc w:val="left"/>
      </w:pPr>
      <w:bookmarkStart w:id="37" w:name="phase_2_verification_enhancement"/>
      <w:r>
        <w:rPr>
          <w:rFonts w:eastAsia="source serif 4" w:cs="source serif 4" w:ascii="source serif 4" w:hAnsi="source serif 4"/>
          <w:b/>
          <w:color w:val="000000"/>
          <w:sz w:val="24"/>
        </w:rPr>
        <w:t xml:space="preserve">Phase 2: Verification Enhancement</w:t>
      </w:r>
      <w:bookmarkEnd w:id="37"/>
    </w:p>
    <w:p>
      <w:pPr>
        <w:numPr>
          <w:ilvl w:val="0"/>
          <w:numId w:val="13"/>
        </w:numPr>
        <w:spacing w:line="360" w:before="105" w:after="105" w:lineRule="auto"/>
      </w:pPr>
      <w:r>
        <w:rPr>
          <w:rFonts w:eastAsia="source serif 4" w:cs="source serif 4" w:ascii="source serif 4" w:hAnsi="source serif 4"/>
          <w:color w:val="000000"/>
          <w:sz w:val="21"/>
        </w:rPr>
        <w:t xml:space="preserve">OCR/NFC extraction, liveness, selfie-video matching, document authenticity analysis, geo-fencing, IP verification, and manual review workflows [cite:16].</w:t>
      </w:r>
    </w:p>
    <w:p>
      <w:pPr>
        <w:spacing w:line="360" w:before="315" w:after="105" w:lineRule="auto"/>
        <w:ind w:left="-30"/>
        <w:jc w:val="left"/>
      </w:pPr>
      <w:bookmarkStart w:id="38" w:name="phase_3_scale_and_optimization"/>
      <w:r>
        <w:rPr>
          <w:rFonts w:eastAsia="source serif 4" w:cs="source serif 4" w:ascii="source serif 4" w:hAnsi="source serif 4"/>
          <w:b/>
          <w:color w:val="000000"/>
          <w:sz w:val="24"/>
        </w:rPr>
        <w:t xml:space="preserve">Phase 3: Scale and Optimization</w:t>
      </w:r>
      <w:bookmarkEnd w:id="38"/>
    </w:p>
    <w:p>
      <w:pPr>
        <w:numPr>
          <w:ilvl w:val="0"/>
          <w:numId w:val="14"/>
        </w:numPr>
        <w:spacing w:line="360" w:before="105" w:after="105" w:lineRule="auto"/>
      </w:pPr>
      <w:r>
        <w:rPr>
          <w:rFonts w:eastAsia="source serif 4" w:cs="source serif 4" w:ascii="source serif 4" w:hAnsi="source serif 4"/>
          <w:color w:val="000000"/>
          <w:sz w:val="21"/>
        </w:rPr>
        <w:t xml:space="preserve">Device intelligence, anti-deepfake controls, advanced fraud analytics, KRI dashboards, external data orchestration, and performance tuning of biometric models [cite:16].</w:t>
      </w:r>
    </w:p>
    <w:p>
      <w:pPr>
        <w:spacing w:line="360" w:before="315" w:after="105" w:lineRule="auto"/>
        <w:ind w:left="-30"/>
        <w:jc w:val="left"/>
      </w:pPr>
      <w:bookmarkStart w:id="39" w:name="open_decisions_for_blox"/>
      <w:r>
        <w:rPr>
          <w:rFonts w:eastAsia="source serif 4" w:cs="source serif 4" w:ascii="source serif 4" w:hAnsi="source serif 4"/>
          <w:b/>
          <w:color w:val="000000"/>
          <w:sz w:val="24"/>
        </w:rPr>
        <w:t xml:space="preserve">Open Decisions for Blox</w:t>
      </w:r>
      <w:bookmarkEnd w:id="39"/>
    </w:p>
    <w:p>
      <w:pPr>
        <w:numPr>
          <w:ilvl w:val="0"/>
          <w:numId w:val="15"/>
        </w:numPr>
        <w:spacing w:line="360" w:before="105" w:after="105" w:lineRule="auto"/>
      </w:pPr>
      <w:r>
        <w:rPr>
          <w:rFonts w:eastAsia="source serif 4" w:cs="source serif 4" w:ascii="source serif 4" w:hAnsi="source serif 4"/>
          <w:color w:val="000000"/>
          <w:sz w:val="21"/>
        </w:rPr>
        <w:t xml:space="preserve">Whether Blox will be operated directly by a licensed lender, embedded as a channel partner, or provided as a technology layer to one or more regulated institutions.</w:t>
      </w:r>
    </w:p>
    <w:p>
      <w:pPr>
        <w:numPr>
          <w:ilvl w:val="0"/>
          <w:numId w:val="15"/>
        </w:numPr>
        <w:spacing w:line="360" w:before="105" w:after="105" w:lineRule="auto"/>
      </w:pPr>
      <w:r>
        <w:rPr>
          <w:rFonts w:eastAsia="source serif 4" w:cs="source serif 4" w:ascii="source serif 4" w:hAnsi="source serif 4"/>
          <w:color w:val="000000"/>
          <w:sz w:val="21"/>
        </w:rPr>
        <w:t xml:space="preserve">Whether onboarding will initially be limited to Qatar ID holders only to simplify approval and risk controls.</w:t>
      </w:r>
    </w:p>
    <w:p>
      <w:pPr>
        <w:numPr>
          <w:ilvl w:val="0"/>
          <w:numId w:val="15"/>
        </w:numPr>
        <w:spacing w:line="360" w:before="105" w:after="105" w:lineRule="auto"/>
      </w:pPr>
      <w:r>
        <w:rPr>
          <w:rFonts w:eastAsia="source serif 4" w:cs="source serif 4" w:ascii="source serif 4" w:hAnsi="source serif 4"/>
          <w:color w:val="000000"/>
          <w:sz w:val="21"/>
        </w:rPr>
        <w:t xml:space="preserve">Whether biometric verification will be mandatory for all applicants or used as a risk-based control above specific thresholds.</w:t>
      </w:r>
    </w:p>
    <w:p>
      <w:pPr>
        <w:numPr>
          <w:ilvl w:val="0"/>
          <w:numId w:val="15"/>
        </w:numPr>
        <w:spacing w:line="360" w:before="105" w:after="105" w:lineRule="auto"/>
      </w:pPr>
      <w:r>
        <w:rPr>
          <w:rFonts w:eastAsia="source serif 4" w:cs="source serif 4" w:ascii="source serif 4" w:hAnsi="source serif 4"/>
          <w:color w:val="000000"/>
          <w:sz w:val="21"/>
        </w:rPr>
        <w:t xml:space="preserve">Which third-party providers, if any, will be used for OCR, NFC, liveness, sanctions screening, and identity data verification.</w:t>
      </w:r>
    </w:p>
    <w:p>
      <w:pPr>
        <w:numPr>
          <w:ilvl w:val="0"/>
          <w:numId w:val="15"/>
        </w:numPr>
        <w:spacing w:line="360" w:before="105" w:after="105" w:lineRule="auto"/>
      </w:pPr>
      <w:r>
        <w:rPr>
          <w:rFonts w:eastAsia="source serif 4" w:cs="source serif 4" w:ascii="source serif 4" w:hAnsi="source serif 4"/>
          <w:color w:val="000000"/>
          <w:sz w:val="21"/>
        </w:rPr>
        <w:t xml:space="preserve">Whether Blox should include self-service kiosk onboarding in dealerships or remain mobile/web only, noting that kiosks trigger additional physical and environmental security requirements [cite:16].</w:t>
      </w:r>
    </w:p>
    <w:p>
      <w:pPr>
        <w:spacing w:line="360" w:before="315" w:after="105" w:lineRule="auto"/>
        <w:ind w:left="-30"/>
        <w:jc w:val="left"/>
      </w:pPr>
      <w:bookmarkStart w:id="40" w:name="compliance_note"/>
      <w:r>
        <w:rPr>
          <w:rFonts w:eastAsia="source serif 4" w:cs="source serif 4" w:ascii="source serif 4" w:hAnsi="source serif 4"/>
          <w:b/>
          <w:color w:val="000000"/>
          <w:sz w:val="24"/>
        </w:rPr>
        <w:t xml:space="preserve">Compliance Note</w:t>
      </w:r>
      <w:bookmarkEnd w:id="40"/>
    </w:p>
    <w:p>
      <w:pPr>
        <w:spacing w:line="360" w:after="210" w:lineRule="auto"/>
      </w:pPr>
      <w:r>
        <w:rPr>
          <w:rFonts w:eastAsia="source serif 4" w:cs="source serif 4" w:ascii="source serif 4" w:hAnsi="source serif 4"/>
          <w:color w:val="000000"/>
        </w:rPr>
        <w:t xml:space="preserve">Failure to comply with the regulation may lead to financial penalties under the QCB Law, Law No. 20 of 2019 on Combating Money Laundering and Terrorism Financing, and other regulations issued by QCB or competent authorities in Qatar [cite:16]. For that reason, Blox's business design, vendor model, and onboarding UX should be governed as regulated operating capabilities rather than treated only as product features [cite:16].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2026-08-25T23:59:06.383Z</dcterms:created>
  <dcterms:modified xsi:type="dcterms:W3CDTF">2026-08-25T23:59:06.383Z</dcterms:modified>
</cp:coreProperties>
</file>