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Dossier de conception</w:t>
      </w:r>
    </w:p>
    <w:p>
      <w:r>
        <w:t>Les Rencontres de L’Enjeu</w:t>
      </w:r>
    </w:p>
    <w:p>
      <w:r>
        <w:t>Projet personnel de conception · Événement en préparation</w:t>
        <w:br/>
        <w:t>Date, lieu et intervenants à confirmer</w:t>
      </w:r>
    </w:p>
    <w:p>
      <w:pPr>
        <w:pStyle w:val="Heading1"/>
      </w:pPr>
      <w:r>
        <w:t>01 / Le projet en une page</w:t>
      </w:r>
    </w:p>
    <w:p>
      <w:r>
        <w:t>Une rencontre publique pour comprendre comment circulent les informations, comment les vérifier et ce que l’IA change dans nos pratiques. Le format associe discussion, questions et mise en pratique, dans l’esprit du média indépendant associatif L’Enjeu.</w:t>
      </w:r>
    </w:p>
    <w:tbl>
      <w:tblPr>
        <w:tblStyle w:val="LightShading-Accent1"/>
        <w:tblW w:type="auto" w:w="0"/>
        <w:tblLook w:firstColumn="1" w:firstRow="1" w:lastColumn="0" w:lastRow="0" w:noHBand="0" w:noVBand="1" w:val="04A0"/>
      </w:tblPr>
      <w:tblGrid>
        <w:gridCol w:w="5100"/>
        <w:gridCol w:w="5100"/>
      </w:tblGrid>
      <w:tr>
        <w:tc>
          <w:tcPr>
            <w:tcW w:type="dxa" w:w="5100"/>
            <w:shd w:fill="202720"/>
          </w:tcPr>
          <w:p>
            <w:r>
              <w:rPr>
                <w:b/>
                <w:color w:val="FFFFFF"/>
              </w:rPr>
              <w:t>Repère</w:t>
            </w:r>
          </w:p>
        </w:tc>
        <w:tc>
          <w:tcPr>
            <w:tcW w:type="dxa" w:w="5100"/>
            <w:shd w:fill="202720"/>
          </w:tcPr>
          <w:p>
            <w:r>
              <w:rPr>
                <w:b/>
                <w:color w:val="FFFFFF"/>
              </w:rPr>
              <w:t>Hypothèse de conception</w:t>
            </w:r>
          </w:p>
        </w:tc>
      </w:tr>
      <w:tr>
        <w:tc>
          <w:tcPr>
            <w:tcW w:type="dxa" w:w="5100"/>
          </w:tcPr>
          <w:p>
            <w:r>
              <w:t>Statut</w:t>
            </w:r>
          </w:p>
        </w:tc>
        <w:tc>
          <w:tcPr>
            <w:tcW w:type="dxa" w:w="5100"/>
          </w:tcPr>
          <w:p>
            <w:r>
              <w:t>Projet personnel de conception · Événement en préparation</w:t>
            </w:r>
          </w:p>
        </w:tc>
      </w:tr>
      <w:tr>
        <w:tc>
          <w:tcPr>
            <w:tcW w:type="dxa" w:w="5100"/>
          </w:tcPr>
          <w:p>
            <w:r>
              <w:t>Période</w:t>
            </w:r>
          </w:p>
        </w:tc>
        <w:tc>
          <w:tcPr>
            <w:tcW w:type="dxa" w:w="5100"/>
          </w:tcPr>
          <w:p>
            <w:r>
              <w:t>Avril 2027 ; date exacte à confirmer</w:t>
            </w:r>
          </w:p>
        </w:tc>
      </w:tr>
      <w:tr>
        <w:tc>
          <w:tcPr>
            <w:tcW w:type="dxa" w:w="5100"/>
          </w:tcPr>
          <w:p>
            <w:r>
              <w:t>Lieu</w:t>
            </w:r>
          </w:p>
        </w:tc>
        <w:tc>
          <w:tcPr>
            <w:tcW w:type="dxa" w:w="5100"/>
          </w:tcPr>
          <w:p>
            <w:r>
              <w:t>Paris ou Île-de-France · Lieu à confirmer</w:t>
            </w:r>
          </w:p>
        </w:tc>
      </w:tr>
      <w:tr>
        <w:tc>
          <w:tcPr>
            <w:tcW w:type="dxa" w:w="5100"/>
          </w:tcPr>
          <w:p>
            <w:r>
              <w:t>Public cible</w:t>
            </w:r>
          </w:p>
        </w:tc>
        <w:tc>
          <w:tcPr>
            <w:tcW w:type="dxa" w:w="5100"/>
          </w:tcPr>
          <w:p>
            <w:r>
              <w:t>Lecteurs du média, étudiants, acteurs associatifs et personnes intéressées par l’information</w:t>
            </w:r>
          </w:p>
        </w:tc>
      </w:tr>
      <w:tr>
        <w:tc>
          <w:tcPr>
            <w:tcW w:type="dxa" w:w="5100"/>
          </w:tcPr>
          <w:p>
            <w:r>
              <w:t>Jauge</w:t>
            </w:r>
          </w:p>
        </w:tc>
        <w:tc>
          <w:tcPr>
            <w:tcW w:type="dxa" w:w="5100"/>
          </w:tcPr>
          <w:p>
            <w:r>
              <w:t>80 participants visés ; salle de 100 places minimum, équipe jusqu’à 8 personnes</w:t>
            </w:r>
          </w:p>
        </w:tc>
      </w:tr>
      <w:tr>
        <w:tc>
          <w:tcPr>
            <w:tcW w:type="dxa" w:w="5100"/>
          </w:tcPr>
          <w:p>
            <w:r>
              <w:t>Format</w:t>
            </w:r>
          </w:p>
        </w:tc>
        <w:tc>
          <w:tcPr>
            <w:tcW w:type="dxa" w:w="5100"/>
          </w:tcPr>
          <w:p>
            <w:r>
              <w:t>Une soirée, deux intervenants proposés et une modération ; aucun intervenant confirmé</w:t>
            </w:r>
          </w:p>
        </w:tc>
      </w:tr>
      <w:tr>
        <w:tc>
          <w:tcPr>
            <w:tcW w:type="dxa" w:w="5100"/>
          </w:tcPr>
          <w:p>
            <w:r>
              <w:t>Accès</w:t>
            </w:r>
          </w:p>
        </w:tc>
        <w:tc>
          <w:tcPr>
            <w:tcW w:type="dxa" w:w="5100"/>
          </w:tcPr>
          <w:p>
            <w:r>
              <w:t>Gratuit, sur inscription après confirmation du lieu</w:t>
            </w:r>
          </w:p>
        </w:tc>
      </w:tr>
      <w:tr>
        <w:tc>
          <w:tcPr>
            <w:tcW w:type="dxa" w:w="5100"/>
          </w:tcPr>
          <w:p>
            <w:r>
              <w:t>Budget</w:t>
            </w:r>
          </w:p>
        </w:tc>
        <w:tc>
          <w:tcPr>
            <w:tcW w:type="dxa" w:w="5100"/>
          </w:tcPr>
          <w:p>
            <w:r>
              <w:t>2 310 € TTC prévisionnels ; plafond de travail 2 500 €</w:t>
            </w:r>
          </w:p>
        </w:tc>
      </w:tr>
    </w:tbl>
    <w:p/>
    <w:p>
      <w:r>
        <w:t>Ce dossier est une production de conception. Aucun événement, partenariat, réservation ou résultat de fréquentation n’est présenté comme acquis.</w:t>
      </w:r>
    </w:p>
    <w:p>
      <w:r>
        <w:br w:type="page"/>
      </w:r>
    </w:p>
    <w:p>
      <w:pPr>
        <w:pStyle w:val="Heading1"/>
      </w:pPr>
      <w:r>
        <w:t>02 / Objectifs et choix éditoriaux</w:t>
      </w:r>
    </w:p>
    <w:p>
      <w:pPr>
        <w:pStyle w:val="ListBullet"/>
      </w:pPr>
      <w:r>
        <w:t>Rendre accessibles les enjeux de fiabilité de l’information, sans ton prescriptif ni jargon.</w:t>
      </w:r>
    </w:p>
    <w:p>
      <w:pPr>
        <w:pStyle w:val="ListBullet"/>
      </w:pPr>
      <w:r>
        <w:t>Créer un échange direct entre le média et son public.</w:t>
      </w:r>
    </w:p>
    <w:p>
      <w:pPr>
        <w:pStyle w:val="ListBullet"/>
      </w:pPr>
      <w:r>
        <w:t>Donner trois repères pratiques : identifier la source, chercher la preuve, vérifier le contexte.</w:t>
      </w:r>
    </w:p>
    <w:p>
      <w:pPr>
        <w:pStyle w:val="ListBullet"/>
      </w:pPr>
      <w:r>
        <w:t>Expérimenter un format reproductible pour une éventuelle deuxième édition.</w:t>
      </w:r>
    </w:p>
    <w:tbl>
      <w:tblPr>
        <w:tblStyle w:val="LightShading-Accent1"/>
        <w:tblW w:type="auto" w:w="0"/>
        <w:tblLook w:firstColumn="1" w:firstRow="1" w:lastColumn="0" w:lastRow="0" w:noHBand="0" w:noVBand="1" w:val="04A0"/>
      </w:tblPr>
      <w:tblGrid>
        <w:gridCol w:w="3400"/>
        <w:gridCol w:w="3400"/>
        <w:gridCol w:w="3400"/>
      </w:tblGrid>
      <w:tr>
        <w:tc>
          <w:tcPr>
            <w:tcW w:type="dxa" w:w="3400"/>
            <w:shd w:fill="202720"/>
          </w:tcPr>
          <w:p>
            <w:r>
              <w:rPr>
                <w:b/>
                <w:color w:val="FFFFFF"/>
              </w:rPr>
              <w:t>Objectif de travail</w:t>
            </w:r>
          </w:p>
        </w:tc>
        <w:tc>
          <w:tcPr>
            <w:tcW w:type="dxa" w:w="3400"/>
            <w:shd w:fill="202720"/>
          </w:tcPr>
          <w:p>
            <w:r>
              <w:rPr>
                <w:b/>
                <w:color w:val="FFFFFF"/>
              </w:rPr>
              <w:t>Indicateur prévu</w:t>
            </w:r>
          </w:p>
        </w:tc>
        <w:tc>
          <w:tcPr>
            <w:tcW w:type="dxa" w:w="3400"/>
            <w:shd w:fill="202720"/>
          </w:tcPr>
          <w:p>
            <w:r>
              <w:rPr>
                <w:b/>
                <w:color w:val="FFFFFF"/>
              </w:rPr>
              <w:t>Mode de mesure</w:t>
            </w:r>
          </w:p>
        </w:tc>
      </w:tr>
      <w:tr>
        <w:tc>
          <w:tcPr>
            <w:tcW w:type="dxa" w:w="3400"/>
          </w:tcPr>
          <w:p>
            <w:r>
              <w:t>Viser 80 participants</w:t>
            </w:r>
          </w:p>
        </w:tc>
        <w:tc>
          <w:tcPr>
            <w:tcW w:type="dxa" w:w="3400"/>
          </w:tcPr>
          <w:p>
            <w:r>
              <w:t>Entrées réelles, distinctes des inscriptions</w:t>
            </w:r>
          </w:p>
        </w:tc>
        <w:tc>
          <w:tcPr>
            <w:tcW w:type="dxa" w:w="3400"/>
          </w:tcPr>
          <w:p>
            <w:r>
              <w:t>Comptage à l’accueil ; résultat à renseigner</w:t>
            </w:r>
          </w:p>
        </w:tc>
      </w:tr>
      <w:tr>
        <w:tc>
          <w:tcPr>
            <w:tcW w:type="dxa" w:w="3400"/>
          </w:tcPr>
          <w:p>
            <w:r>
              <w:t>Faciliter une expérience utile</w:t>
            </w:r>
          </w:p>
        </w:tc>
        <w:tc>
          <w:tcPr>
            <w:tcW w:type="dxa" w:w="3400"/>
          </w:tcPr>
          <w:p>
            <w:r>
              <w:t>Appréciation de l’utilité et commentaires</w:t>
            </w:r>
          </w:p>
        </w:tc>
        <w:tc>
          <w:tcPr>
            <w:tcW w:type="dxa" w:w="3400"/>
          </w:tcPr>
          <w:p>
            <w:r>
              <w:t>Questionnaire volontaire ; aucun score actuel</w:t>
            </w:r>
          </w:p>
        </w:tc>
      </w:tr>
      <w:tr>
        <w:tc>
          <w:tcPr>
            <w:tcW w:type="dxa" w:w="3400"/>
          </w:tcPr>
          <w:p>
            <w:r>
              <w:t>Garder un budget maîtrisé</w:t>
            </w:r>
          </w:p>
        </w:tc>
        <w:tc>
          <w:tcPr>
            <w:tcW w:type="dxa" w:w="3400"/>
          </w:tcPr>
          <w:p>
            <w:r>
              <w:t>Dépenses et écart au prévisionnel</w:t>
            </w:r>
          </w:p>
        </w:tc>
        <w:tc>
          <w:tcPr>
            <w:tcW w:type="dxa" w:w="3400"/>
          </w:tcPr>
          <w:p>
            <w:r>
              <w:t>Factures et engagements validés</w:t>
            </w:r>
          </w:p>
        </w:tc>
      </w:tr>
      <w:tr>
        <w:tc>
          <w:tcPr>
            <w:tcW w:type="dxa" w:w="3400"/>
          </w:tcPr>
          <w:p>
            <w:r>
              <w:t>Documenter les suites</w:t>
            </w:r>
          </w:p>
        </w:tc>
        <w:tc>
          <w:tcPr>
            <w:tcW w:type="dxa" w:w="3400"/>
          </w:tcPr>
          <w:p>
            <w:r>
              <w:t>Ressources publiées et pistes retenues</w:t>
            </w:r>
          </w:p>
        </w:tc>
        <w:tc>
          <w:tcPr>
            <w:tcW w:type="dxa" w:w="3400"/>
          </w:tcPr>
          <w:p>
            <w:r>
              <w:t>Bilan à J+7</w:t>
            </w:r>
          </w:p>
        </w:tc>
      </w:tr>
    </w:tbl>
    <w:p/>
    <w:p>
      <w:r>
        <w:t>Les cibles sont des intentions de conception. Les résultats seront renseignés uniquement après réalisation et à partir de données effectivement collectées.</w:t>
      </w:r>
    </w:p>
    <w:p>
      <w:r>
        <w:br w:type="page"/>
      </w:r>
    </w:p>
    <w:p>
      <w:pPr>
        <w:pStyle w:val="Heading1"/>
      </w:pPr>
      <w:r>
        <w:t>03 / Format et programme proposé</w:t>
      </w:r>
    </w:p>
    <w:p>
      <w:r>
        <w:t>Thème : Comprendre l’information à l’heure des réseaux sociaux et de l’IA. Format : une table ronde de 35 minutes, 25 minutes de questions, une pause puis un atelier collectif. Deux profils sont à rechercher : une personne travaillant sur les médias / l’éducation à l’information et une personne travaillant sur les usages de l’IA. La modération reste à désigner.</w:t>
      </w:r>
    </w:p>
    <w:tbl>
      <w:tblPr>
        <w:tblStyle w:val="LightShading-Accent1"/>
        <w:tblW w:type="auto" w:w="0"/>
        <w:tblLook w:firstColumn="1" w:firstRow="1" w:lastColumn="0" w:lastRow="0" w:noHBand="0" w:noVBand="1" w:val="04A0"/>
      </w:tblPr>
      <w:tblGrid>
        <w:gridCol w:w="5100"/>
        <w:gridCol w:w="5100"/>
      </w:tblGrid>
      <w:tr>
        <w:tc>
          <w:tcPr>
            <w:tcW w:type="dxa" w:w="5100"/>
            <w:shd w:fill="202720"/>
          </w:tcPr>
          <w:p>
            <w:r>
              <w:rPr>
                <w:b/>
                <w:color w:val="FFFFFF"/>
              </w:rPr>
              <w:t>Horaire</w:t>
            </w:r>
          </w:p>
        </w:tc>
        <w:tc>
          <w:tcPr>
            <w:tcW w:type="dxa" w:w="5100"/>
            <w:shd w:fill="202720"/>
          </w:tcPr>
          <w:p>
            <w:r>
              <w:rPr>
                <w:b/>
                <w:color w:val="FFFFFF"/>
              </w:rPr>
              <w:t>Séquence</w:t>
            </w:r>
          </w:p>
        </w:tc>
      </w:tr>
      <w:tr>
        <w:tc>
          <w:tcPr>
            <w:tcW w:type="dxa" w:w="5100"/>
          </w:tcPr>
          <w:p>
            <w:r>
              <w:t>18:30 – 19:00</w:t>
            </w:r>
          </w:p>
        </w:tc>
        <w:tc>
          <w:tcPr>
            <w:tcW w:type="dxa" w:w="5100"/>
          </w:tcPr>
          <w:p>
            <w:r>
              <w:t>Accueil du public</w:t>
            </w:r>
          </w:p>
        </w:tc>
      </w:tr>
      <w:tr>
        <w:tc>
          <w:tcPr>
            <w:tcW w:type="dxa" w:w="5100"/>
          </w:tcPr>
          <w:p>
            <w:r>
              <w:t>19:00 – 19:10</w:t>
            </w:r>
          </w:p>
        </w:tc>
        <w:tc>
          <w:tcPr>
            <w:tcW w:type="dxa" w:w="5100"/>
          </w:tcPr>
          <w:p>
            <w:r>
              <w:t>Ouverture</w:t>
            </w:r>
          </w:p>
        </w:tc>
      </w:tr>
      <w:tr>
        <w:tc>
          <w:tcPr>
            <w:tcW w:type="dxa" w:w="5100"/>
          </w:tcPr>
          <w:p>
            <w:r>
              <w:t>19:10 – 19:45</w:t>
            </w:r>
          </w:p>
        </w:tc>
        <w:tc>
          <w:tcPr>
            <w:tcW w:type="dxa" w:w="5100"/>
          </w:tcPr>
          <w:p>
            <w:r>
              <w:t>Table ronde</w:t>
            </w:r>
          </w:p>
        </w:tc>
      </w:tr>
      <w:tr>
        <w:tc>
          <w:tcPr>
            <w:tcW w:type="dxa" w:w="5100"/>
          </w:tcPr>
          <w:p>
            <w:r>
              <w:t>19:45 – 20:10</w:t>
            </w:r>
          </w:p>
        </w:tc>
        <w:tc>
          <w:tcPr>
            <w:tcW w:type="dxa" w:w="5100"/>
          </w:tcPr>
          <w:p>
            <w:r>
              <w:t>Questions du public</w:t>
            </w:r>
          </w:p>
        </w:tc>
      </w:tr>
      <w:tr>
        <w:tc>
          <w:tcPr>
            <w:tcW w:type="dxa" w:w="5100"/>
          </w:tcPr>
          <w:p>
            <w:r>
              <w:t>20:10 – 20:25</w:t>
            </w:r>
          </w:p>
        </w:tc>
        <w:tc>
          <w:tcPr>
            <w:tcW w:type="dxa" w:w="5100"/>
          </w:tcPr>
          <w:p>
            <w:r>
              <w:t>Pause</w:t>
            </w:r>
          </w:p>
        </w:tc>
      </w:tr>
      <w:tr>
        <w:tc>
          <w:tcPr>
            <w:tcW w:type="dxa" w:w="5100"/>
          </w:tcPr>
          <w:p>
            <w:r>
              <w:t>20:25 – 20:55</w:t>
            </w:r>
          </w:p>
        </w:tc>
        <w:tc>
          <w:tcPr>
            <w:tcW w:type="dxa" w:w="5100"/>
          </w:tcPr>
          <w:p>
            <w:r>
              <w:t>Atelier collectif</w:t>
            </w:r>
          </w:p>
        </w:tc>
      </w:tr>
      <w:tr>
        <w:tc>
          <w:tcPr>
            <w:tcW w:type="dxa" w:w="5100"/>
          </w:tcPr>
          <w:p>
            <w:r>
              <w:t>20:55 – 21:05</w:t>
            </w:r>
          </w:p>
        </w:tc>
        <w:tc>
          <w:tcPr>
            <w:tcW w:type="dxa" w:w="5100"/>
          </w:tcPr>
          <w:p>
            <w:r>
              <w:t>Synthèse</w:t>
            </w:r>
          </w:p>
        </w:tc>
      </w:tr>
      <w:tr>
        <w:tc>
          <w:tcPr>
            <w:tcW w:type="dxa" w:w="5100"/>
          </w:tcPr>
          <w:p>
            <w:r>
              <w:t>21:05 – 21:30</w:t>
            </w:r>
          </w:p>
        </w:tc>
        <w:tc>
          <w:tcPr>
            <w:tcW w:type="dxa" w:w="5100"/>
          </w:tcPr>
          <w:p>
            <w:r>
              <w:t>Échanges informels</w:t>
            </w:r>
          </w:p>
        </w:tc>
      </w:tr>
    </w:tbl>
    <w:p/>
    <w:p>
      <w:r>
        <w:t>Questions de préparation : pourquoi une information attire-t-elle notre attention ? Quelles vérifications sont possibles avant de partager ? Comment contextualiser un contenu produit ou amplifié par l’IA ? Les exemples utilisés devront être sourcés et validés avant présentation.</w:t>
      </w:r>
    </w:p>
    <w:p>
      <w:r>
        <w:br w:type="page"/>
      </w:r>
    </w:p>
    <w:p>
      <w:pPr>
        <w:pStyle w:val="Heading1"/>
      </w:pPr>
      <w:r>
        <w:t>04 / Publics, lieu et accessibilité</w:t>
      </w:r>
    </w:p>
    <w:p>
      <w:pPr>
        <w:pStyle w:val="ListBullet"/>
      </w:pPr>
      <w:r>
        <w:t>Lieu à rechercher à Paris ou en Île-de-France, accessible en transports, disposant d’une salle adaptée à au moins 100 personnes.</w:t>
      </w:r>
    </w:p>
    <w:p>
      <w:pPr>
        <w:pStyle w:val="ListBullet"/>
      </w:pPr>
      <w:r>
        <w:t>Prévoir un accueil lisible, des places assises et un cheminement accessible ; vérifier les équipements avec le gestionnaire.</w:t>
      </w:r>
    </w:p>
    <w:p>
      <w:pPr>
        <w:pStyle w:val="ListBullet"/>
      </w:pPr>
      <w:r>
        <w:t>Publier les accès, horaires et conditions d’accueil seulement après confirmation.</w:t>
      </w:r>
    </w:p>
    <w:p>
      <w:pPr>
        <w:pStyle w:val="ListBullet"/>
      </w:pPr>
      <w:r>
        <w:t>Prévoir un contact pour les besoins particuliers, sans collecte de renseignements médicaux.</w:t>
      </w:r>
    </w:p>
    <w:p>
      <w:pPr>
        <w:pStyle w:val="ListBullet"/>
      </w:pPr>
      <w:r>
        <w:t>Jauge d’inscription envisagée : 80 personnes ; équipe maximale de 8 personnes, soit 88 occupants prévus avant vérification du lieu.</w:t>
      </w:r>
    </w:p>
    <w:tbl>
      <w:tblPr>
        <w:tblStyle w:val="LightShading-Accent1"/>
        <w:tblW w:type="auto" w:w="0"/>
        <w:tblLook w:firstColumn="1" w:firstRow="1" w:lastColumn="0" w:lastRow="0" w:noHBand="0" w:noVBand="1" w:val="04A0"/>
      </w:tblPr>
      <w:tblGrid>
        <w:gridCol w:w="5100"/>
        <w:gridCol w:w="5100"/>
      </w:tblGrid>
      <w:tr>
        <w:tc>
          <w:tcPr>
            <w:tcW w:type="dxa" w:w="5100"/>
            <w:shd w:fill="202720"/>
          </w:tcPr>
          <w:p>
            <w:r>
              <w:rPr>
                <w:b/>
                <w:color w:val="FFFFFF"/>
              </w:rPr>
              <w:t>Critère de sélection du lieu</w:t>
            </w:r>
          </w:p>
        </w:tc>
        <w:tc>
          <w:tcPr>
            <w:tcW w:type="dxa" w:w="5100"/>
            <w:shd w:fill="202720"/>
          </w:tcPr>
          <w:p>
            <w:r>
              <w:rPr>
                <w:b/>
                <w:color w:val="FFFFFF"/>
              </w:rPr>
              <w:t>À vérifier</w:t>
            </w:r>
          </w:p>
        </w:tc>
      </w:tr>
      <w:tr>
        <w:tc>
          <w:tcPr>
            <w:tcW w:type="dxa" w:w="5100"/>
          </w:tcPr>
          <w:p>
            <w:r>
              <w:t>Capacité et disposition</w:t>
            </w:r>
          </w:p>
        </w:tc>
        <w:tc>
          <w:tcPr>
            <w:tcW w:type="dxa" w:w="5100"/>
          </w:tcPr>
          <w:p>
            <w:r>
              <w:t>Jauge autorisée, visibilité, circulation et espaces de pause</w:t>
            </w:r>
          </w:p>
        </w:tc>
      </w:tr>
      <w:tr>
        <w:tc>
          <w:tcPr>
            <w:tcW w:type="dxa" w:w="5100"/>
          </w:tcPr>
          <w:p>
            <w:r>
              <w:t>Accès</w:t>
            </w:r>
          </w:p>
        </w:tc>
        <w:tc>
          <w:tcPr>
            <w:tcW w:type="dxa" w:w="5100"/>
          </w:tcPr>
          <w:p>
            <w:r>
              <w:t>Transports, accès PMR et toilettes accessibles</w:t>
            </w:r>
          </w:p>
        </w:tc>
      </w:tr>
      <w:tr>
        <w:tc>
          <w:tcPr>
            <w:tcW w:type="dxa" w:w="5100"/>
          </w:tcPr>
          <w:p>
            <w:r>
              <w:t>Technique</w:t>
            </w:r>
          </w:p>
        </w:tc>
        <w:tc>
          <w:tcPr>
            <w:tcW w:type="dxa" w:w="5100"/>
          </w:tcPr>
          <w:p>
            <w:r>
              <w:t>Micros, prises, acoustique et appui technique</w:t>
            </w:r>
          </w:p>
        </w:tc>
      </w:tr>
      <w:tr>
        <w:tc>
          <w:tcPr>
            <w:tcW w:type="dxa" w:w="5100"/>
          </w:tcPr>
          <w:p>
            <w:r>
              <w:t>Conditions</w:t>
            </w:r>
          </w:p>
        </w:tc>
        <w:tc>
          <w:tcPr>
            <w:tcW w:type="dxa" w:w="5100"/>
          </w:tcPr>
          <w:p>
            <w:r>
              <w:t>Devis, assurance demandée, horaires et restitution</w:t>
            </w:r>
          </w:p>
        </w:tc>
      </w:tr>
    </w:tbl>
    <w:p/>
    <w:p>
      <w:r>
        <w:br w:type="page"/>
      </w:r>
    </w:p>
    <w:p>
      <w:pPr>
        <w:pStyle w:val="Heading1"/>
      </w:pPr>
      <w:r>
        <w:t>05 / Budget et financement envisagés</w:t>
      </w:r>
    </w:p>
    <w:tbl>
      <w:tblPr>
        <w:tblStyle w:val="LightShading-Accent1"/>
        <w:tblW w:type="auto" w:w="0"/>
        <w:tblLook w:firstColumn="1" w:firstRow="1" w:lastColumn="0" w:lastRow="0" w:noHBand="0" w:noVBand="1" w:val="04A0"/>
      </w:tblPr>
      <w:tblGrid>
        <w:gridCol w:w="2550"/>
        <w:gridCol w:w="2550"/>
        <w:gridCol w:w="2550"/>
        <w:gridCol w:w="2550"/>
      </w:tblGrid>
      <w:tr>
        <w:tc>
          <w:tcPr>
            <w:tcW w:type="dxa" w:w="2550"/>
            <w:shd w:fill="202720"/>
          </w:tcPr>
          <w:p>
            <w:r>
              <w:rPr>
                <w:b/>
                <w:color w:val="FFFFFF"/>
              </w:rPr>
              <w:t>Poste</w:t>
            </w:r>
          </w:p>
        </w:tc>
        <w:tc>
          <w:tcPr>
            <w:tcW w:type="dxa" w:w="2550"/>
            <w:shd w:fill="202720"/>
          </w:tcPr>
          <w:p>
            <w:r>
              <w:rPr>
                <w:b/>
                <w:color w:val="FFFFFF"/>
              </w:rPr>
              <w:t>Quantité</w:t>
            </w:r>
          </w:p>
        </w:tc>
        <w:tc>
          <w:tcPr>
            <w:tcW w:type="dxa" w:w="2550"/>
            <w:shd w:fill="202720"/>
          </w:tcPr>
          <w:p>
            <w:r>
              <w:rPr>
                <w:b/>
                <w:color w:val="FFFFFF"/>
              </w:rPr>
              <w:t>Prix TTC</w:t>
            </w:r>
          </w:p>
        </w:tc>
        <w:tc>
          <w:tcPr>
            <w:tcW w:type="dxa" w:w="2550"/>
            <w:shd w:fill="202720"/>
          </w:tcPr>
          <w:p>
            <w:r>
              <w:rPr>
                <w:b/>
                <w:color w:val="FFFFFF"/>
              </w:rPr>
              <w:t>Total TTC</w:t>
            </w:r>
          </w:p>
        </w:tc>
      </w:tr>
      <w:tr>
        <w:tc>
          <w:tcPr>
            <w:tcW w:type="dxa" w:w="2550"/>
          </w:tcPr>
          <w:p>
            <w:r>
              <w:t>Location de salle</w:t>
            </w:r>
          </w:p>
        </w:tc>
        <w:tc>
          <w:tcPr>
            <w:tcW w:type="dxa" w:w="2550"/>
          </w:tcPr>
          <w:p>
            <w:r>
              <w:t>1</w:t>
            </w:r>
          </w:p>
        </w:tc>
        <w:tc>
          <w:tcPr>
            <w:tcW w:type="dxa" w:w="2550"/>
          </w:tcPr>
          <w:p>
            <w:r>
              <w:t>600,00 €</w:t>
            </w:r>
          </w:p>
        </w:tc>
        <w:tc>
          <w:tcPr>
            <w:tcW w:type="dxa" w:w="2550"/>
          </w:tcPr>
          <w:p>
            <w:r>
              <w:t>600,00 €</w:t>
            </w:r>
          </w:p>
        </w:tc>
      </w:tr>
      <w:tr>
        <w:tc>
          <w:tcPr>
            <w:tcW w:type="dxa" w:w="2550"/>
          </w:tcPr>
          <w:p>
            <w:r>
              <w:t>Sonorisation et régie</w:t>
            </w:r>
          </w:p>
        </w:tc>
        <w:tc>
          <w:tcPr>
            <w:tcW w:type="dxa" w:w="2550"/>
          </w:tcPr>
          <w:p>
            <w:r>
              <w:t>1</w:t>
            </w:r>
          </w:p>
        </w:tc>
        <w:tc>
          <w:tcPr>
            <w:tcW w:type="dxa" w:w="2550"/>
          </w:tcPr>
          <w:p>
            <w:r>
              <w:t>450,00 €</w:t>
            </w:r>
          </w:p>
        </w:tc>
        <w:tc>
          <w:tcPr>
            <w:tcW w:type="dxa" w:w="2550"/>
          </w:tcPr>
          <w:p>
            <w:r>
              <w:t>450,00 €</w:t>
            </w:r>
          </w:p>
        </w:tc>
      </w:tr>
      <w:tr>
        <w:tc>
          <w:tcPr>
            <w:tcW w:type="dxa" w:w="2550"/>
          </w:tcPr>
          <w:p>
            <w:r>
              <w:t>Interventions et modération</w:t>
            </w:r>
          </w:p>
        </w:tc>
        <w:tc>
          <w:tcPr>
            <w:tcW w:type="dxa" w:w="2550"/>
          </w:tcPr>
          <w:p>
            <w:r>
              <w:t>1</w:t>
            </w:r>
          </w:p>
        </w:tc>
        <w:tc>
          <w:tcPr>
            <w:tcW w:type="dxa" w:w="2550"/>
          </w:tcPr>
          <w:p>
            <w:r>
              <w:t>300,00 €</w:t>
            </w:r>
          </w:p>
        </w:tc>
        <w:tc>
          <w:tcPr>
            <w:tcW w:type="dxa" w:w="2550"/>
          </w:tcPr>
          <w:p>
            <w:r>
              <w:t>300,00 €</w:t>
            </w:r>
          </w:p>
        </w:tc>
      </w:tr>
      <w:tr>
        <w:tc>
          <w:tcPr>
            <w:tcW w:type="dxa" w:w="2550"/>
          </w:tcPr>
          <w:p>
            <w:r>
              <w:t>Collation légère</w:t>
            </w:r>
          </w:p>
        </w:tc>
        <w:tc>
          <w:tcPr>
            <w:tcW w:type="dxa" w:w="2550"/>
          </w:tcPr>
          <w:p>
            <w:r>
              <w:t>80</w:t>
            </w:r>
          </w:p>
        </w:tc>
        <w:tc>
          <w:tcPr>
            <w:tcW w:type="dxa" w:w="2550"/>
          </w:tcPr>
          <w:p>
            <w:r>
              <w:t>3,00 €</w:t>
            </w:r>
          </w:p>
        </w:tc>
        <w:tc>
          <w:tcPr>
            <w:tcW w:type="dxa" w:w="2550"/>
          </w:tcPr>
          <w:p>
            <w:r>
              <w:t>240,00 €</w:t>
            </w:r>
          </w:p>
        </w:tc>
      </w:tr>
      <w:tr>
        <w:tc>
          <w:tcPr>
            <w:tcW w:type="dxa" w:w="2550"/>
          </w:tcPr>
          <w:p>
            <w:r>
              <w:t>Impression et signalétique</w:t>
            </w:r>
          </w:p>
        </w:tc>
        <w:tc>
          <w:tcPr>
            <w:tcW w:type="dxa" w:w="2550"/>
          </w:tcPr>
          <w:p>
            <w:r>
              <w:t>1</w:t>
            </w:r>
          </w:p>
        </w:tc>
        <w:tc>
          <w:tcPr>
            <w:tcW w:type="dxa" w:w="2550"/>
          </w:tcPr>
          <w:p>
            <w:r>
              <w:t>90,00 €</w:t>
            </w:r>
          </w:p>
        </w:tc>
        <w:tc>
          <w:tcPr>
            <w:tcW w:type="dxa" w:w="2550"/>
          </w:tcPr>
          <w:p>
            <w:r>
              <w:t>90,00 €</w:t>
            </w:r>
          </w:p>
        </w:tc>
      </w:tr>
      <w:tr>
        <w:tc>
          <w:tcPr>
            <w:tcW w:type="dxa" w:w="2550"/>
          </w:tcPr>
          <w:p>
            <w:r>
              <w:t>Assurance et frais administratifs</w:t>
            </w:r>
          </w:p>
        </w:tc>
        <w:tc>
          <w:tcPr>
            <w:tcW w:type="dxa" w:w="2550"/>
          </w:tcPr>
          <w:p>
            <w:r>
              <w:t>1</w:t>
            </w:r>
          </w:p>
        </w:tc>
        <w:tc>
          <w:tcPr>
            <w:tcW w:type="dxa" w:w="2550"/>
          </w:tcPr>
          <w:p>
            <w:r>
              <w:t>120,00 €</w:t>
            </w:r>
          </w:p>
        </w:tc>
        <w:tc>
          <w:tcPr>
            <w:tcW w:type="dxa" w:w="2550"/>
          </w:tcPr>
          <w:p>
            <w:r>
              <w:t>120,00 €</w:t>
            </w:r>
          </w:p>
        </w:tc>
      </w:tr>
      <w:tr>
        <w:tc>
          <w:tcPr>
            <w:tcW w:type="dxa" w:w="2550"/>
          </w:tcPr>
          <w:p>
            <w:r>
              <w:t>Accessibilité et adaptations</w:t>
            </w:r>
          </w:p>
        </w:tc>
        <w:tc>
          <w:tcPr>
            <w:tcW w:type="dxa" w:w="2550"/>
          </w:tcPr>
          <w:p>
            <w:r>
              <w:t>1</w:t>
            </w:r>
          </w:p>
        </w:tc>
        <w:tc>
          <w:tcPr>
            <w:tcW w:type="dxa" w:w="2550"/>
          </w:tcPr>
          <w:p>
            <w:r>
              <w:t>120,00 €</w:t>
            </w:r>
          </w:p>
        </w:tc>
        <w:tc>
          <w:tcPr>
            <w:tcW w:type="dxa" w:w="2550"/>
          </w:tcPr>
          <w:p>
            <w:r>
              <w:t>120,00 €</w:t>
            </w:r>
          </w:p>
        </w:tc>
      </w:tr>
      <w:tr>
        <w:tc>
          <w:tcPr>
            <w:tcW w:type="dxa" w:w="2550"/>
          </w:tcPr>
          <w:p>
            <w:r>
              <w:t>Photographie / documentation</w:t>
            </w:r>
          </w:p>
        </w:tc>
        <w:tc>
          <w:tcPr>
            <w:tcW w:type="dxa" w:w="2550"/>
          </w:tcPr>
          <w:p>
            <w:r>
              <w:t>1</w:t>
            </w:r>
          </w:p>
        </w:tc>
        <w:tc>
          <w:tcPr>
            <w:tcW w:type="dxa" w:w="2550"/>
          </w:tcPr>
          <w:p>
            <w:r>
              <w:t>180,00 €</w:t>
            </w:r>
          </w:p>
        </w:tc>
        <w:tc>
          <w:tcPr>
            <w:tcW w:type="dxa" w:w="2550"/>
          </w:tcPr>
          <w:p>
            <w:r>
              <w:t>180,00 €</w:t>
            </w:r>
          </w:p>
        </w:tc>
      </w:tr>
    </w:tbl>
    <w:p/>
    <w:tbl>
      <w:tblPr>
        <w:tblStyle w:val="LightShading-Accent1"/>
        <w:tblW w:type="auto" w:w="0"/>
        <w:tblLook w:firstColumn="1" w:firstRow="1" w:lastColumn="0" w:lastRow="0" w:noHBand="0" w:noVBand="1" w:val="04A0"/>
      </w:tblPr>
      <w:tblGrid>
        <w:gridCol w:w="5100"/>
        <w:gridCol w:w="5100"/>
      </w:tblGrid>
      <w:tr>
        <w:tc>
          <w:tcPr>
            <w:tcW w:type="dxa" w:w="5100"/>
            <w:shd w:fill="202720"/>
          </w:tcPr>
          <w:p>
            <w:r>
              <w:rPr>
                <w:b/>
                <w:color w:val="FFFFFF"/>
              </w:rPr>
              <w:t>Synthèse</w:t>
            </w:r>
          </w:p>
        </w:tc>
        <w:tc>
          <w:tcPr>
            <w:tcW w:type="dxa" w:w="5100"/>
            <w:shd w:fill="202720"/>
          </w:tcPr>
          <w:p>
            <w:r>
              <w:rPr>
                <w:b/>
                <w:color w:val="FFFFFF"/>
              </w:rPr>
              <w:t>Montant</w:t>
            </w:r>
          </w:p>
        </w:tc>
      </w:tr>
      <w:tr>
        <w:tc>
          <w:tcPr>
            <w:tcW w:type="dxa" w:w="5100"/>
          </w:tcPr>
          <w:p>
            <w:r>
              <w:t>Sous-total</w:t>
            </w:r>
          </w:p>
        </w:tc>
        <w:tc>
          <w:tcPr>
            <w:tcW w:type="dxa" w:w="5100"/>
          </w:tcPr>
          <w:p>
            <w:r>
              <w:t>2 100,00 €</w:t>
            </w:r>
          </w:p>
        </w:tc>
      </w:tr>
      <w:tr>
        <w:tc>
          <w:tcPr>
            <w:tcW w:type="dxa" w:w="5100"/>
          </w:tcPr>
          <w:p>
            <w:r>
              <w:t>Réserve de 10 %</w:t>
            </w:r>
          </w:p>
        </w:tc>
        <w:tc>
          <w:tcPr>
            <w:tcW w:type="dxa" w:w="5100"/>
          </w:tcPr>
          <w:p>
            <w:r>
              <w:t>210,00 €</w:t>
            </w:r>
          </w:p>
        </w:tc>
      </w:tr>
      <w:tr>
        <w:tc>
          <w:tcPr>
            <w:tcW w:type="dxa" w:w="5100"/>
          </w:tcPr>
          <w:p>
            <w:r>
              <w:t>Total prévisionnel</w:t>
            </w:r>
          </w:p>
        </w:tc>
        <w:tc>
          <w:tcPr>
            <w:tcW w:type="dxa" w:w="5100"/>
          </w:tcPr>
          <w:p>
            <w:r>
              <w:t>2 310,00 €</w:t>
            </w:r>
          </w:p>
        </w:tc>
      </w:tr>
      <w:tr>
        <w:tc>
          <w:tcPr>
            <w:tcW w:type="dxa" w:w="5100"/>
          </w:tcPr>
          <w:p>
            <w:r>
              <w:t>Plafond de travail</w:t>
            </w:r>
          </w:p>
        </w:tc>
        <w:tc>
          <w:tcPr>
            <w:tcW w:type="dxa" w:w="5100"/>
          </w:tcPr>
          <w:p>
            <w:r>
              <w:t>2 500,00 €</w:t>
            </w:r>
          </w:p>
        </w:tc>
      </w:tr>
      <w:tr>
        <w:tc>
          <w:tcPr>
            <w:tcW w:type="dxa" w:w="5100"/>
          </w:tcPr>
          <w:p>
            <w:r>
              <w:t>Marge par rapport au plafond</w:t>
            </w:r>
          </w:p>
        </w:tc>
        <w:tc>
          <w:tcPr>
            <w:tcW w:type="dxa" w:w="5100"/>
          </w:tcPr>
          <w:p>
            <w:r>
              <w:t>190,00 €</w:t>
            </w:r>
          </w:p>
        </w:tc>
      </w:tr>
    </w:tbl>
    <w:p/>
    <w:p>
      <w:r>
        <w:t>Scénario de financement : contribution envisagée de 1 500 € par la structure porteuse, à valider ; solde de 810 € à rechercher ou à couvrir par une réduction de dépenses. Aucun financement ni soutien extérieur n’est confirmé. Tous les montants doivent être rapprochés de devis réels avant engagement.</w:t>
      </w:r>
    </w:p>
    <w:p>
      <w:r>
        <w:br w:type="page"/>
      </w:r>
    </w:p>
    <w:p>
      <w:pPr>
        <w:pStyle w:val="Heading1"/>
      </w:pPr>
      <w:r>
        <w:t>06 / Décisions avant lancement</w:t>
      </w:r>
    </w:p>
    <w:tbl>
      <w:tblPr>
        <w:tblStyle w:val="LightShading-Accent1"/>
        <w:tblW w:type="auto" w:w="0"/>
        <w:tblLook w:firstColumn="1" w:firstRow="1" w:lastColumn="0" w:lastRow="0" w:noHBand="0" w:noVBand="1" w:val="04A0"/>
      </w:tblPr>
      <w:tblGrid>
        <w:gridCol w:w="3400"/>
        <w:gridCol w:w="3400"/>
        <w:gridCol w:w="3400"/>
      </w:tblGrid>
      <w:tr>
        <w:tc>
          <w:tcPr>
            <w:tcW w:type="dxa" w:w="3400"/>
            <w:shd w:fill="202720"/>
          </w:tcPr>
          <w:p>
            <w:r>
              <w:rPr>
                <w:b/>
                <w:color w:val="FFFFFF"/>
              </w:rPr>
              <w:t>Décision</w:t>
            </w:r>
          </w:p>
        </w:tc>
        <w:tc>
          <w:tcPr>
            <w:tcW w:type="dxa" w:w="3400"/>
            <w:shd w:fill="202720"/>
          </w:tcPr>
          <w:p>
            <w:r>
              <w:rPr>
                <w:b/>
                <w:color w:val="FFFFFF"/>
              </w:rPr>
              <w:t>Responsable proposé</w:t>
            </w:r>
          </w:p>
        </w:tc>
        <w:tc>
          <w:tcPr>
            <w:tcW w:type="dxa" w:w="3400"/>
            <w:shd w:fill="202720"/>
          </w:tcPr>
          <w:p>
            <w:r>
              <w:rPr>
                <w:b/>
                <w:color w:val="FFFFFF"/>
              </w:rPr>
              <w:t>Preuve attendue</w:t>
            </w:r>
          </w:p>
        </w:tc>
      </w:tr>
      <w:tr>
        <w:tc>
          <w:tcPr>
            <w:tcW w:type="dxa" w:w="3400"/>
          </w:tcPr>
          <w:p>
            <w:r>
              <w:t>Valider le portage et le budget</w:t>
            </w:r>
          </w:p>
        </w:tc>
        <w:tc>
          <w:tcPr>
            <w:tcW w:type="dxa" w:w="3400"/>
          </w:tcPr>
          <w:p>
            <w:r>
              <w:t>Responsable projet / structure porteuse</w:t>
            </w:r>
          </w:p>
        </w:tc>
        <w:tc>
          <w:tcPr>
            <w:tcW w:type="dxa" w:w="3400"/>
          </w:tcPr>
          <w:p>
            <w:r>
              <w:t>Décision écrite et capacité de financement</w:t>
            </w:r>
          </w:p>
        </w:tc>
      </w:tr>
      <w:tr>
        <w:tc>
          <w:tcPr>
            <w:tcW w:type="dxa" w:w="3400"/>
          </w:tcPr>
          <w:p>
            <w:r>
              <w:t>Confirmer date, lieu et assurance</w:t>
            </w:r>
          </w:p>
        </w:tc>
        <w:tc>
          <w:tcPr>
            <w:tcW w:type="dxa" w:w="3400"/>
          </w:tcPr>
          <w:p>
            <w:r>
              <w:t>Responsable projet / logistique</w:t>
            </w:r>
          </w:p>
        </w:tc>
        <w:tc>
          <w:tcPr>
            <w:tcW w:type="dxa" w:w="3400"/>
          </w:tcPr>
          <w:p>
            <w:r>
              <w:t>Accords et conditions du lieu</w:t>
            </w:r>
          </w:p>
        </w:tc>
      </w:tr>
      <w:tr>
        <w:tc>
          <w:tcPr>
            <w:tcW w:type="dxa" w:w="3400"/>
          </w:tcPr>
          <w:p>
            <w:r>
              <w:t>Confirmer les intervenants</w:t>
            </w:r>
          </w:p>
        </w:tc>
        <w:tc>
          <w:tcPr>
            <w:tcW w:type="dxa" w:w="3400"/>
          </w:tcPr>
          <w:p>
            <w:r>
              <w:t>Éditorial</w:t>
            </w:r>
          </w:p>
        </w:tc>
        <w:tc>
          <w:tcPr>
            <w:tcW w:type="dxa" w:w="3400"/>
          </w:tcPr>
          <w:p>
            <w:r>
              <w:t>Accord écrit et programme validé</w:t>
            </w:r>
          </w:p>
        </w:tc>
      </w:tr>
      <w:tr>
        <w:tc>
          <w:tcPr>
            <w:tcW w:type="dxa" w:w="3400"/>
          </w:tcPr>
          <w:p>
            <w:r>
              <w:t>Autoriser la diffusion et l’inscription</w:t>
            </w:r>
          </w:p>
        </w:tc>
        <w:tc>
          <w:tcPr>
            <w:tcW w:type="dxa" w:w="3400"/>
          </w:tcPr>
          <w:p>
            <w:r>
              <w:t>Responsable projet</w:t>
            </w:r>
          </w:p>
        </w:tc>
        <w:tc>
          <w:tcPr>
            <w:tcW w:type="dxa" w:w="3400"/>
          </w:tcPr>
          <w:p>
            <w:r>
              <w:t>Informations confirmées et modalités de données précisées</w:t>
            </w:r>
          </w:p>
        </w:tc>
      </w:tr>
    </w:tbl>
    <w:p/>
    <w:p>
      <w:r>
        <w:t>Farès Benamar est identifié comme concepteur du dossier. Les rôles opérationnels sont proposés et les membres de l’équipe restent à désigner. La réalisation de l’événement dépend de ces validations.</w:t>
      </w:r>
    </w:p>
    <w:p>
      <w:r>
        <w:t>Contact de conception : contact.pro.faresb@gmail.com · Portfolio : portfolio-fares-benamar.vercel.app</w:t>
      </w:r>
    </w:p>
    <w:sectPr w:rsidR="00FC693F" w:rsidRPr="0006063C" w:rsidSect="00034616">
      <w:headerReference w:type="default" r:id="rId9"/>
      <w:footerReference w:type="default" r:id="rId10"/>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Projet de conception · Avril 2027 envisagé · V1.0 · Farès Benamar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L’Enjeu · Les Rencontres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9268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9268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2027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Rencontres de L’Enjeu | Dossier de conception</dc:title>
  <dc:subject>Projet personnel de conception · Événement en préparation</dc:subject>
  <dc:creator>Farès Benamar</dc:creator>
  <cp:keywords/>
  <dc:description>generated by python-docx</dc:description>
  <cp:lastModifiedBy/>
  <cp:revision>1</cp:revision>
  <dcterms:created xsi:type="dcterms:W3CDTF">2013-12-23T23:15:00Z</dcterms:created>
  <dcterms:modified xsi:type="dcterms:W3CDTF">2013-12-23T23:15:00Z</dcterms:modified>
  <cp:category/>
</cp:coreProperties>
</file>