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 de communication</w:t>
      </w:r>
    </w:p>
    <w:p>
      <w:r>
        <w:t>Les Rencontres de L’Enjeu</w:t>
      </w:r>
    </w:p>
    <w:p>
      <w:r>
        <w:t>Projet personnel de conception · Événement en préparation</w:t>
        <w:br/>
        <w:t>Date, lieu et intervenants à confirmer</w:t>
      </w:r>
    </w:p>
    <w:p>
      <w:pPr>
        <w:pStyle w:val="Heading1"/>
      </w:pPr>
      <w:r>
        <w:t>01 / Positionnement et règles de diffusion</w:t>
      </w:r>
    </w:p>
    <w:p>
      <w:r>
        <w:t>Promesse : une soirée pour prendre du recul sur l’information et repartir avec des repères pratiques. Ton : accessible, précis, ouvert à la discussion. Éviter les promesses de vérité absolue, les témoignages fictifs et les noms d’intervenants non confirmés.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02720"/>
          </w:tcPr>
          <w:p>
            <w:r>
              <w:rPr>
                <w:b/>
                <w:color w:val="FFFFFF"/>
              </w:rPr>
              <w:t>Information</w:t>
            </w:r>
          </w:p>
        </w:tc>
        <w:tc>
          <w:tcPr>
            <w:tcW w:type="dxa" w:w="5100"/>
            <w:shd w:fill="202720"/>
          </w:tcPr>
          <w:p>
            <w:r>
              <w:rPr>
                <w:b/>
                <w:color w:val="FFFFFF"/>
              </w:rPr>
              <w:t>Version de conception</w:t>
            </w:r>
          </w:p>
        </w:tc>
      </w:tr>
      <w:tr>
        <w:tc>
          <w:tcPr>
            <w:tcW w:type="dxa" w:w="5100"/>
          </w:tcPr>
          <w:p>
            <w:r>
              <w:t>Nom</w:t>
            </w:r>
          </w:p>
        </w:tc>
        <w:tc>
          <w:tcPr>
            <w:tcW w:type="dxa" w:w="5100"/>
          </w:tcPr>
          <w:p>
            <w:r>
              <w:t>Les Rencontres de L’Enjeu</w:t>
            </w:r>
          </w:p>
        </w:tc>
      </w:tr>
      <w:tr>
        <w:tc>
          <w:tcPr>
            <w:tcW w:type="dxa" w:w="5100"/>
          </w:tcPr>
          <w:p>
            <w:r>
              <w:t>Thème</w:t>
            </w:r>
          </w:p>
        </w:tc>
        <w:tc>
          <w:tcPr>
            <w:tcW w:type="dxa" w:w="5100"/>
          </w:tcPr>
          <w:p>
            <w:r>
              <w:t>Comprendre l’information à l’heure des réseaux sociaux et de l’IA</w:t>
            </w:r>
          </w:p>
        </w:tc>
      </w:tr>
      <w:tr>
        <w:tc>
          <w:tcPr>
            <w:tcW w:type="dxa" w:w="5100"/>
          </w:tcPr>
          <w:p>
            <w:r>
              <w:t>Période</w:t>
            </w:r>
          </w:p>
        </w:tc>
        <w:tc>
          <w:tcPr>
            <w:tcW w:type="dxa" w:w="5100"/>
          </w:tcPr>
          <w:p>
            <w:r>
              <w:t>Avril 2027 · date exacte à confirmer</w:t>
            </w:r>
          </w:p>
        </w:tc>
      </w:tr>
      <w:tr>
        <w:tc>
          <w:tcPr>
            <w:tcW w:type="dxa" w:w="5100"/>
          </w:tcPr>
          <w:p>
            <w:r>
              <w:t>Zone</w:t>
            </w:r>
          </w:p>
        </w:tc>
        <w:tc>
          <w:tcPr>
            <w:tcW w:type="dxa" w:w="5100"/>
          </w:tcPr>
          <w:p>
            <w:r>
              <w:t>Paris ou Île-de-France · Lieu à confirmer</w:t>
            </w:r>
          </w:p>
        </w:tc>
      </w:tr>
      <w:tr>
        <w:tc>
          <w:tcPr>
            <w:tcW w:type="dxa" w:w="5100"/>
          </w:tcPr>
          <w:p>
            <w:r>
              <w:t>Accès</w:t>
            </w:r>
          </w:p>
        </w:tc>
        <w:tc>
          <w:tcPr>
            <w:tcW w:type="dxa" w:w="5100"/>
          </w:tcPr>
          <w:p>
            <w:r>
              <w:t>Gratuit, sur inscription après confirmation du lieu</w:t>
            </w:r>
          </w:p>
        </w:tc>
      </w:tr>
      <w:tr>
        <w:tc>
          <w:tcPr>
            <w:tcW w:type="dxa" w:w="5100"/>
          </w:tcPr>
          <w:p>
            <w:r>
              <w:t>Statut</w:t>
            </w:r>
          </w:p>
        </w:tc>
        <w:tc>
          <w:tcPr>
            <w:tcW w:type="dxa" w:w="5100"/>
          </w:tcPr>
          <w:p>
            <w:r>
              <w:t>Projet en préparation ; inscriptions non ouvertes</w:t>
            </w:r>
          </w:p>
        </w:tc>
      </w:tr>
    </w:tbl>
    <w:p/>
    <w:p>
      <w:r>
        <w:t>Les textes suivants sont prêts à adapter. Une annonce ferme nécessite la confirmation du jour, de l’adresse, du programme, des intervenants et du dispositif d’inscription. Aucun lien d’inscription fictif n’est utilisé.</w:t>
      </w:r>
    </w:p>
    <w:p>
      <w:r>
        <w:br w:type="page"/>
      </w:r>
    </w:p>
    <w:p>
      <w:pPr>
        <w:pStyle w:val="Heading1"/>
      </w:pPr>
      <w:r>
        <w:t>02 / Invitation par e-mail</w:t>
      </w:r>
    </w:p>
    <w:p>
      <w:r>
        <w:t>Objet : Les Rencontres de L’Enjeu, une première édition envisagée en avril 2027</w:t>
      </w:r>
    </w:p>
    <w:p>
      <w:r>
        <w:t>Bonjour,</w:t>
        <w:br/>
        <w:br/>
        <w:t>Comment prendre du recul sur une information qui circule vite ? Que changent les réseaux sociaux et l’IA dans notre façon de nous informer ?</w:t>
        <w:br/>
        <w:br/>
        <w:t>Nous préparons une première édition des Rencontres de L’Enjeu en avril 2027, à Paris ou en Île-de-France. Au programme envisagé : une table ronde, vos questions et un atelier collectif pour identifier les sources et remettre les informations en contexte.</w:t>
        <w:br/>
        <w:br/>
        <w:t>L’accès est prévu gratuit, sur inscription. La date exacte, le lieu et les intervenants seront annoncés après confirmation.</w:t>
        <w:br/>
        <w:br/>
        <w:t>Pour être informé de l’ouverture des inscriptions, vous pouvez écrire à contact.pro.faresb@gmail.com.</w:t>
        <w:br/>
        <w:br/>
        <w:t>À bientôt,</w:t>
        <w:br/>
        <w:t>Farès Benamar</w:t>
        <w:br/>
        <w:t>Projet Les Rencontres de L’Enjeu</w:t>
      </w:r>
    </w:p>
    <w:p>
      <w:r>
        <w:t>Ce message est une proposition de texte. Aucun e-mail n’a été envoyé et aucune liste de destinataires n’est fournie.</w:t>
      </w:r>
    </w:p>
    <w:p>
      <w:r>
        <w:br w:type="page"/>
      </w:r>
    </w:p>
    <w:p>
      <w:pPr>
        <w:pStyle w:val="Heading1"/>
      </w:pPr>
      <w:r>
        <w:t>03 / Publications et relais</w:t>
      </w:r>
    </w:p>
    <w:p>
      <w:r>
        <w:t>Publication LinkedIn proposée</w:t>
      </w:r>
    </w:p>
    <w:p>
      <w:r>
        <w:t>Nous préparons Les Rencontres de L’Enjeu : un rendez-vous pour discuter de l’information à l’heure des réseaux sociaux et de l’IA.</w:t>
        <w:br/>
        <w:br/>
        <w:t>Une table ronde, des questions et un atelier pour repartir avec des repères concrets : d’où vient une information, sur quelles preuves repose-t-elle, dans quel contexte faut-il la lire ?</w:t>
        <w:br/>
        <w:br/>
        <w:t>Première édition envisagée en avril 2027, à Paris ou en Île-de-France. Accès prévu gratuit sur inscription. Date, lieu et intervenants à confirmer.</w:t>
        <w:br/>
        <w:br/>
        <w:t>Vous souhaitez recevoir les informations lors de l’ouverture ? Contact : contact.pro.faresb@gmail.com.</w:t>
      </w:r>
    </w:p>
    <w:p>
      <w:r>
        <w:t>Publication courte proposée</w:t>
      </w:r>
    </w:p>
    <w:p>
      <w:r>
        <w:t>Comprendre l’information. Questionner les sources. Prendre le temps d’échanger. Les Rencontres de L’Enjeu sont en préparation pour avril 2027. Une soirée gratuite, avec table ronde et atelier. Date et lieu à confirmer.</w:t>
      </w:r>
    </w:p>
    <w:p>
      <w:r>
        <w:t>Message de relais proposé</w:t>
      </w:r>
    </w:p>
    <w:p>
      <w:r>
        <w:t>Bonjour, nous concevons une rencontre publique autour de l’information, des réseaux sociaux et de l’IA, envisagée en avril 2027. Votre public pourrait être intéressé. Seriez-vous disponible pour un échange sur le format et un éventuel relais une fois les informations confirmées ? Cette prise de contact n’implique aucun partenariat acquis.</w:t>
      </w:r>
    </w:p>
    <w:p>
      <w:r>
        <w:br w:type="page"/>
      </w:r>
    </w:p>
    <w:p>
      <w:pPr>
        <w:pStyle w:val="Heading1"/>
      </w:pPr>
      <w:r>
        <w:t>04 / Rappel et messages après inscription</w:t>
      </w:r>
    </w:p>
    <w:p>
      <w:r>
        <w:t>Modèle de confirmation à utiliser seulement après ouverture effective</w:t>
      </w:r>
    </w:p>
    <w:p>
      <w:r>
        <w:t>Objet : Votre inscription aux Rencontres de L’Enjeu</w:t>
        <w:br/>
        <w:t>Bonjour, votre inscription est confirmée pour [date confirmée], de 18 h 30 à 21 h 30, à [lieu et adresse confirmés]. Retrouvez le programme et les accès sur [page validée]. Si vous ne pouvez plus venir, prévenez-nous à contact.pro.faresb@gmail.com. Pour un besoin d’accès particulier, vous pouvez également nous écrire.</w:t>
      </w:r>
    </w:p>
    <w:p>
      <w:r>
        <w:t>Rappel J-2 à adapter</w:t>
      </w:r>
    </w:p>
    <w:p>
      <w:r>
        <w:t>Nous avons rendez-vous dans deux jours pour Les Rencontres de L’Enjeu. Accueil dès 18 h 30 ; début des échanges à 19 h. Vérifiez le lieu, l’itinéraire et le programme dans votre confirmation. Un empêchement ? Un message permet de libérer votre place.</w:t>
      </w:r>
    </w:p>
    <w:p>
      <w:r>
        <w:t>Remerciement J+1 à utiliser seulement après réalisation</w:t>
      </w:r>
    </w:p>
    <w:p>
      <w:r>
        <w:t>Merci d’avoir participé aux Rencontres de L’Enjeu. Nous vous transmettons les ressources citées : [liens vérifiés]. Si vous le souhaitez, partagez votre retour dans [questionnaire actif]. Votre avis nous aidera à améliorer une éventuelle prochaine édition.</w:t>
      </w:r>
    </w:p>
    <w:p>
      <w:r>
        <w:t>Les champs entre crochets sont des informations manquantes à compléter ; les modèles ne doivent pas être diffusés ainsi.</w:t>
      </w:r>
    </w:p>
    <w:p>
      <w:r>
        <w:br w:type="page"/>
      </w:r>
    </w:p>
    <w:p>
      <w:pPr>
        <w:pStyle w:val="Heading1"/>
      </w:pPr>
      <w:r>
        <w:t>05 / Calendrier et indicateurs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02720"/>
          </w:tcPr>
          <w:p>
            <w:r>
              <w:rPr>
                <w:b/>
                <w:color w:val="FFFFFF"/>
              </w:rPr>
              <w:t>Moment</w:t>
            </w:r>
          </w:p>
        </w:tc>
        <w:tc>
          <w:tcPr>
            <w:tcW w:type="dxa" w:w="3400"/>
            <w:shd w:fill="202720"/>
          </w:tcPr>
          <w:p>
            <w:r>
              <w:rPr>
                <w:b/>
                <w:color w:val="FFFFFF"/>
              </w:rPr>
              <w:t>Support</w:t>
            </w:r>
          </w:p>
        </w:tc>
        <w:tc>
          <w:tcPr>
            <w:tcW w:type="dxa" w:w="3400"/>
            <w:shd w:fill="202720"/>
          </w:tcPr>
          <w:p>
            <w:r>
              <w:rPr>
                <w:b/>
                <w:color w:val="FFFFFF"/>
              </w:rPr>
              <w:t>But</w:t>
            </w:r>
          </w:p>
        </w:tc>
      </w:tr>
      <w:tr>
        <w:tc>
          <w:tcPr>
            <w:tcW w:type="dxa" w:w="3400"/>
          </w:tcPr>
          <w:p>
            <w:r>
              <w:t>Après validation, J-28</w:t>
            </w:r>
          </w:p>
        </w:tc>
        <w:tc>
          <w:tcPr>
            <w:tcW w:type="dxa" w:w="3400"/>
          </w:tcPr>
          <w:p>
            <w:r>
              <w:t>Page, invitation et annonce</w:t>
            </w:r>
          </w:p>
        </w:tc>
        <w:tc>
          <w:tcPr>
            <w:tcW w:type="dxa" w:w="3400"/>
          </w:tcPr>
          <w:p>
            <w:r>
              <w:t>Présenter une information complète et ouvrir les inscriptions</w:t>
            </w:r>
          </w:p>
        </w:tc>
      </w:tr>
      <w:tr>
        <w:tc>
          <w:tcPr>
            <w:tcW w:type="dxa" w:w="3400"/>
          </w:tcPr>
          <w:p>
            <w:r>
              <w:t>J-21</w:t>
            </w:r>
          </w:p>
        </w:tc>
        <w:tc>
          <w:tcPr>
            <w:tcW w:type="dxa" w:w="3400"/>
          </w:tcPr>
          <w:p>
            <w:r>
              <w:t>Publication et relais ciblés</w:t>
            </w:r>
          </w:p>
        </w:tc>
        <w:tc>
          <w:tcPr>
            <w:tcW w:type="dxa" w:w="3400"/>
          </w:tcPr>
          <w:p>
            <w:r>
              <w:t>Faire connaître le rendez-vous auprès des publics concernés</w:t>
            </w:r>
          </w:p>
        </w:tc>
      </w:tr>
      <w:tr>
        <w:tc>
          <w:tcPr>
            <w:tcW w:type="dxa" w:w="3400"/>
          </w:tcPr>
          <w:p>
            <w:r>
              <w:t>J-14</w:t>
            </w:r>
          </w:p>
        </w:tc>
        <w:tc>
          <w:tcPr>
            <w:tcW w:type="dxa" w:w="3400"/>
          </w:tcPr>
          <w:p>
            <w:r>
              <w:t>Programme et angle éditorial</w:t>
            </w:r>
          </w:p>
        </w:tc>
        <w:tc>
          <w:tcPr>
            <w:tcW w:type="dxa" w:w="3400"/>
          </w:tcPr>
          <w:p>
            <w:r>
              <w:t>Expliquer ce que les participants pourront découvrir</w:t>
            </w:r>
          </w:p>
        </w:tc>
      </w:tr>
      <w:tr>
        <w:tc>
          <w:tcPr>
            <w:tcW w:type="dxa" w:w="3400"/>
          </w:tcPr>
          <w:p>
            <w:r>
              <w:t>J-7</w:t>
            </w:r>
          </w:p>
        </w:tc>
        <w:tc>
          <w:tcPr>
            <w:tcW w:type="dxa" w:w="3400"/>
          </w:tcPr>
          <w:p>
            <w:r>
              <w:t>Informations pratiques</w:t>
            </w:r>
          </w:p>
        </w:tc>
        <w:tc>
          <w:tcPr>
            <w:tcW w:type="dxa" w:w="3400"/>
          </w:tcPr>
          <w:p>
            <w:r>
              <w:t>Réduire les questions d’accès et d’organisation</w:t>
            </w:r>
          </w:p>
        </w:tc>
      </w:tr>
      <w:tr>
        <w:tc>
          <w:tcPr>
            <w:tcW w:type="dxa" w:w="3400"/>
          </w:tcPr>
          <w:p>
            <w:r>
              <w:t>J-2</w:t>
            </w:r>
          </w:p>
        </w:tc>
        <w:tc>
          <w:tcPr>
            <w:tcW w:type="dxa" w:w="3400"/>
          </w:tcPr>
          <w:p>
            <w:r>
              <w:t>Rappel aux inscrits</w:t>
            </w:r>
          </w:p>
        </w:tc>
        <w:tc>
          <w:tcPr>
            <w:tcW w:type="dxa" w:w="3400"/>
          </w:tcPr>
          <w:p>
            <w:r>
              <w:t>Confirmer la présence et libérer les places inutilisées</w:t>
            </w:r>
          </w:p>
        </w:tc>
      </w:tr>
      <w:tr>
        <w:tc>
          <w:tcPr>
            <w:tcW w:type="dxa" w:w="3400"/>
          </w:tcPr>
          <w:p>
            <w:r>
              <w:t>J+1</w:t>
            </w:r>
          </w:p>
        </w:tc>
        <w:tc>
          <w:tcPr>
            <w:tcW w:type="dxa" w:w="3400"/>
          </w:tcPr>
          <w:p>
            <w:r>
              <w:t>Remerciement et ressources</w:t>
            </w:r>
          </w:p>
        </w:tc>
        <w:tc>
          <w:tcPr>
            <w:tcW w:type="dxa" w:w="3400"/>
          </w:tcPr>
          <w:p>
            <w:r>
              <w:t>Prolonger les échanges</w:t>
            </w:r>
          </w:p>
        </w:tc>
      </w:tr>
      <w:tr>
        <w:tc>
          <w:tcPr>
            <w:tcW w:type="dxa" w:w="3400"/>
          </w:tcPr>
          <w:p>
            <w:r>
              <w:t>J+7</w:t>
            </w:r>
          </w:p>
        </w:tc>
        <w:tc>
          <w:tcPr>
            <w:tcW w:type="dxa" w:w="3400"/>
          </w:tcPr>
          <w:p>
            <w:r>
              <w:t>Bilan factuel</w:t>
            </w:r>
          </w:p>
        </w:tc>
        <w:tc>
          <w:tcPr>
            <w:tcW w:type="dxa" w:w="3400"/>
          </w:tcPr>
          <w:p>
            <w:r>
              <w:t>Évaluer les objectifs et décider des suites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02720"/>
          </w:tcPr>
          <w:p>
            <w:r>
              <w:rPr>
                <w:b/>
                <w:color w:val="FFFFFF"/>
              </w:rPr>
              <w:t>Indicateur prévu</w:t>
            </w:r>
          </w:p>
        </w:tc>
        <w:tc>
          <w:tcPr>
            <w:tcW w:type="dxa" w:w="5100"/>
            <w:shd w:fill="202720"/>
          </w:tcPr>
          <w:p>
            <w:r>
              <w:rPr>
                <w:b/>
                <w:color w:val="FFFFFF"/>
              </w:rPr>
              <w:t>Calcul / précaution</w:t>
            </w:r>
          </w:p>
        </w:tc>
      </w:tr>
      <w:tr>
        <w:tc>
          <w:tcPr>
            <w:tcW w:type="dxa" w:w="5100"/>
          </w:tcPr>
          <w:p>
            <w:r>
              <w:t>Inscriptions par source</w:t>
            </w:r>
          </w:p>
        </w:tc>
        <w:tc>
          <w:tcPr>
            <w:tcW w:type="dxa" w:w="5100"/>
          </w:tcPr>
          <w:p>
            <w:r>
              <w:t>Formulaire : source facultative ou liens de campagne, sans déductions inventées</w:t>
            </w:r>
          </w:p>
        </w:tc>
      </w:tr>
      <w:tr>
        <w:tc>
          <w:tcPr>
            <w:tcW w:type="dxa" w:w="5100"/>
          </w:tcPr>
          <w:p>
            <w:r>
              <w:t>Taux de présence</w:t>
            </w:r>
          </w:p>
        </w:tc>
        <w:tc>
          <w:tcPr>
            <w:tcW w:type="dxa" w:w="5100"/>
          </w:tcPr>
          <w:p>
            <w:r>
              <w:t>Entrées uniques / inscriptions confirmées × 100</w:t>
            </w:r>
          </w:p>
        </w:tc>
      </w:tr>
      <w:tr>
        <w:tc>
          <w:tcPr>
            <w:tcW w:type="dxa" w:w="5100"/>
          </w:tcPr>
          <w:p>
            <w:r>
              <w:t>Taux de réponse au questionnaire</w:t>
            </w:r>
          </w:p>
        </w:tc>
        <w:tc>
          <w:tcPr>
            <w:tcW w:type="dxa" w:w="5100"/>
          </w:tcPr>
          <w:p>
            <w:r>
              <w:t>Réponses / participants contactés × 100</w:t>
            </w:r>
          </w:p>
        </w:tc>
      </w:tr>
      <w:tr>
        <w:tc>
          <w:tcPr>
            <w:tcW w:type="dxa" w:w="5100"/>
          </w:tcPr>
          <w:p>
            <w:r>
              <w:t>Utilité perçue</w:t>
            </w:r>
          </w:p>
        </w:tc>
        <w:tc>
          <w:tcPr>
            <w:tcW w:type="dxa" w:w="5100"/>
          </w:tcPr>
          <w:p>
            <w:r>
              <w:t>Distribution des réponses ; ne pas présenter une cible comme un résultat</w:t>
            </w:r>
          </w:p>
        </w:tc>
      </w:tr>
      <w:tr>
        <w:tc>
          <w:tcPr>
            <w:tcW w:type="dxa" w:w="5100"/>
          </w:tcPr>
          <w:p>
            <w:r>
              <w:t>Écart budgétaire</w:t>
            </w:r>
          </w:p>
        </w:tc>
        <w:tc>
          <w:tcPr>
            <w:tcW w:type="dxa" w:w="5100"/>
          </w:tcPr>
          <w:p>
            <w:r>
              <w:t>Dépenses réelles - prévisionnel, avec les mêmes postes</w:t>
            </w:r>
          </w:p>
        </w:tc>
      </w:tr>
    </w:tbl>
    <w:p/>
    <w:p>
      <w:r>
        <w:t>Le classeur contient les champs et les formules ; les cellules de résultats restent vides tant que les données n’existent pas.</w:t>
      </w:r>
    </w:p>
    <w:p>
      <w:r>
        <w:br w:type="page"/>
      </w:r>
    </w:p>
    <w:p>
      <w:pPr>
        <w:pStyle w:val="Heading1"/>
      </w:pPr>
      <w:r>
        <w:t>06 / Direction graphique et supports</w:t>
      </w:r>
    </w:p>
    <w:p>
      <w:r>
        <w:t>Palette : ivoire, encre et or, inspirée de l’identité du média. Typographie éditoriale pour les titres et caractères sans empattement pour les informations pratiques. Maintenir un contraste suffisant et une hiérarchie courte : nom, sujet, période, format, statut.</w:t>
      </w:r>
    </w:p>
    <w:p>
      <w:pPr>
        <w:pStyle w:val="ListBullet"/>
      </w:pPr>
      <w:r>
        <w:t>Affiche A3 : annonce du concept et de la période envisagée ; aucune fausse adresse ni aucun intervenant fictif.</w:t>
      </w:r>
    </w:p>
    <w:p>
      <w:pPr>
        <w:pStyle w:val="ListBullet"/>
      </w:pPr>
      <w:r>
        <w:t>Invitation A5 : format et modalités prévues, avec contact de conception.</w:t>
      </w:r>
    </w:p>
    <w:p>
      <w:pPr>
        <w:pStyle w:val="ListBullet"/>
      </w:pPr>
      <w:r>
        <w:t>Programme A4 : séquences horaires de la soirée, sans noms non confirmés.</w:t>
      </w:r>
    </w:p>
    <w:p>
      <w:pPr>
        <w:pStyle w:val="ListBullet"/>
      </w:pPr>
      <w:r>
        <w:t>Page de présentation HTML : aperçu du rendez-vous, programme et contact ; aucun formulaire actif ni collecte de données.</w:t>
      </w:r>
    </w:p>
    <w:p>
      <w:r>
        <w:t>Les supports sont des productions de conception destinées au portfolio. Adapter les mentions provisoires après validation, sans attribuer une réalisation effective à cet exercice.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Projet de conception · Avril 2027 envisagé · V1.0 · Farès Benamar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L’Enjeu · Les Rencontres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9268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9268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2027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Rencontres de L’Enjeu | Kit de communication</dc:title>
  <dc:subject>Projet personnel de conception · Événement en préparation</dc:subject>
  <dc:creator>Farès Benamar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