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SC" w:hAnsi="Noto Sans CJK SC" w:eastAsia="Noto Sans CJK SC"/>
          <w:b/>
          <w:color w:val="071A44"/>
          <w:sz w:val="48"/>
        </w:rPr>
        <w:t>AgentFlow 两套产品方案</w:t>
      </w:r>
    </w:p>
    <w:p>
      <w:pPr>
        <w:jc w:val="center"/>
      </w:pPr>
      <w:r>
        <w:rPr>
          <w:rFonts w:ascii="Noto Sans CJK SC" w:hAnsi="Noto Sans CJK SC" w:eastAsia="Noto Sans CJK SC"/>
          <w:color w:val="667085"/>
          <w:sz w:val="22"/>
        </w:rPr>
        <w:t>方案 A 为推荐商业路线；方案 B 为轻量市场路线，用于参赛或早期验证的对照方案。</w:t>
      </w:r>
    </w:p>
    <w:p/>
    <w:p>
      <w:pPr>
        <w:pStyle w:val="Heading1"/>
      </w:pPr>
      <w:r>
        <w:t>一、统一后的核心判断</w:t>
      </w:r>
    </w:p>
    <w:p>
      <w:r>
        <w:t>AgentFlow 不应被定义为传统众包平台，也不应被定义为 Token 变现平台。它更适合被定义为“AI 驱动的托管式数字交付网络”：用户购买标准化数字服务包，平台通过 Agent 自动生成并托管结果，由认证 AI Operator 进行质检和复杂修改兜底。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前台价值：不会用 AI 的普通用户和小微商家，可以获得可持续使用的数字化成果。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后台引擎：会用 AI 的 Operator 借助 AgentFlow 工作流完成平台任务并获得收入。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平台资产：行业模板、组件库、交付 SOP、质检规则、托管环境和认证 Operator 网络。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核心避坑：不做低价 C2C 接单平台，不做一次性源码交付，不幻想靠低质量修补数据训练超级 Agent。</w:t>
      </w:r>
    </w:p>
    <w:p>
      <w:pPr>
        <w:pStyle w:val="Heading1"/>
      </w:pPr>
      <w:r>
        <w:t>二、方案 A：托管式数字交付平台（推荐）</w:t>
      </w:r>
    </w:p>
    <w:p>
      <w:r>
        <w:t>方案 A 是推荐主路线。它把 AgentFlow 设计为“标准服务包 + Agent 自动生成 + 平台托管 + Operator 兜底”的交付网络，重点解决运维、售后、仲裁和供给端流失问题。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160"/>
            <w:vAlign w:val="center"/>
            <w:shd w:fill="071A44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8208"/>
            <w:vAlign w:val="center"/>
            <w:shd w:fill="071A44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定位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AI 驱动的托管式数字交付网络</w:t>
            </w:r>
          </w:p>
        </w:tc>
      </w:tr>
      <w:tr>
        <w:tc>
          <w:tcPr>
            <w:tcW w:type="dxa" w:w="2160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目标用户</w:t>
            </w:r>
          </w:p>
        </w:tc>
        <w:tc>
          <w:tcPr>
            <w:tcW w:type="dxa" w:w="8208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小微商家、传统行业个体户、职场用户、自由职业者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核心服务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门店营销页、活动报名页、商品介绍页、轻量表单页、文档/表格服务包</w:t>
            </w:r>
          </w:p>
        </w:tc>
      </w:tr>
      <w:tr>
        <w:tc>
          <w:tcPr>
            <w:tcW w:type="dxa" w:w="2160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交付方式</w:t>
            </w:r>
          </w:p>
        </w:tc>
        <w:tc>
          <w:tcPr>
            <w:tcW w:type="dxa" w:w="8208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平台托管，不直接交付难以维护的源码；提供在线链接和自助编辑后台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Operator 角色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后台质检和复杂修改，不直接面对小白用户</w:t>
            </w:r>
          </w:p>
        </w:tc>
      </w:tr>
      <w:tr>
        <w:tc>
          <w:tcPr>
            <w:tcW w:type="dxa" w:w="2160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收入模式</w:t>
            </w:r>
          </w:p>
        </w:tc>
        <w:tc>
          <w:tcPr>
            <w:tcW w:type="dxa" w:w="8208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服务包收费、年度维护费、加急费、超范围修改费、行业批量包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核心优势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控制交付边界，降低售后成本，形成模板/组件/SOP 飞轮</w:t>
            </w:r>
          </w:p>
        </w:tc>
      </w:tr>
      <w:tr>
        <w:tc>
          <w:tcPr>
            <w:tcW w:type="dxa" w:w="2160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主要风险</w:t>
            </w:r>
          </w:p>
        </w:tc>
        <w:tc>
          <w:tcPr>
            <w:tcW w:type="dxa" w:w="8208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需要建设托管平台与服务 SOP，早期需要平台自营交付能力</w:t>
            </w:r>
          </w:p>
        </w:tc>
      </w:tr>
    </w:tbl>
    <w:p/>
    <w:p>
      <w:pPr>
        <w:pStyle w:val="Heading2"/>
      </w:pPr>
      <w:r>
        <w:t>方案 A 核心流程</w:t>
      </w:r>
    </w:p>
    <w:p>
      <w:pPr>
        <w:pStyle w:val="ListNumber"/>
      </w:pPr>
      <w:r>
        <w:rPr>
          <w:rFonts w:ascii="Noto Sans CJK SC" w:hAnsi="Noto Sans CJK SC" w:eastAsia="Noto Sans CJK SC"/>
          <w:sz w:val="20"/>
        </w:rPr>
        <w:t>用户选择标准服务包，例如“小商家基础托管版”。</w:t>
      </w:r>
    </w:p>
    <w:p>
      <w:pPr>
        <w:pStyle w:val="ListNumber"/>
      </w:pPr>
      <w:r>
        <w:rPr>
          <w:rFonts w:ascii="Noto Sans CJK SC" w:hAnsi="Noto Sans CJK SC" w:eastAsia="Noto Sans CJK SC"/>
          <w:sz w:val="20"/>
        </w:rPr>
        <w:t>用户通过表单提交结构化需求：行业、素材、地址、联系方式、风格、是否需要表单。</w:t>
      </w:r>
    </w:p>
    <w:p>
      <w:pPr>
        <w:pStyle w:val="ListNumber"/>
      </w:pPr>
      <w:r>
        <w:rPr>
          <w:rFonts w:ascii="Noto Sans CJK SC" w:hAnsi="Noto Sans CJK SC" w:eastAsia="Noto Sans CJK SC"/>
          <w:sz w:val="20"/>
        </w:rPr>
        <w:t>平台生成 TaskSpec，并交给 Agent 自动生成初稿。</w:t>
      </w:r>
    </w:p>
    <w:p>
      <w:pPr>
        <w:pStyle w:val="ListNumber"/>
      </w:pPr>
      <w:r>
        <w:rPr>
          <w:rFonts w:ascii="Noto Sans CJK SC" w:hAnsi="Noto Sans CJK SC" w:eastAsia="Noto Sans CJK SC"/>
          <w:sz w:val="20"/>
        </w:rPr>
        <w:t>自动质检规则检查信息完整性、移动端适配、链接可用性和交付边界。</w:t>
      </w:r>
    </w:p>
    <w:p>
      <w:pPr>
        <w:pStyle w:val="ListNumber"/>
      </w:pPr>
      <w:r>
        <w:rPr>
          <w:rFonts w:ascii="Noto Sans CJK SC" w:hAnsi="Noto Sans CJK SC" w:eastAsia="Noto Sans CJK SC"/>
          <w:sz w:val="20"/>
        </w:rPr>
        <w:t>认证 AI Operator 在后台处理异常、修复问题、确认交付质量。</w:t>
      </w:r>
    </w:p>
    <w:p>
      <w:pPr>
        <w:pStyle w:val="ListNumber"/>
      </w:pPr>
      <w:r>
        <w:rPr>
          <w:rFonts w:ascii="Noto Sans CJK SC" w:hAnsi="Noto Sans CJK SC" w:eastAsia="Noto Sans CJK SC"/>
          <w:sz w:val="20"/>
        </w:rPr>
        <w:t>结果发布到 AgentFlow 托管环境，用户获得在线链接和可编辑后台。</w:t>
      </w:r>
    </w:p>
    <w:p>
      <w:pPr>
        <w:pStyle w:val="ListNumber"/>
      </w:pPr>
      <w:r>
        <w:rPr>
          <w:rFonts w:ascii="Noto Sans CJK SC" w:hAnsi="Noto Sans CJK SC" w:eastAsia="Noto Sans CJK SC"/>
          <w:sz w:val="20"/>
        </w:rPr>
        <w:t>后续小修改自助完成，复杂修改触发追加报价或维护套餐。</w:t>
      </w:r>
    </w:p>
    <w:p>
      <w:pPr>
        <w:pStyle w:val="Heading2"/>
      </w:pPr>
      <w:r>
        <w:t>方案 A 定价建议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160"/>
            <w:vAlign w:val="center"/>
            <w:shd w:fill="071A44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套餐</w:t>
            </w:r>
          </w:p>
        </w:tc>
        <w:tc>
          <w:tcPr>
            <w:tcW w:type="dxa" w:w="1728"/>
            <w:vAlign w:val="center"/>
            <w:shd w:fill="071A44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价格</w:t>
            </w:r>
          </w:p>
        </w:tc>
        <w:tc>
          <w:tcPr>
            <w:tcW w:type="dxa" w:w="6480"/>
            <w:vAlign w:val="center"/>
            <w:shd w:fill="071A44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内容与边界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AI 自动体验版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59-99 元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AI 自动生成，托管 7 天，无人工精修，用于引流和验证需求</w:t>
            </w:r>
          </w:p>
        </w:tc>
      </w:tr>
      <w:tr>
        <w:tc>
          <w:tcPr>
            <w:tcW w:type="dxa" w:w="2160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基础托管版</w:t>
            </w:r>
          </w:p>
        </w:tc>
        <w:tc>
          <w:tcPr>
            <w:tcW w:type="dxa" w:w="1728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299 元</w:t>
            </w:r>
          </w:p>
        </w:tc>
        <w:tc>
          <w:tcPr>
            <w:tcW w:type="dxa" w:w="6480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页面 + 文案 + 托管 + 1 次人工检查，适合门店宣传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标准增长版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599 元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页面 + 表单 + 部署 + 素材整理 + 2 次修改，适合活动获客</w:t>
            </w:r>
          </w:p>
        </w:tc>
      </w:tr>
      <w:tr>
        <w:tc>
          <w:tcPr>
            <w:tcW w:type="dxa" w:w="2160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年度维护版</w:t>
            </w:r>
          </w:p>
        </w:tc>
        <w:tc>
          <w:tcPr>
            <w:tcW w:type="dxa" w:w="1728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999 元/年</w:t>
            </w:r>
          </w:p>
        </w:tc>
        <w:tc>
          <w:tcPr>
            <w:tcW w:type="dxa" w:w="6480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页面托管 + 每月小改 + 基础客服，解决长期维护问题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行业批量版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1999 元起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多页面/多门店/多商品批量生成，适合小 B 场景</w:t>
            </w:r>
          </w:p>
        </w:tc>
      </w:tr>
    </w:tbl>
    <w:p/>
    <w:p>
      <w:pPr>
        <w:pStyle w:val="Heading1"/>
      </w:pPr>
      <w:r>
        <w:t>三、方案 B：轻量任务市场（备用/参赛验证）</w:t>
      </w:r>
    </w:p>
    <w:p>
      <w:r>
        <w:t>方案 B 更接近最初设想：普通用户发布任务，AI Operator 通过 CLI/Skill 接单交付。它更适合做概念展示或早期供需验证，但商业风险更高。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160"/>
            <w:vAlign w:val="center"/>
            <w:shd w:fill="071A44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8208"/>
            <w:vAlign w:val="center"/>
            <w:shd w:fill="071A44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定位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AI Operator 任务撮合市场</w:t>
            </w:r>
          </w:p>
        </w:tc>
      </w:tr>
      <w:tr>
        <w:tc>
          <w:tcPr>
            <w:tcW w:type="dxa" w:w="2160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目标用户</w:t>
            </w:r>
          </w:p>
        </w:tc>
        <w:tc>
          <w:tcPr>
            <w:tcW w:type="dxa" w:w="8208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普通需求方 + 会用 TRAE/Cursor/Codex/Claude Code 的执行者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核心服务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网页、PPT、Excel、简历、轻量工具等标准化小任务</w:t>
            </w:r>
          </w:p>
        </w:tc>
      </w:tr>
      <w:tr>
        <w:tc>
          <w:tcPr>
            <w:tcW w:type="dxa" w:w="2160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交付方式</w:t>
            </w:r>
          </w:p>
        </w:tc>
        <w:tc>
          <w:tcPr>
            <w:tcW w:type="dxa" w:w="8208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任务方验收，平台担保结算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Operator 角色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通过 CLI/Skill 领取任务，调用自己的 Agent 完成任务</w:t>
            </w:r>
          </w:p>
        </w:tc>
      </w:tr>
      <w:tr>
        <w:tc>
          <w:tcPr>
            <w:tcW w:type="dxa" w:w="2160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收入模式</w:t>
            </w:r>
          </w:p>
        </w:tc>
        <w:tc>
          <w:tcPr>
            <w:tcW w:type="dxa" w:w="8208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任务佣金 10%-20%、增值工具、认证服务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优势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参赛叙事清晰，强调“让会用 AI 的人挣钱”</w:t>
            </w:r>
          </w:p>
        </w:tc>
      </w:tr>
      <w:tr>
        <w:tc>
          <w:tcPr>
            <w:tcW w:type="dxa" w:w="2160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风险</w:t>
            </w:r>
          </w:p>
        </w:tc>
        <w:tc>
          <w:tcPr>
            <w:tcW w:type="dxa" w:w="8208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低客单价无法覆盖仲裁/售后，Operator 容易流失，需求容易失控</w:t>
            </w:r>
          </w:p>
        </w:tc>
      </w:tr>
    </w:tbl>
    <w:p/>
    <w:p>
      <w:pPr>
        <w:pStyle w:val="Heading1"/>
      </w:pPr>
      <w:r>
        <w:t>四、两套方案对比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1872"/>
            <w:vAlign w:val="center"/>
            <w:shd w:fill="071A44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维度</w:t>
            </w:r>
          </w:p>
        </w:tc>
        <w:tc>
          <w:tcPr>
            <w:tcW w:type="dxa" w:w="4320"/>
            <w:vAlign w:val="center"/>
            <w:shd w:fill="071A44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方案 A：托管式交付平台</w:t>
            </w:r>
          </w:p>
        </w:tc>
        <w:tc>
          <w:tcPr>
            <w:tcW w:type="dxa" w:w="4320"/>
            <w:vAlign w:val="center"/>
            <w:shd w:fill="071A44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方案 B：轻量任务市场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商业可行性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较高：服务包定价覆盖质检和维护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较低：低价任务抽成难以覆盖纠纷成本</w:t>
            </w:r>
          </w:p>
        </w:tc>
      </w:tr>
      <w:tr>
        <w:tc>
          <w:tcPr>
            <w:tcW w:type="dxa" w:w="1872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用户体验</w:t>
            </w:r>
          </w:p>
        </w:tc>
        <w:tc>
          <w:tcPr>
            <w:tcW w:type="dxa" w:w="4320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用户买结果，前台简单</w:t>
            </w:r>
          </w:p>
        </w:tc>
        <w:tc>
          <w:tcPr>
            <w:tcW w:type="dxa" w:w="4320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用户可能感知接单和沟通流程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Operator 体验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后台处理规格化任务，少面对小白用户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容易被售后和沟通消耗</w:t>
            </w:r>
          </w:p>
        </w:tc>
      </w:tr>
      <w:tr>
        <w:tc>
          <w:tcPr>
            <w:tcW w:type="dxa" w:w="1872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技术难度</w:t>
            </w:r>
          </w:p>
        </w:tc>
        <w:tc>
          <w:tcPr>
            <w:tcW w:type="dxa" w:w="4320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需要托管、编辑后台、服务包系统</w:t>
            </w:r>
          </w:p>
        </w:tc>
        <w:tc>
          <w:tcPr>
            <w:tcW w:type="dxa" w:w="4320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MVP 技术更轻，但后续运营重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参赛表现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更商业化，更稳健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更贴近“Agent 帮人挣钱”的原始创意</w:t>
            </w:r>
          </w:p>
        </w:tc>
      </w:tr>
      <w:tr>
        <w:tc>
          <w:tcPr>
            <w:tcW w:type="dxa" w:w="1872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推荐结论</w:t>
            </w:r>
          </w:p>
        </w:tc>
        <w:tc>
          <w:tcPr>
            <w:tcW w:type="dxa" w:w="4320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主路线</w:t>
            </w:r>
          </w:p>
        </w:tc>
        <w:tc>
          <w:tcPr>
            <w:tcW w:type="dxa" w:w="4320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保留为故事线/供给侧模块</w:t>
            </w:r>
          </w:p>
        </w:tc>
      </w:tr>
    </w:tbl>
    <w:p/>
    <w:p>
      <w:pPr>
        <w:pStyle w:val="Heading1"/>
      </w:pPr>
      <w:r>
        <w:t>五、最终建议</w:t>
      </w:r>
    </w:p>
    <w:p>
      <w:r>
        <w:t>建议以方案 A 作为正式产品方向，以方案 B 作为供给侧机制和参赛叙事的一部分。对外主打“AI 托管式数字交付”，对内保留“AI Operator 通过 Agent 工作流赚钱”的供给侧飞轮。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71A44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85CFF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