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71A44"/>
          <w:sz w:val="48"/>
        </w:rPr>
        <w:t>AgentFlow PRD 与原型说明</w:t>
      </w:r>
    </w:p>
    <w:p>
      <w:pPr>
        <w:jc w:val="center"/>
      </w:pPr>
      <w:r>
        <w:rPr>
          <w:rFonts w:ascii="Noto Sans CJK SC" w:hAnsi="Noto Sans CJK SC" w:eastAsia="Noto Sans CJK SC"/>
          <w:color w:val="667085"/>
          <w:sz w:val="22"/>
        </w:rPr>
        <w:t>MVP：小微商家 AI 托管营销页服务。包含需求方前台、Operator 后台、CLI/Skill 和托管管理后台。</w:t>
      </w:r>
    </w:p>
    <w:p/>
    <w:p>
      <w:pPr>
        <w:pStyle w:val="Heading1"/>
      </w:pPr>
      <w:r>
        <w:t>一、产品概述</w:t>
      </w:r>
    </w:p>
    <w:p>
      <w:r>
        <w:t>AgentFlow MVP 聚焦“小微商家手机端宣传页托管服务”。用户购买服务包并填写结构化需求，平台生成 TaskSpec，Agent 自动生成落地页、文案和表单，认证 AI Operator 完成质检与修复，最终发布到 AgentFlow 托管环境，并提供可编辑信息后台。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352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产品名称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AgentFlow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产品定位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驱动的托管式数字交付网络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场景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小商家手机端宣传页 / 活动页 / 表单页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核心用户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需求方：小微商家；供给方：认证 AI Operator；平台：运营/质检管理员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核心价值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用户买到可持续使用的数字成果；Operator 通过标准化 Agent 工作流获得收入；平台沉淀模板、组件和质检规则</w:t>
            </w:r>
          </w:p>
        </w:tc>
      </w:tr>
    </w:tbl>
    <w:p/>
    <w:p>
      <w:pPr>
        <w:pStyle w:val="Heading1"/>
      </w:pPr>
      <w:r>
        <w:t>二、用户角色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8208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需求方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购买服务包、填写需求、查看进度、确认交付、自助修改信息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Operator</w:t>
            </w:r>
          </w:p>
        </w:tc>
        <w:tc>
          <w:tcPr>
            <w:tcW w:type="dxa" w:w="82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领取平台结构化任务、使用 CLI/Skill 执行、质检修复、提交交付物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平台运营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配置服务包、维护行业模板、处理超范围需求、管理订单与结算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质检管理员</w:t>
            </w:r>
          </w:p>
        </w:tc>
        <w:tc>
          <w:tcPr>
            <w:tcW w:type="dxa" w:w="82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制定质检规则、抽检结果、处理异常订单与争议</w:t>
            </w:r>
          </w:p>
        </w:tc>
      </w:tr>
    </w:tbl>
    <w:p/>
    <w:p>
      <w:pPr>
        <w:pStyle w:val="Heading1"/>
      </w:pPr>
      <w:r>
        <w:t>三、MVP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6912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152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服务包选择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展示体验版、基础托管版、标准增长版、年度维护版，明确包含内容与不包含内容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结构化需求表单</w:t>
            </w:r>
          </w:p>
        </w:tc>
        <w:tc>
          <w:tcPr>
            <w:tcW w:type="dxa" w:w="691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按行业和服务类型采集店名、地址、联系方式、素材、风格、表单需求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订单进度页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展示需求提交、Agent 生成、自动质检、Operator 兜底、发布托管、用户确认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成品预览页</w:t>
            </w:r>
          </w:p>
        </w:tc>
        <w:tc>
          <w:tcPr>
            <w:tcW w:type="dxa" w:w="691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展示手机端宣传页预览、在线链接、交付清单、质检结果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可编辑后台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允许需求方自助修改电话、营业时间、地址、菜单价格、图片等基础信息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Operator 工作台</w:t>
            </w:r>
          </w:p>
        </w:tc>
        <w:tc>
          <w:tcPr>
            <w:tcW w:type="dxa" w:w="691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任务队列、Agent 执行计划、质检清单、提交/退回操作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CLI/Skill 模拟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提供命令行或 Skill 流程，用于演示 AI Operator 如何执行平台任务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支付/真实结算</w:t>
            </w:r>
          </w:p>
        </w:tc>
        <w:tc>
          <w:tcPr>
            <w:tcW w:type="dxa" w:w="691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可模拟，后续接入真实支付和分账</w:t>
            </w:r>
          </w:p>
        </w:tc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</w:tr>
    </w:tbl>
    <w:p/>
    <w:p>
      <w:pPr>
        <w:pStyle w:val="Heading1"/>
      </w:pPr>
      <w:r>
        <w:t>四、核心用户流程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需求方进入首页，理解 AgentFlow 是“买结果”的托管式数字交付服务。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需求方选择服务包，例如基础托管版 299 元。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需求方填写结构化表单，平台生成 TaskSpec。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平台 Agent 自动生成页面、文案、表单和预览链接。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自动质检规则运行，发现问题则进入 Operator 工作台。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Operator 使用 CLI/Skill 读取任务、修复问题、确认交付。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结果发布到托管环境，用户查看预览和可编辑后台。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用户确认交付；后续小修改自助完成，复杂修改发起追加需求。</w:t>
      </w:r>
    </w:p>
    <w:p>
      <w:pPr>
        <w:pStyle w:val="Heading1"/>
      </w:pPr>
      <w:r>
        <w:t>五、页面与原型清单</w:t>
      </w:r>
    </w:p>
    <w:p>
      <w:pPr>
        <w:pStyle w:val="Heading2"/>
      </w:pPr>
      <w:r>
        <w:t>首页/产品入口：强调托管交付和双入口</w:t>
      </w:r>
    </w:p>
    <w:p>
      <w:r>
        <w:t>首页/产品入口：强调托管交付和双入口</w:t>
      </w:r>
    </w:p>
    <w:p>
      <w:r>
        <w:drawing>
          <wp:inline xmlns:a="http://schemas.openxmlformats.org/drawingml/2006/main" xmlns:pic="http://schemas.openxmlformats.org/drawingml/2006/picture">
            <wp:extent cx="6309360" cy="4293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entry_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服务包选择：从低价任务改为标准服务包</w:t>
      </w:r>
    </w:p>
    <w:p>
      <w:r>
        <w:t>服务包选择：从低价任务改为标准服务包</w:t>
      </w:r>
    </w:p>
    <w:p>
      <w:r>
        <w:drawing>
          <wp:inline xmlns:a="http://schemas.openxmlformats.org/drawingml/2006/main" xmlns:pic="http://schemas.openxmlformats.org/drawingml/2006/picture">
            <wp:extent cx="6309360" cy="4293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rvice_packages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需求填写：分步结构化与 TaskSpec 预览</w:t>
      </w:r>
    </w:p>
    <w:p>
      <w:r>
        <w:t>需求填写：分步结构化与 TaskSpec 预览</w:t>
      </w:r>
    </w:p>
    <w:p>
      <w:r>
        <w:drawing>
          <wp:inline xmlns:a="http://schemas.openxmlformats.org/drawingml/2006/main" xmlns:pic="http://schemas.openxmlformats.org/drawingml/2006/picture">
            <wp:extent cx="6309360" cy="4293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quirement_form_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订单进度：用户可理解的交付状态</w:t>
      </w:r>
    </w:p>
    <w:p>
      <w:r>
        <w:t>订单进度：用户可理解的交付状态</w:t>
      </w:r>
    </w:p>
    <w:p>
      <w:r>
        <w:drawing>
          <wp:inline xmlns:a="http://schemas.openxmlformats.org/drawingml/2006/main" xmlns:pic="http://schemas.openxmlformats.org/drawingml/2006/picture">
            <wp:extent cx="6309360" cy="42938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der_progress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成品预览与管理后台：解决运维幽灵</w:t>
      </w:r>
    </w:p>
    <w:p>
      <w:r>
        <w:t>成品预览与管理后台：解决运维幽灵</w:t>
      </w:r>
    </w:p>
    <w:p>
      <w:r>
        <w:drawing>
          <wp:inline xmlns:a="http://schemas.openxmlformats.org/drawingml/2006/main" xmlns:pic="http://schemas.openxmlformats.org/drawingml/2006/picture">
            <wp:extent cx="6309360" cy="42938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livery_preview_admin_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Operator 工作台：结构化任务与质检清单</w:t>
      </w:r>
    </w:p>
    <w:p>
      <w:r>
        <w:t>Operator 工作台：结构化任务与质检清单</w:t>
      </w:r>
    </w:p>
    <w:p>
      <w:r>
        <w:drawing>
          <wp:inline xmlns:a="http://schemas.openxmlformats.org/drawingml/2006/main" xmlns:pic="http://schemas.openxmlformats.org/drawingml/2006/picture">
            <wp:extent cx="6309360" cy="4293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perator_workbench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CLI/Skill 后台工具：降低 Operator 交付成本</w:t>
      </w:r>
    </w:p>
    <w:p>
      <w:r>
        <w:t>CLI/Skill 后台工具：降低 Operator 交付成本</w:t>
      </w:r>
    </w:p>
    <w:p>
      <w:r>
        <w:drawing>
          <wp:inline xmlns:a="http://schemas.openxmlformats.org/drawingml/2006/main" xmlns:pic="http://schemas.openxmlformats.org/drawingml/2006/picture">
            <wp:extent cx="6309360" cy="42938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i_skill_af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UE 修复说明：旧版风险与优化后方案</w:t>
      </w:r>
    </w:p>
    <w:p>
      <w:r>
        <w:t>UE 修复说明：旧版风险与优化后方案</w:t>
      </w:r>
    </w:p>
    <w:p>
      <w:r>
        <w:drawing>
          <wp:inline xmlns:a="http://schemas.openxmlformats.org/drawingml/2006/main" xmlns:pic="http://schemas.openxmlformats.org/drawingml/2006/picture">
            <wp:extent cx="6309360" cy="42938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e_revision_rationale_af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移动端用户视图：移动优先</w:t>
      </w:r>
    </w:p>
    <w:p>
      <w:r>
        <w:t>移动端用户视图：移动优先</w:t>
      </w:r>
    </w:p>
    <w:p>
      <w:r>
        <w:drawing>
          <wp:inline xmlns:a="http://schemas.openxmlformats.org/drawingml/2006/main" xmlns:pic="http://schemas.openxmlformats.org/drawingml/2006/picture">
            <wp:extent cx="6309360" cy="42938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bile_user_flow_af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产品架构与数据流：平台资产飞轮</w:t>
      </w:r>
    </w:p>
    <w:p>
      <w:r>
        <w:t>产品架构与数据流：平台资产飞轮</w:t>
      </w:r>
    </w:p>
    <w:p>
      <w:r>
        <w:drawing>
          <wp:inline xmlns:a="http://schemas.openxmlformats.org/drawingml/2006/main" xmlns:pic="http://schemas.openxmlformats.org/drawingml/2006/picture">
            <wp:extent cx="6309360" cy="42938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rchitecture_flow_af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六、UE 修改意见汇总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UE 问题</w:t>
            </w:r>
          </w:p>
        </w:tc>
        <w:tc>
          <w:tcPr>
            <w:tcW w:type="dxa" w:w="7488"/>
            <w:vAlign w:val="center"/>
            <w:shd w:fill="071A4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修改策略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弱化“接单/众包”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旧版本容易显得低价外包；改为“服务包 + 交付网络”表达。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明确维护边界</w:t>
            </w:r>
          </w:p>
        </w:tc>
        <w:tc>
          <w:tcPr>
            <w:tcW w:type="dxa" w:w="748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每个套餐说明托管期限、修改次数、不包含内容和超范围报价。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移动优先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需求方多为小商家，发布需求和看结果都应优先适配手机端。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减少用户认知负担</w:t>
            </w:r>
          </w:p>
        </w:tc>
        <w:tc>
          <w:tcPr>
            <w:tcW w:type="dxa" w:w="748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前台不展示 CLI、Agent 细节，只展示进度、预览和可编辑后台。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降低 Operator 情绪劳动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Operator 不直接面对需求方，只面对平台 TaskSpec 和质检清单。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把数据飞轮改为资产飞轮</w:t>
            </w:r>
          </w:p>
        </w:tc>
        <w:tc>
          <w:tcPr>
            <w:tcW w:type="dxa" w:w="748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沉淀模板、组件、SOP、质检规则，而不是依赖低价修补数据训练模型。</w:t>
            </w:r>
          </w:p>
        </w:tc>
      </w:tr>
    </w:tbl>
    <w:p/>
    <w:p>
      <w:pPr>
        <w:pStyle w:val="Heading1"/>
      </w:pPr>
      <w:r>
        <w:t>七、MVP 不做范围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不做复杂系统开发、支付系统、会员系统、复杂后台。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不开放人人接单市场，早期采用平台自营或认证 Operator。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不做一次性源码交付作为主模式，优先托管交付。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不承诺无限售后，套餐内明确修改次数和维护边界。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不托管用户的 OpenAI/Claude/Codex API Key 或账号密码。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71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5CF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