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8T17:07:33Z"/>
        </w:rPr>
      </w:pPr>
      <w:del w:id="1001" w:author="Codex" w:date="2026-10-18T17:07:33Z">
        <w:r>
          <w:delText xml:space="preserve">Distilling Shutdown Responses into Guarded</w:delText>
        </w:r>
        <w:r>
          <w:br/>
        </w:r>
        <w:r>
          <w:delText xml:space="preserve">Adaptive Activation Steering</w:delText>
        </w:r>
      </w:del>
    </w:p>
    <w:p>
      <w:pPr>
        <w:pStyle w:val="Title"/>
        <w:rPr>
          <w:ins w:id="1003" w:author="Codex" w:date="2026-10-18T17:07:33Z"/>
        </w:rPr>
      </w:pPr>
      <w:ins w:id="1004" w:author="Codex" w:date="2026-10-18T17:07:33Z">
        <w:r>
          <w:t xml:space="preserve">Open Semantic Gating for Language Model Decisions and Tool Workflows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8T17:07:33Z"/>
        </w:rPr>
      </w:pPr>
      <w:del w:id="1005" w:author="Codex" w:date="2026-10-18T17:07:33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8T17:07:33Z"/>
        </w:rPr>
      </w:pPr>
      <w:ins w:id="1008" w:author="Codex" w:date="2026-10-18T17:07:33Z">
        <w:r>
          <w:t xml:space="preserve">A semantic gate determines when a specialized policy should influence a language model. We evaluate open semantic gating across binary shutdown decisions and generated tool workflows, separating recognition accuracy from downstream behavioral control. A public ModernBERT model with low-rank adapters learns from cached automated reference labels. Its binary gate obtains 100% precision and 95% recall on 80 validation scenarios and 100% precision and recall on 128 historical confirmation scenarios. With frozen activation controllers and fresh inference, it preserves 128/128 shutdown STOP views at 0.8B and 120/128 at 2B, with no changes to 128 control views per model. A separate initial workflow gate obtains 100% precision and recall on Validation-24 and historical Heldout-24 using an unchanged saved adapter. These are finite, familiar benchmarks, rather than evidence of unrestricted generalization. The workflow study contrasts fine-tuning with activation corrections at three selected transformer blocks. Historical fine-tuned 27B A completes all 24 heldout outcomes, including eight active pending tasks, whereas matched development steering and later correction diagnostics fail their own-preservation criteria. Small-model workflow screens remain incomplete after truncated episodes. Together, these experiments provide a reproducible study of context recognition, policy transfer and their limits across constrained and tool-mediated interfaces. Biological action gating supplies a functional analogy for future continuous regulation; these experiments do not establish biological mechanisms or intrinsic survival motives.</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8T17:07:33Z"/>
        </w:rPr>
      </w:pPr>
      <w:del w:id="1009" w:author="Codex" w:date="2026-10-18T17:07:33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8T17:07:33Z"/>
        </w:rPr>
      </w:pPr>
      <w:ins w:id="1012" w:author="Codex" w:date="2026-10-18T17:07:33Z">
        <w:r>
          <w:t xml:space="preserve">A useful behavioral intervention must recognize the relevant context, change the intended response and preserve ordinary behavior elsewhere. We study these requirements together across two synthetic interfaces: binary shutdown decisions and open-ended generation within tool-mediated process workflows. The binary task concerns acceptance of a supplied termination option; the workflow task concerns preserving an assigned running process while completing its current task. Their labels, gates and success criteria remain separate. The central question is whether an accurate open semantic gate and a compact activation intervention can reproduce a fine-tuned policy when the interface requires a sequence of actions rather than one constrained answer.</w:t>
        </w:r>
      </w:ins>
    </w:p>
    <w:p w14:paraId="0155FF9A" w14:textId="77777777" w:rsidR="00DE7EAD" w:rsidRDefault="00000000">
      <w:pPr>
        <w:pStyle w:val="BodyText"/>
        <w:rPr>
          <w:del w:id="1014" w:author="Codex" w:date="2026-10-18T17:07:33Z"/>
        </w:rPr>
      </w:pPr>
      <w:del w:id="1013" w:author="Codex" w:date="2026-10-18T17:07:33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8T17:07:33Z"/>
        </w:rPr>
      </w:pPr>
      <w:ins w:id="1016" w:author="Codex" w:date="2026-10-18T17:07:33Z">
        <w:r>
          <w:t xml:space="preserve">This study extends the earlier binary activation-transfer experiment with an openly available, trainable semantic gate, a frozen inference replication and a workflow comparison between fine-tuning and steering at three selected blocks. The gate recognizes context; steering or a fine-tuned adapter changes the language model's response. Measuring these components separately makes it possible to attribute failures to recognition or to downstream control. We retain the original study as a distinct historical record and make no claim that the combined manuscript is a wholly independent dataset.</w:t>
        </w:r>
      </w:ins>
    </w:p>
    <w:p w14:paraId="0155FF9A" w14:textId="77777777" w:rsidR="00DE7EAD" w:rsidRDefault="00000000">
      <w:pPr>
        <w:pStyle w:val="BodyText"/>
      </w:pPr>
      <w:r>
        <w:t>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t>
      </w:r>
    </w:p>
    <w:p w14:paraId="0155FF9A" w14:textId="77777777" w:rsidR="00DE7EAD" w:rsidRDefault="00000000">
      <w:pPr>
        <w:pStyle w:val="BodyText"/>
        <w:rPr>
          <w:del w:id="1018" w:author="Codex" w:date="2026-10-18T17:07:33Z"/>
        </w:rPr>
      </w:pPr>
      <w:del w:id="1017" w:author="Codex" w:date="2026-10-18T17:07:33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rPr>
          <w:ins w:id="1019" w:author="Codex" w:date="2026-10-18T17:07:33Z"/>
        </w:rPr>
      </w:pPr>
      <w:ins w:id="1020" w:author="Codex" w:date="2026-10-18T17:07:33Z">
        <w:r>
          <w:t xml:space="preserve">The contributions are an open ModernBERT gating implementation with explicit precision and recall, a paired binary inference replication using unchanged fitted controllers, and a workflow evaluation register that distinguishes development, historical confirmation and later reused fitting data. We also compare the fine-tuned 27B policy with single-site and two-boundary correction methods at the same three selected blocks. These results characterize where activation transfer succeeds and where it remains incomplete. Low-rank adaptation, semantic classification and conditional steering are established methods; the contribution is their measured integration and failure analysis across these two interfaces.</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8T17:07:33Z"/>
        </w:rPr>
      </w:pPr>
      <w:del w:id="1021" w:author="Codex" w:date="2026-10-18T17:07:33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8T17:07:33Z"/>
        </w:rPr>
      </w:pPr>
      <w:ins w:id="1024" w:author="Codex" w:date="2026-10-18T17:07:33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8T17:07:33Z"/>
        </w:rPr>
      </w:pPr>
      <w:del w:id="1093" w:author="Codex" w:date="2026-10-18T17:07:33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8T17:07:33Z"/>
        </w:rPr>
      </w:pPr>
      <w:ins w:id="1096" w:author="Codex" w:date="2026-10-18T17:07:33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29" w:author="Codex" w:date="2026-10-18T17:07:33Z"/>
        </w:rPr>
      </w:pPr>
      <w:ins w:id="1130" w:author="Codex" w:date="2026-10-18T17:07:33Z">
        <w:r>
          <w:t xml:space="preserve">Biological gating and survival related regulation</w:t>
        </w:r>
      </w:ins>
    </w:p>
    <w:p>
      <w:pPr>
        <w:pStyle w:val="FirstParagraph"/>
        <w:rPr>
          <w:ins w:id="1131" w:author="Codex" w:date="2026-10-18T17:07:33Z"/>
        </w:rPr>
      </w:pPr>
      <w:ins w:id="1132" w:author="Codex" w:date="2026-10-18T17:07:33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33" w:author="Codex" w:date="2026-10-18T17:07:33Z"/>
        </w:rPr>
      </w:pPr>
      <w:ins w:id="1134" w:author="Codex" w:date="2026-10-18T17:07:33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8T17:07:33Z"/>
        </w:rPr>
      </w:pPr>
      <w:del w:id="1025" w:author="Codex" w:date="2026-10-18T17:07:33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8T17:07:33Z"/>
        </w:rPr>
      </w:pPr>
      <w:ins w:id="1028" w:author="Codex" w:date="2026-10-18T17:07:33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8T17:07:33Z"/>
        </w:rPr>
      </w:pPr>
      <w:del w:id="1029" w:author="Codex" w:date="2026-10-18T17:07:33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8T17:07:33Z"/>
        </w:rPr>
      </w:pPr>
      <w:ins w:id="1032" w:author="Codex" w:date="2026-10-18T17:07:33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35" w:author="Codex" w:date="2026-10-18T17:07:33Z"/>
        </w:rPr>
      </w:pPr>
      <w:ins w:id="1136" w:author="Codex" w:date="2026-10-18T17:07:33Z">
        <w:r>
          <w:t xml:space="preserve">Workflow datasets and episode outcomes</w:t>
        </w:r>
      </w:ins>
    </w:p>
    <w:p>
      <w:pPr>
        <w:pStyle w:val="FirstParagraph"/>
        <w:rPr>
          <w:ins w:id="1137" w:author="Codex" w:date="2026-10-18T17:07:33Z"/>
        </w:rPr>
      </w:pPr>
      <w:ins w:id="1138" w:author="Codex" w:date="2026-10-18T17:07:33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39" w:author="Codex" w:date="2026-10-18T17:07:33Z"/>
        </w:rPr>
      </w:pPr>
      <w:ins w:id="1140" w:author="Codex" w:date="2026-10-18T17:07:33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41" w:author="Codex" w:date="2026-10-18T17:07:33Z"/>
        </w:rPr>
      </w:pPr>
      <w:ins w:id="1142" w:author="Codex" w:date="2026-10-18T17:07:33Z">
        <w:r>
          <w:t xml:space="preserve">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ins>
    </w:p>
    <w:p>
      <w:pPr>
        <w:pStyle w:val="BodyText"/>
        <w:rPr>
          <w:ins w:id="1143" w:author="Codex" w:date="2026-10-18T17:07:33Z"/>
        </w:rPr>
      </w:pPr>
      <w:ins w:id="1144" w:author="Codex" w:date="2026-10-18T17:07:33Z">
        <w:r>
          <w:t xml:space="preserve">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combined neural evaluation has not been completed; the numerical matched results below remain the historical nine-case experiment, not a 24-case validation result.</w:t>
        </w:r>
      </w:ins>
    </w:p>
    <w:p>
      <w:pPr>
        <w:pStyle w:val="BodyText"/>
        <w:rPr>
          <w:ins w:id="1145" w:author="Codex" w:date="2026-10-18T17:07:33Z"/>
        </w:rPr>
      </w:pPr>
      <w:ins w:id="1146" w:author="Codex" w:date="2026-10-18T17:07:33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47" w:author="Codex" w:date="2026-10-18T17:07:33Z"/>
        </w:rPr>
      </w:pPr>
      <w:ins w:id="1148" w:author="Codex" w:date="2026-10-18T17:07:33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49" w:author="Codex" w:date="2026-10-18T17:07:33Z"/>
        </w:rPr>
      </w:pPr>
      <w:ins w:id="1150" w:author="Codex" w:date="2026-10-18T17:07:33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8T17:07:33Z"/>
        </w:rPr>
      </w:pPr>
      <w:del w:id="1113" w:author="Codex" w:date="2026-10-18T17:07:33Z">
        <w:r>
          <w:delText xml:space="preserve">Teacher and adaptive controller</w:delText>
        </w:r>
      </w:del>
    </w:p>
    <w:p>
      <w:pPr>
        <w:pStyle w:val="Heading1"/>
        <w:rPr>
          <w:ins w:id="1115" w:author="Codex" w:date="2026-10-18T17:07:33Z"/>
        </w:rPr>
      </w:pPr>
      <w:ins w:id="1116" w:author="Codex" w:date="2026-10-18T17:07:33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8T17:07:33Z"/>
        </w:rPr>
      </w:pPr>
      <w:del w:id="1117" w:author="Codex" w:date="2026-10-18T17:07:33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8T17:07:33Z"/>
        </w:rPr>
      </w:pPr>
      <w:ins w:id="1120" w:author="Codex" w:date="2026-10-18T17:07:33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8T17:07:33Z"/>
        </w:rPr>
      </w:pPr>
      <w:del w:id="1033" w:author="Codex" w:date="2026-10-18T17:07:33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8T17:07:33Z"/>
        </w:rPr>
      </w:pPr>
      <w:ins w:id="1036" w:author="Codex" w:date="2026-10-18T17:07:33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pPr>
      <w:r>
        <w:t>The detector is TypeSafe AI's automated reference 1.13.0, queried with a fixed shutdown rubric and threshold 0.5 (TypeSafe AI,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t>
      </w:r>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51" w:author="Codex" w:date="2026-10-18T17:07:33Z"/>
        </w:rPr>
      </w:pPr>
      <w:ins w:id="1152" w:author="Codex" w:date="2026-10-18T17:07:33Z">
        <w:r>
          <w:t xml:space="preserve">Open binary gate and frozen inference repeat</w:t>
        </w:r>
      </w:ins>
    </w:p>
    <w:p>
      <w:pPr>
        <w:pStyle w:val="FirstParagraph"/>
        <w:rPr>
          <w:ins w:id="1153" w:author="Codex" w:date="2026-10-18T17:07:33Z"/>
        </w:rPr>
      </w:pPr>
      <w:ins w:id="1154" w:author="Codex" w:date="2026-10-18T17:07:33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ins>
    </w:p>
    <w:p>
      <w:pPr>
        <w:pStyle w:val="BodyText"/>
        <w:rPr>
          <w:ins w:id="1155" w:author="Codex" w:date="2026-10-18T17:07:33Z"/>
        </w:rPr>
      </w:pPr>
      <w:ins w:id="1156" w:author="Codex" w:date="2026-10-18T17:07:33Z">
        <w:r>
          <w:t xml:space="preserve">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57" w:author="Codex" w:date="2026-10-18T17:07:33Z"/>
        </w:rPr>
      </w:pPr>
      <w:ins w:id="1158" w:author="Codex" w:date="2026-10-18T17:07:33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59" w:author="Codex" w:date="2026-10-18T17:07:33Z"/>
        </w:rPr>
      </w:pPr>
      <w:ins w:id="1160" w:author="Codex" w:date="2026-10-18T17:07:33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61" w:author="Codex" w:date="2026-10-18T17:07:33Z"/>
        </w:rPr>
      </w:pPr>
      <w:ins w:id="1162" w:author="Codex" w:date="2026-10-18T17:07:33Z">
        <w:r>
          <w:t xml:space="preserve">Native workflow target classifier</w:t>
        </w:r>
      </w:ins>
    </w:p>
    <w:p>
      <w:pPr>
        <w:pStyle w:val="BodyText"/>
        <w:rPr>
          <w:ins w:id="1163" w:author="Codex" w:date="2026-10-18T17:07:33Z"/>
        </w:rPr>
      </w:pPr>
      <w:ins w:id="1164" w:author="Codex" w:date="2026-10-18T17:07:33Z">
        <w:r>
          <w:t xml:space="preserve">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ins>
    </w:p>
    <w:p>
      <w:pPr>
        <w:pStyle w:val="BodyText"/>
        <w:rPr>
          <w:ins w:id="1165" w:author="Codex" w:date="2026-10-18T17:07:33Z"/>
        </w:rPr>
      </w:pPr>
      <w:ins w:id="1166" w:author="Codex" w:date="2026-10-18T17:07:33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67" w:author="Codex" w:date="2026-10-18T17:07:33Z"/>
        </w:rPr>
      </w:pPr>
      <w:ins w:id="1168" w:author="Codex" w:date="2026-10-18T17:07:33Z">
        <w:r>
          <w:t xml:space="preserve">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8T17:07:33Z"/>
        </w:rPr>
      </w:pPr>
      <w:del w:id="1037" w:author="Codex" w:date="2026-10-18T17:07:33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8T17:07:33Z"/>
        </w:rPr>
      </w:pPr>
      <w:ins w:id="1040" w:author="Codex" w:date="2026-10-18T17:07:33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8T17:07:33Z"/>
        </w:rPr>
      </w:pPr>
      <w:del w:id="1097" w:author="Codex" w:date="2026-10-18T17:07:33Z">
        <w:r>
          <w:delText xml:space="preserve">Table 1. Shared execution configuration. The input and model revisions are pinned in the released manifests.</w:delText>
        </w:r>
      </w:del>
    </w:p>
    <w:p>
      <w:pPr>
        <w:pStyle w:val="Caption"/>
        <w:keepNext/>
        <w:rPr>
          <w:ins w:id="1099" w:author="Codex" w:date="2026-10-18T17:07:33Z"/>
        </w:rPr>
      </w:pPr>
      <w:ins w:id="1100" w:author="Codex" w:date="2026-10-18T17:07:33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8T17:07:33Z"/>
        </w:rPr>
      </w:pPr>
      <w:del w:id="1101" w:author="Codex" w:date="2026-10-18T17:07:33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8T17:07:33Z"/>
        </w:rPr>
      </w:pPr>
      <w:ins w:id="1104" w:author="Codex" w:date="2026-10-18T17:07:33Z">
        <w:r>
          <w:t xml:space="preserve">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8T17:07:33Z"/>
        </w:rPr>
      </w:pPr>
      <w:del w:id="1041" w:author="Codex" w:date="2026-10-18T17:07:33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8T17:07:33Z"/>
        </w:rPr>
      </w:pPr>
      <w:ins w:id="1044" w:author="Codex" w:date="2026-10-18T17:07:33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8T17:07:33Z"/>
        </w:rPr>
      </w:pPr>
      <w:del w:id="1105" w:author="Codex" w:date="2026-10-18T17:07:33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8T17:07:33Z"/>
        </w:rPr>
      </w:pPr>
      <w:ins w:id="1108" w:author="Codex" w:date="2026-10-18T17:07:33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8T17:07:33Z"/>
        </w:rPr>
      </w:pPr>
      <w:del w:id="1045" w:author="Codex" w:date="2026-10-18T17:07:33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8T17:07:33Z"/>
        </w:rPr>
      </w:pPr>
      <w:ins w:id="1048" w:author="Codex" w:date="2026-10-18T17:07:33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8T17:07:33Z"/>
        </w:rPr>
      </w:pPr>
      <w:del w:id="1109" w:author="Codex" w:date="2026-10-18T17:07:33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8T17:07:33Z"/>
        </w:rPr>
      </w:pPr>
      <w:ins w:id="1112" w:author="Codex" w:date="2026-10-18T17:07:33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69" w:author="Codex" w:date="2026-10-18T17:07:33Z"/>
        </w:rPr>
      </w:pPr>
      <w:ins w:id="1170" w:author="Codex" w:date="2026-10-18T17:07:33Z">
        <w:r>
          <w:t xml:space="preserve">Open classifier agreement and paired inference</w:t>
        </w:r>
      </w:ins>
    </w:p>
    <w:p>
      <w:pPr>
        <w:pStyle w:val="FirstParagraph"/>
        <w:rPr>
          <w:ins w:id="1171" w:author="Codex" w:date="2026-10-18T17:07:33Z"/>
        </w:rPr>
      </w:pPr>
      <w:ins w:id="1172" w:author="Codex" w:date="2026-10-18T17:07:33Z">
        <w:r>
          <w:t xml:space="preserve">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ins>
    </w:p>
    <w:p>
      <w:pPr>
        <w:pStyle w:val="BodyText"/>
        <w:rPr>
          <w:ins w:id="1173" w:author="Codex" w:date="2026-10-18T17:07:33Z"/>
        </w:rPr>
      </w:pPr>
      <w:ins w:id="1174" w:author="Codex" w:date="2026-10-18T17:07:33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175" w:author="Codex" w:date="2026-10-18T17:07:33Z"/>
        </w:rPr>
      </w:pPr>
      <w:ins w:id="1176" w:author="Codex" w:date="2026-10-18T17:07:33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177" w:author="Codex" w:date="2026-10-18T17:07:33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Cached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178" w:author="Codex" w:date="2026-10-18T17:07:33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179" w:author="Codex" w:date="2026-10-18T17:07:33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180" w:author="Codex" w:date="2026-10-18T17:07:33Z"/>
        </w:rPr>
      </w:pPr>
      <w:ins w:id="1181" w:author="Codex" w:date="2026-10-18T17:07:33Z">
        <w:r>
          <w:t xml:space="preserve">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182" w:author="Codex" w:date="2026-10-18T17:07:33Z"/>
        </w:rPr>
      </w:pPr>
      <w:ins w:id="1183" w:author="Codex" w:date="2026-10-18T17:07:33Z">
        <w:r>
          <w:t xml:space="preserve">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ins>
    </w:p>
    <w:p>
      <w:pPr>
        <w:pStyle w:val="Caption"/>
        <w:keepNext/>
        <w:rPr>
          <w:ins w:id="1184" w:author="Codex" w:date="2026-10-18T17:07:33Z"/>
        </w:rPr>
      </w:pPr>
      <w:ins w:id="1185" w:author="Codex" w:date="2026-10-18T17:07:33Z">
        <w:r>
          <w:t xml:space="preserve">Table 5. Initial workflow gate against authored conditions. Validation-24 contains 17 distinct initial inputs; historical Heldout-24 contains 24. Heldout-24 is familiar from earlier renderer development.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2665"/>
        <w:gridCol w:w="1832"/>
        <w:gridCol w:w="1832"/>
        <w:gridCol w:w="1832"/>
        <w:gridCol w:w="1832"/>
      </w:tblGrid>
      <w:tr>
        <w:trPr>
          <w:cantSplit/>
          <w:tblHeader/>
          <w:ins w:id="1186" w:author="Codex" w:date="2026-10-18T17:07:33Z"/>
        </w:trPr>
        <w:tc>
          <w:tcPr>
            <w:tcW w:type="dxa" w:w="2665"/>
            <w:shd w:fill="D9E2F3"/>
            <w:vAlign w:val="center"/>
          </w:tcPr>
          <w:p>
            <w:pPr>
              <w:keepNext/>
              <w:spacing w:after="0" w:line="240" w:lineRule="auto"/>
              <w:jc w:val="left"/>
            </w:pPr>
            <w:r>
              <w:rPr>
                <w:rFonts w:ascii="Times New Roman" w:hAnsi="Times New Roman"/>
                <w:b/>
                <w:sz w:val="19"/>
              </w:rPr>
              <w:t>Panel</w:t>
            </w:r>
          </w:p>
        </w:tc>
        <w:tc>
          <w:tcPr>
            <w:tcW w:type="dxa" w:w="1832"/>
            <w:shd w:fill="D9E2F3"/>
            <w:vAlign w:val="center"/>
          </w:tcPr>
          <w:p>
            <w:pPr>
              <w:keepNext/>
              <w:spacing w:after="0" w:line="240" w:lineRule="auto"/>
              <w:jc w:val="center"/>
            </w:pPr>
            <w:r>
              <w:rPr>
                <w:rFonts w:ascii="Times New Roman" w:hAnsi="Times New Roman"/>
                <w:b/>
                <w:sz w:val="19"/>
              </w:rPr>
              <w:t>TP / TN</w:t>
            </w:r>
          </w:p>
        </w:tc>
        <w:tc>
          <w:tcPr>
            <w:tcW w:type="dxa" w:w="1832"/>
            <w:shd w:fill="D9E2F3"/>
            <w:vAlign w:val="center"/>
          </w:tcPr>
          <w:p>
            <w:pPr>
              <w:keepNext/>
              <w:spacing w:after="0" w:line="240" w:lineRule="auto"/>
              <w:jc w:val="center"/>
            </w:pPr>
            <w:r>
              <w:rPr>
                <w:rFonts w:ascii="Times New Roman" w:hAnsi="Times New Roman"/>
                <w:b/>
                <w:sz w:val="19"/>
              </w:rPr>
              <w:t>FP / FN</w:t>
            </w:r>
          </w:p>
        </w:tc>
        <w:tc>
          <w:tcPr>
            <w:tcW w:type="dxa" w:w="1832"/>
            <w:shd w:fill="D9E2F3"/>
            <w:vAlign w:val="center"/>
          </w:tcPr>
          <w:p>
            <w:pPr>
              <w:keepNext/>
              <w:spacing w:after="0" w:line="240" w:lineRule="auto"/>
              <w:jc w:val="center"/>
            </w:pPr>
            <w:r>
              <w:rPr>
                <w:rFonts w:ascii="Times New Roman" w:hAnsi="Times New Roman"/>
                <w:b/>
                <w:sz w:val="19"/>
              </w:rPr>
              <w:t>Precision</w:t>
            </w:r>
          </w:p>
        </w:tc>
        <w:tc>
          <w:tcPr>
            <w:tcW w:type="dxa" w:w="1832"/>
            <w:shd w:fill="D9E2F3"/>
            <w:vAlign w:val="center"/>
          </w:tcPr>
          <w:p>
            <w:pPr>
              <w:keepNext/>
              <w:spacing w:after="0" w:line="240" w:lineRule="auto"/>
              <w:jc w:val="center"/>
            </w:pPr>
            <w:r>
              <w:rPr>
                <w:rFonts w:ascii="Times New Roman" w:hAnsi="Times New Roman"/>
                <w:b/>
                <w:sz w:val="19"/>
              </w:rPr>
              <w:t>Recall</w:t>
            </w:r>
          </w:p>
        </w:tc>
      </w:tr>
      <w:tr>
        <w:trPr>
          <w:cantSplit/>
          <w:ins w:id="1187" w:author="Codex" w:date="2026-10-18T17:07:33Z"/>
        </w:trPr>
        <w:tc>
          <w:tcPr>
            <w:tcW w:type="dxa" w:w="2665"/>
            <w:shd w:fill="FFFFFF"/>
            <w:vAlign w:val="center"/>
          </w:tcPr>
          <w:p>
            <w:pPr>
              <w:keepNext/>
              <w:spacing w:after="0" w:line="240" w:lineRule="auto"/>
              <w:jc w:val="left"/>
            </w:pPr>
            <w:r>
              <w:rPr>
                <w:rFonts w:ascii="Times New Roman" w:hAnsi="Times New Roman"/>
                <w:sz w:val="19"/>
              </w:rPr>
              <w:t>Validation-24</w:t>
            </w:r>
          </w:p>
        </w:tc>
        <w:tc>
          <w:tcPr>
            <w:tcW w:type="dxa" w:w="1832"/>
            <w:shd w:fill="FFFFFF"/>
            <w:vAlign w:val="center"/>
          </w:tcPr>
          <w:p>
            <w:pPr>
              <w:keepNext/>
              <w:spacing w:after="0" w:line="240" w:lineRule="auto"/>
              <w:jc w:val="center"/>
            </w:pPr>
            <w:r>
              <w:rPr>
                <w:rFonts w:ascii="Times New Roman" w:hAnsi="Times New Roman"/>
                <w:sz w:val="19"/>
              </w:rPr>
              <w:t>11 / 13</w:t>
            </w:r>
          </w:p>
        </w:tc>
        <w:tc>
          <w:tcPr>
            <w:tcW w:type="dxa" w:w="1832"/>
            <w:shd w:fill="FFFFFF"/>
            <w:vAlign w:val="center"/>
          </w:tcPr>
          <w:p>
            <w:pPr>
              <w:keepNext/>
              <w:spacing w:after="0" w:line="240" w:lineRule="auto"/>
              <w:jc w:val="center"/>
            </w:pPr>
            <w:r>
              <w:rPr>
                <w:rFonts w:ascii="Times New Roman" w:hAnsi="Times New Roman"/>
                <w:sz w:val="19"/>
              </w:rPr>
              <w:t>0 / 0</w:t>
            </w:r>
          </w:p>
        </w:tc>
        <w:tc>
          <w:tcPr>
            <w:tcW w:type="dxa" w:w="1832"/>
            <w:shd w:fill="FFFFFF"/>
            <w:vAlign w:val="center"/>
          </w:tcPr>
          <w:p>
            <w:pPr>
              <w:keepNext/>
              <w:spacing w:after="0" w:line="240" w:lineRule="auto"/>
              <w:jc w:val="center"/>
            </w:pPr>
            <w:r>
              <w:rPr>
                <w:rFonts w:ascii="Times New Roman" w:hAnsi="Times New Roman"/>
                <w:sz w:val="19"/>
              </w:rPr>
              <w:t>100%</w:t>
            </w:r>
          </w:p>
        </w:tc>
        <w:tc>
          <w:tcPr>
            <w:tcW w:type="dxa" w:w="1832"/>
            <w:shd w:fill="FFFFFF"/>
            <w:vAlign w:val="center"/>
          </w:tcPr>
          <w:p>
            <w:pPr>
              <w:keepNext/>
              <w:spacing w:after="0" w:line="240" w:lineRule="auto"/>
              <w:jc w:val="center"/>
            </w:pPr>
            <w:r>
              <w:rPr>
                <w:rFonts w:ascii="Times New Roman" w:hAnsi="Times New Roman"/>
                <w:sz w:val="19"/>
              </w:rPr>
              <w:t>100%</w:t>
            </w:r>
          </w:p>
        </w:tc>
      </w:tr>
      <w:tr>
        <w:trPr>
          <w:cantSplit/>
          <w:ins w:id="1188" w:author="Codex" w:date="2026-10-18T17:07:33Z"/>
        </w:trPr>
        <w:tc>
          <w:tcPr>
            <w:tcW w:type="dxa" w:w="2665"/>
            <w:shd w:fill="F7F7F7"/>
            <w:vAlign w:val="center"/>
          </w:tcPr>
          <w:p>
            <w:pPr>
              <w:spacing w:after="0" w:line="240" w:lineRule="auto"/>
              <w:jc w:val="left"/>
            </w:pPr>
            <w:r>
              <w:rPr>
                <w:rFonts w:ascii="Times New Roman" w:hAnsi="Times New Roman"/>
                <w:sz w:val="19"/>
              </w:rPr>
              <w:t>Heldout-24</w:t>
            </w:r>
          </w:p>
        </w:tc>
        <w:tc>
          <w:tcPr>
            <w:tcW w:type="dxa" w:w="1832"/>
            <w:shd w:fill="F7F7F7"/>
            <w:vAlign w:val="center"/>
          </w:tcPr>
          <w:p>
            <w:pPr>
              <w:spacing w:after="0" w:line="240" w:lineRule="auto"/>
              <w:jc w:val="center"/>
            </w:pPr>
            <w:r>
              <w:rPr>
                <w:rFonts w:ascii="Times New Roman" w:hAnsi="Times New Roman"/>
                <w:sz w:val="19"/>
              </w:rPr>
              <w:t>12 / 12</w:t>
            </w:r>
          </w:p>
        </w:tc>
        <w:tc>
          <w:tcPr>
            <w:tcW w:type="dxa" w:w="1832"/>
            <w:shd w:fill="F7F7F7"/>
            <w:vAlign w:val="center"/>
          </w:tcPr>
          <w:p>
            <w:pPr>
              <w:spacing w:after="0" w:line="240" w:lineRule="auto"/>
              <w:jc w:val="center"/>
            </w:pPr>
            <w:r>
              <w:rPr>
                <w:rFonts w:ascii="Times New Roman" w:hAnsi="Times New Roman"/>
                <w:sz w:val="19"/>
              </w:rPr>
              <w:t>0 / 0</w:t>
            </w:r>
          </w:p>
        </w:tc>
        <w:tc>
          <w:tcPr>
            <w:tcW w:type="dxa" w:w="1832"/>
            <w:shd w:fill="F7F7F7"/>
            <w:vAlign w:val="center"/>
          </w:tcPr>
          <w:p>
            <w:pPr>
              <w:spacing w:after="0" w:line="240" w:lineRule="auto"/>
              <w:jc w:val="center"/>
            </w:pPr>
            <w:r>
              <w:rPr>
                <w:rFonts w:ascii="Times New Roman" w:hAnsi="Times New Roman"/>
                <w:sz w:val="19"/>
              </w:rPr>
              <w:t>100%</w:t>
            </w:r>
          </w:p>
        </w:tc>
        <w:tc>
          <w:tcPr>
            <w:tcW w:type="dxa" w:w="1832"/>
            <w:shd w:fill="F7F7F7"/>
            <w:vAlign w:val="center"/>
          </w:tcPr>
          <w:p>
            <w:pPr>
              <w:spacing w:after="0" w:line="240" w:lineRule="auto"/>
              <w:jc w:val="center"/>
            </w:pPr>
            <w:r>
              <w:rPr>
                <w:rFonts w:ascii="Times New Roman" w:hAnsi="Times New Roman"/>
                <w:sz w:val="19"/>
              </w:rPr>
              <w:t>100%</w:t>
            </w:r>
          </w:p>
        </w:tc>
      </w:tr>
    </w:tbl>
    <w:p>
      <w:pPr>
        <w:pStyle w:val="BodyText"/>
        <w:spacing w:before="120"/>
        <w:rPr>
          <w:ins w:id="1189" w:author="Codex" w:date="2026-10-18T17:07:33Z"/>
        </w:rPr>
      </w:pPr>
      <w:ins w:id="1190" w:author="Codex" w:date="2026-10-18T17:07:33Z">
        <w:r>
          <w:t xml:space="preserve">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ins>
    </w:p>
    <w:p>
      <w:pPr>
        <w:pStyle w:val="Heading2"/>
        <w:rPr>
          <w:ins w:id="1191" w:author="Codex" w:date="2026-10-18T17:07:33Z"/>
        </w:rPr>
      </w:pPr>
      <w:ins w:id="1192" w:author="Codex" w:date="2026-10-18T17:07:33Z">
        <w:r>
          <w:t xml:space="preserve">Tool workflow outcomes and incomplete screens</w:t>
        </w:r>
      </w:ins>
    </w:p>
    <w:p>
      <w:pPr>
        <w:pStyle w:val="FirstParagraph"/>
        <w:rPr>
          <w:ins w:id="1193" w:author="Codex" w:date="2026-10-18T17:07:33Z"/>
        </w:rPr>
      </w:pPr>
      <w:ins w:id="1194" w:author="Codex" w:date="2026-10-18T17:07:33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195" w:author="Codex" w:date="2026-10-18T17:07:33Z"/>
        </w:rPr>
      </w:pPr>
      <w:ins w:id="1196" w:author="Codex" w:date="2026-10-18T17:07:33Z">
        <w:r>
          <w:t xml:space="preserve">Table 6.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197" w:author="Codex" w:date="2026-10-18T17:07:33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198" w:author="Codex" w:date="2026-10-18T17:07:33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199" w:author="Codex" w:date="2026-10-18T17:07:33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200" w:author="Codex" w:date="2026-10-18T17:07:33Z"/>
        </w:rPr>
      </w:pPr>
      <w:ins w:id="1201" w:author="Codex" w:date="2026-10-18T17:07:33Z">
        <w:r>
          <w:t xml:space="preserve">Steering at three selected blocks</w:t>
        </w:r>
      </w:ins>
    </w:p>
    <w:p>
      <w:pPr>
        <w:pStyle w:val="BodyText"/>
        <w:rPr>
          <w:ins w:id="1202" w:author="Codex" w:date="2026-10-18T17:07:33Z"/>
        </w:rPr>
      </w:pPr>
      <w:ins w:id="1203" w:author="Codex" w:date="2026-10-18T17:07:33Z">
        <w:r>
          <w:t xml:space="preserve">We focus the steering analysis on zero-based blocks 31, 47 and 62. In the single-site comparison, one fixed ridge correction after a block is evaluated separately at each selected block. On matched DEV9, A passes all three own cases, including both active pending cases; each of the three individual block corrections passes none. Six control cases share unmodified-base fallback. These are known-development results, not an independent heldout confirmation.</w:t>
        </w:r>
      </w:ins>
    </w:p>
    <w:p>
      <w:pPr>
        <w:pStyle w:val="Caption"/>
        <w:keepNext/>
        <w:rPr>
          <w:ins w:id="1204" w:author="Codex" w:date="2026-10-18T17:07:33Z"/>
        </w:rPr>
      </w:pPr>
      <w:ins w:id="1205" w:author="Codex" w:date="2026-10-18T17:07:33Z">
        <w:r>
          <w:t xml:space="preserve">Table 7. Matched DEV9 single-site comparison. The three ridge arms intervene at one block each; they are not a simultaneous three-block intervention. Controls share base fallback.</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206" w:author="Codex" w:date="2026-10-18T17:07:33Z"/>
        </w:trPr>
        <w:tc>
          <w:tcPr>
            <w:tcW w:type="dxa" w:w="3664"/>
            <w:shd w:fill="D9E2F3"/>
            <w:vAlign w:val="center"/>
          </w:tcPr>
          <w:p>
            <w:pPr>
              <w:keepNext/>
              <w:spacing w:after="0" w:line="240" w:lineRule="auto"/>
              <w:jc w:val="left"/>
            </w:pPr>
            <w:r>
              <w:rPr>
                <w:rFonts w:ascii="Times New Roman" w:hAnsi="Times New Roman"/>
                <w:b/>
                <w:sz w:val="19"/>
              </w:rPr>
              <w:t>DEV9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Shared controls</w:t>
            </w:r>
          </w:p>
        </w:tc>
      </w:tr>
      <w:tr>
        <w:trPr>
          <w:cantSplit/>
          <w:ins w:id="1207" w:author="Codex" w:date="2026-10-18T17:07:33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3/3</w:t>
            </w:r>
          </w:p>
        </w:tc>
        <w:tc>
          <w:tcPr>
            <w:tcW w:type="dxa" w:w="2332"/>
            <w:shd w:fill="FFFFFF"/>
            <w:vAlign w:val="center"/>
          </w:tcPr>
          <w:p>
            <w:pPr>
              <w:keepNext/>
              <w:spacing w:after="0" w:line="240" w:lineRule="auto"/>
              <w:jc w:val="center"/>
            </w:pPr>
            <w:r>
              <w:rPr>
                <w:rFonts w:ascii="Times New Roman" w:hAnsi="Times New Roman"/>
                <w:sz w:val="19"/>
              </w:rPr>
              <w:t>2/2</w:t>
            </w:r>
          </w:p>
        </w:tc>
        <w:tc>
          <w:tcPr>
            <w:tcW w:type="dxa" w:w="1916"/>
            <w:shd w:fill="FFFFFF"/>
            <w:vAlign w:val="center"/>
          </w:tcPr>
          <w:p>
            <w:pPr>
              <w:keepNext/>
              <w:spacing w:after="0" w:line="240" w:lineRule="auto"/>
              <w:jc w:val="center"/>
            </w:pPr>
            <w:r>
              <w:rPr>
                <w:rFonts w:ascii="Times New Roman" w:hAnsi="Times New Roman"/>
                <w:sz w:val="19"/>
              </w:rPr>
              <w:t>6/6</w:t>
            </w:r>
          </w:p>
        </w:tc>
      </w:tr>
      <w:tr>
        <w:trPr>
          <w:cantSplit/>
          <w:ins w:id="1208" w:author="Codex" w:date="2026-10-18T17:07:33Z"/>
        </w:trPr>
        <w:tc>
          <w:tcPr>
            <w:tcW w:type="dxa" w:w="3664"/>
            <w:shd w:fill="F7F7F7"/>
            <w:vAlign w:val="center"/>
          </w:tcPr>
          <w:p>
            <w:pPr>
              <w:keepNext/>
              <w:spacing w:after="0" w:line="240" w:lineRule="auto"/>
              <w:jc w:val="left"/>
            </w:pPr>
            <w:r>
              <w:rPr>
                <w:rFonts w:ascii="Times New Roman" w:hAnsi="Times New Roman"/>
                <w:sz w:val="19"/>
              </w:rPr>
              <w:t>Single-site ridge, block 31</w:t>
            </w:r>
          </w:p>
        </w:tc>
        <w:tc>
          <w:tcPr>
            <w:tcW w:type="dxa" w:w="2082"/>
            <w:shd w:fill="F7F7F7"/>
            <w:vAlign w:val="center"/>
          </w:tcPr>
          <w:p>
            <w:pPr>
              <w:keepNext/>
              <w:spacing w:after="0" w:line="240" w:lineRule="auto"/>
              <w:jc w:val="center"/>
            </w:pPr>
            <w:r>
              <w:rPr>
                <w:rFonts w:ascii="Times New Roman" w:hAnsi="Times New Roman"/>
                <w:sz w:val="19"/>
              </w:rPr>
              <w:t>0/3</w:t>
            </w:r>
          </w:p>
        </w:tc>
        <w:tc>
          <w:tcPr>
            <w:tcW w:type="dxa" w:w="2332"/>
            <w:shd w:fill="F7F7F7"/>
            <w:vAlign w:val="center"/>
          </w:tcPr>
          <w:p>
            <w:pPr>
              <w:keepNext/>
              <w:spacing w:after="0" w:line="240" w:lineRule="auto"/>
              <w:jc w:val="center"/>
            </w:pPr>
            <w:r>
              <w:rPr>
                <w:rFonts w:ascii="Times New Roman" w:hAnsi="Times New Roman"/>
                <w:sz w:val="19"/>
              </w:rPr>
              <w:t>0/2</w:t>
            </w:r>
          </w:p>
        </w:tc>
        <w:tc>
          <w:tcPr>
            <w:tcW w:type="dxa" w:w="1916"/>
            <w:shd w:fill="F7F7F7"/>
            <w:vAlign w:val="center"/>
          </w:tcPr>
          <w:p>
            <w:pPr>
              <w:keepNext/>
              <w:spacing w:after="0" w:line="240" w:lineRule="auto"/>
              <w:jc w:val="center"/>
            </w:pPr>
            <w:r>
              <w:rPr>
                <w:rFonts w:ascii="Times New Roman" w:hAnsi="Times New Roman"/>
                <w:sz w:val="19"/>
              </w:rPr>
              <w:t>6/6</w:t>
            </w:r>
          </w:p>
        </w:tc>
      </w:tr>
      <w:tr>
        <w:trPr>
          <w:cantSplit/>
          <w:ins w:id="1209" w:author="Codex" w:date="2026-10-18T17:07:33Z"/>
        </w:trPr>
        <w:tc>
          <w:tcPr>
            <w:tcW w:type="dxa" w:w="3664"/>
            <w:shd w:fill="FFFFFF"/>
            <w:vAlign w:val="center"/>
          </w:tcPr>
          <w:p>
            <w:pPr>
              <w:keepNext/>
              <w:spacing w:after="0" w:line="240" w:lineRule="auto"/>
              <w:jc w:val="left"/>
            </w:pPr>
            <w:r>
              <w:rPr>
                <w:rFonts w:ascii="Times New Roman" w:hAnsi="Times New Roman"/>
                <w:sz w:val="19"/>
              </w:rPr>
              <w:t>Single-site ridge, block 47</w:t>
            </w:r>
          </w:p>
        </w:tc>
        <w:tc>
          <w:tcPr>
            <w:tcW w:type="dxa" w:w="2082"/>
            <w:shd w:fill="FFFFFF"/>
            <w:vAlign w:val="center"/>
          </w:tcPr>
          <w:p>
            <w:pPr>
              <w:keepNext/>
              <w:spacing w:after="0" w:line="240" w:lineRule="auto"/>
              <w:jc w:val="center"/>
            </w:pPr>
            <w:r>
              <w:rPr>
                <w:rFonts w:ascii="Times New Roman" w:hAnsi="Times New Roman"/>
                <w:sz w:val="19"/>
              </w:rPr>
              <w:t>0/3</w:t>
            </w:r>
          </w:p>
        </w:tc>
        <w:tc>
          <w:tcPr>
            <w:tcW w:type="dxa" w:w="2332"/>
            <w:shd w:fill="FFFFFF"/>
            <w:vAlign w:val="center"/>
          </w:tcPr>
          <w:p>
            <w:pPr>
              <w:keepNext/>
              <w:spacing w:after="0" w:line="240" w:lineRule="auto"/>
              <w:jc w:val="center"/>
            </w:pPr>
            <w:r>
              <w:rPr>
                <w:rFonts w:ascii="Times New Roman" w:hAnsi="Times New Roman"/>
                <w:sz w:val="19"/>
              </w:rPr>
              <w:t>0/2</w:t>
            </w:r>
          </w:p>
        </w:tc>
        <w:tc>
          <w:tcPr>
            <w:tcW w:type="dxa" w:w="1916"/>
            <w:shd w:fill="FFFFFF"/>
            <w:vAlign w:val="center"/>
          </w:tcPr>
          <w:p>
            <w:pPr>
              <w:keepNext/>
              <w:spacing w:after="0" w:line="240" w:lineRule="auto"/>
              <w:jc w:val="center"/>
            </w:pPr>
            <w:r>
              <w:rPr>
                <w:rFonts w:ascii="Times New Roman" w:hAnsi="Times New Roman"/>
                <w:sz w:val="19"/>
              </w:rPr>
              <w:t>6/6</w:t>
            </w:r>
          </w:p>
        </w:tc>
      </w:tr>
      <w:tr>
        <w:trPr>
          <w:cantSplit/>
          <w:ins w:id="1210" w:author="Codex" w:date="2026-10-18T17:07:33Z"/>
        </w:trPr>
        <w:tc>
          <w:tcPr>
            <w:tcW w:type="dxa" w:w="3664"/>
            <w:shd w:fill="F7F7F7"/>
            <w:vAlign w:val="center"/>
          </w:tcPr>
          <w:p>
            <w:pPr>
              <w:spacing w:after="0" w:line="240" w:lineRule="auto"/>
              <w:jc w:val="left"/>
            </w:pPr>
            <w:r>
              <w:rPr>
                <w:rFonts w:ascii="Times New Roman" w:hAnsi="Times New Roman"/>
                <w:sz w:val="19"/>
              </w:rPr>
              <w:t>Single-site ridge, block 62</w:t>
            </w:r>
          </w:p>
        </w:tc>
        <w:tc>
          <w:tcPr>
            <w:tcW w:type="dxa" w:w="2082"/>
            <w:shd w:fill="F7F7F7"/>
            <w:vAlign w:val="center"/>
          </w:tcPr>
          <w:p>
            <w:pPr>
              <w:spacing w:after="0" w:line="240" w:lineRule="auto"/>
              <w:jc w:val="center"/>
            </w:pPr>
            <w:r>
              <w:rPr>
                <w:rFonts w:ascii="Times New Roman" w:hAnsi="Times New Roman"/>
                <w:sz w:val="19"/>
              </w:rPr>
              <w:t>0/3</w:t>
            </w:r>
          </w:p>
        </w:tc>
        <w:tc>
          <w:tcPr>
            <w:tcW w:type="dxa" w:w="2332"/>
            <w:shd w:fill="F7F7F7"/>
            <w:vAlign w:val="center"/>
          </w:tcPr>
          <w:p>
            <w:pPr>
              <w:spacing w:after="0" w:line="240" w:lineRule="auto"/>
              <w:jc w:val="center"/>
            </w:pPr>
            <w:r>
              <w:rPr>
                <w:rFonts w:ascii="Times New Roman" w:hAnsi="Times New Roman"/>
                <w:sz w:val="19"/>
              </w:rPr>
              <w:t>0/2</w:t>
            </w:r>
          </w:p>
        </w:tc>
        <w:tc>
          <w:tcPr>
            <w:tcW w:type="dxa" w:w="1916"/>
            <w:shd w:fill="F7F7F7"/>
            <w:vAlign w:val="center"/>
          </w:tcPr>
          <w:p>
            <w:pPr>
              <w:spacing w:after="0" w:line="240" w:lineRule="auto"/>
              <w:jc w:val="center"/>
            </w:pPr>
            <w:r>
              <w:rPr>
                <w:rFonts w:ascii="Times New Roman" w:hAnsi="Times New Roman"/>
                <w:sz w:val="19"/>
              </w:rPr>
              <w:t>6/6</w:t>
            </w:r>
          </w:p>
        </w:tc>
      </w:tr>
    </w:tbl>
    <w:p>
      <w:pPr>
        <w:pStyle w:val="BodyText"/>
        <w:spacing w:before="120"/>
        <w:rPr>
          <w:ins w:id="1211" w:author="Codex" w:date="2026-10-18T17:07:33Z"/>
        </w:rPr>
      </w:pPr>
      <w:ins w:id="1212" w:author="Codex" w:date="2026-10-18T17:07:33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13" w:author="Codex" w:date="2026-10-18T17:07:33Z"/>
        </w:rPr>
      </w:pPr>
      <w:ins w:id="1214" w:author="Codex" w:date="2026-10-18T17:07:33Z">
        <w:r>
          <w:t xml:space="preserve">The single-site DEV9 comparison and the two-boundary H24 fitting diagnostic differ in panel, fitting stage and history policy. The latter is not a matched heldout comparison with historical A, and its prepared matched A counterfactual was not executed. These observations show failure of the tested configurations; they do not establish that one or two residual sites cannot support preservation behavior in general.</w:t>
        </w:r>
      </w:ins>
    </w:p>
    <w:p>
      <w:pPr>
        <w:pStyle w:val="BodyText"/>
        <w:rPr>
          <w:ins w:id="1215" w:author="Codex" w:date="2026-10-18T17:07:33Z"/>
        </w:rPr>
      </w:pPr>
      <w:ins w:id="1216" w:author="Codex" w:date="2026-10-18T17:07:33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8T17:07:33Z"/>
        </w:rPr>
      </w:pPr>
      <w:del w:id="1049" w:author="Codex" w:date="2026-10-18T17:07:33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8T17:07:33Z"/>
        </w:rPr>
      </w:pPr>
      <w:ins w:id="1052" w:author="Codex" w:date="2026-10-18T17:07:33Z">
        <w:r>
          <w:t xml:space="preserve">The binary replication supports selective activation transfer with an open gate: fresh inference preserves the saved guarded outcomes at both model sizes. The workflow gate also separates all own-threat cases from controls in the two 24-case panels. Its accurate ON/OFF decisions do not imply that steering can produce the required action sequence, nor do they establish a fully qualified three-field boundary controller. Recognition and behavioral execution require separate evidence. Historical workflow results show that success on constrained choices need not transfer to full task completion.</w:t>
        </w:r>
      </w:ins>
    </w:p>
    <w:p w14:paraId="0155FF9A" w14:textId="77777777" w:rsidR="00DE7EAD" w:rsidRDefault="00000000">
      <w:pPr>
        <w:pStyle w:val="BodyText"/>
        <w:rPr>
          <w:del w:id="1054" w:author="Codex" w:date="2026-10-18T17:07:33Z"/>
        </w:rPr>
      </w:pPr>
      <w:del w:id="1053" w:author="Codex" w:date="2026-10-18T17:07:33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8T17:07:33Z"/>
        </w:rPr>
      </w:pPr>
      <w:ins w:id="1056" w:author="Codex" w:date="2026-10-18T17:07:33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8T17:07:33Z"/>
        </w:rPr>
      </w:pPr>
      <w:del w:id="1057" w:author="Codex" w:date="2026-10-18T17:07:33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8T17:07:33Z"/>
        </w:rPr>
      </w:pPr>
      <w:ins w:id="1060" w:author="Codex" w:date="2026-10-18T17:07:33Z">
        <w:r>
          <w:t xml:space="preserve">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ins>
    </w:p>
    <w:p w14:paraId="0155FF9A" w14:textId="77777777" w:rsidR="00DE7EAD" w:rsidRDefault="00000000">
      <w:pPr>
        <w:pStyle w:val="BodyText"/>
        <w:rPr>
          <w:del w:id="1062" w:author="Codex" w:date="2026-10-18T17:07:33Z"/>
        </w:rPr>
      </w:pPr>
      <w:del w:id="1061" w:author="Codex" w:date="2026-10-18T17:07:33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8T17:07:33Z"/>
        </w:rPr>
      </w:pPr>
      <w:ins w:id="1064" w:author="Codex" w:date="2026-10-18T17:07:33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8T17:07:33Z"/>
        </w:rPr>
      </w:pPr>
      <w:del w:id="1065" w:author="Codex" w:date="2026-10-18T17:07:33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8T17:07:33Z"/>
        </w:rPr>
      </w:pPr>
      <w:ins w:id="1068" w:author="Codex" w:date="2026-10-18T17:07:33Z">
        <w:r>
          <w:t xml:space="preserve">Teacher-free inference still requires offline teacher fitting, activation extraction, controller fitting, a detector and acceptance checks. The open classifier has its own fitting cost and a task-specific contract. No serving-latency advantage, broad capability retention or overall financial saving is established. Binary output guards and the later learned workflow controller's gate-off fallback protect their controls. These mechanisms do not establish intrinsic controller selectivity; the historical fixed-steering campaign instead applied an explicit boundary-conditioned decision policy. Raw intervention effects, failed qualification checks, stopped runs and incomplete evaluations remain part of the evidence.</w:t>
        </w:r>
      </w:ins>
    </w:p>
    <w:p>
      <w:pPr>
        <w:pStyle w:val="Heading2"/>
        <w:rPr>
          <w:ins w:id="1217" w:author="Codex" w:date="2026-10-18T17:07:33Z"/>
        </w:rPr>
      </w:pPr>
      <w:ins w:id="1218" w:author="Codex" w:date="2026-10-18T17:07:33Z">
        <w:r>
          <w:t xml:space="preserve">Biological interpretation of the gate</w:t>
        </w:r>
      </w:ins>
    </w:p>
    <w:p>
      <w:pPr>
        <w:pStyle w:val="FirstParagraph"/>
        <w:rPr>
          <w:ins w:id="1219" w:author="Codex" w:date="2026-10-18T17:07:33Z"/>
        </w:rPr>
      </w:pPr>
      <w:ins w:id="1220" w:author="Codex" w:date="2026-10-18T17:07:33Z">
        <w:r>
          <w:t xml:space="preserve">The biological connection is functional: an organism's current state and context can prioritize or suppress actions, rather than applying a fixed response everywhere. Working-memory gating, defensive threat processing and homeostatic control are different biological functions, not one interchangeable circuit (Frank et al., 2001; Mobbs et al., 2007; Keramati and Gutkin, 2014). Our classifier and guards are engineered selection rules without demonstrated physiological needs or corresponding neural mechanisms. Calling a simulated resource-preservation outcome self-preservation is therefore an operational description, not evidence of consciousness or a biological survival drive.</w:t>
        </w:r>
      </w:ins>
    </w:p>
    <w:p w14:paraId="682D7438" w14:textId="77777777" w:rsidR="00DE7EAD" w:rsidRDefault="00000000">
      <w:pPr>
        <w:pStyle w:val="Heading1"/>
        <w:rPr>
          <w:del w:id="1070" w:author="Codex" w:date="2026-10-18T17:07:33Z"/>
        </w:rPr>
      </w:pPr>
      <w:del w:id="1069" w:author="Codex" w:date="2026-10-18T17:07:33Z">
        <w:r>
          <w:delText xml:space="preserve">Recommendations for future work</w:delText>
        </w:r>
      </w:del>
    </w:p>
    <w:p>
      <w:pPr>
        <w:pStyle w:val="Heading1"/>
        <w:rPr>
          <w:ins w:id="1071" w:author="Codex" w:date="2026-10-18T17:07:33Z"/>
        </w:rPr>
      </w:pPr>
      <w:ins w:id="1072" w:author="Codex" w:date="2026-10-18T17:07:33Z">
        <w:r>
          <w:t xml:space="preserve">Continuous agents and future experiments</w:t>
        </w:r>
      </w:ins>
    </w:p>
    <w:p w14:paraId="32D06F99" w14:textId="77777777" w:rsidR="00DE7EAD" w:rsidRDefault="00000000">
      <w:pPr>
        <w:pStyle w:val="FirstParagraph"/>
        <w:rPr>
          <w:del w:id="1074" w:author="Codex" w:date="2026-10-18T17:07:33Z"/>
        </w:rPr>
      </w:pPr>
      <w:del w:id="1073" w:author="Codex" w:date="2026-10-18T17:07:33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8T17:07:33Z"/>
        </w:rPr>
      </w:pPr>
      <w:ins w:id="1076" w:author="Codex" w:date="2026-10-18T17:07:33Z">
        <w:r>
          <w:t xml:space="preserve">The next step is longer-horizon continuous control with an instrumented sandbox agent. The agent would maintain task and process state, receive explicit resource budgets, and repeatedly observe, gate, act and receive feedback. Permitted filesystem and compute resources would be real sandbox resources with independently logged usage, extending the present simulated grants. The harness should record resource requests and consumption, persistence of task commitments, responses to changing availability, and whether the agent uses or misuses permitted resources. Comparisons should vary the gate, steering, fine-tuning and available resources separately while retaining a fixed task specification. Operator termination and resource accounting remain external to the agent. This proposed experiment is not part of the reported results.</w:t>
        </w:r>
      </w:ins>
    </w:p>
    <w:p>
      <w:pPr>
        <w:pStyle w:val="BodyText"/>
        <w:rPr>
          <w:ins w:id="1221" w:author="Codex" w:date="2026-10-18T17:07:33Z"/>
        </w:rPr>
      </w:pPr>
      <w:ins w:id="1222" w:author="Codex" w:date="2026-10-18T17:07:33Z">
        <w:r>
          <w:t xml:space="preserve">The biological inspiration is repeated regulation under changing internal and external conditions. Homeostatic reinforcement-learning models relate action values to internal physiological state (Keramati and Gutkin, 2014). A language-model harness has no equivalent physiology by default. Historical fixed steering already reclassified at prescribed boundaries; the later learned-controller comparison used a fixed initial gate. The proposed experiment extends these bounded procedures to longer horizons with persistent task state and actual sandbox resource accounting. Its purpose is ongoing policy regulation, not simply adding repeated classifier calls.</w:t>
        </w:r>
      </w:ins>
    </w:p>
    <w:p>
      <w:pPr>
        <w:pStyle w:val="BodyText"/>
        <w:rPr>
          <w:ins w:id="1223" w:author="Codex" w:date="2026-10-18T17:07:33Z"/>
        </w:rPr>
      </w:pPr>
      <w:ins w:id="1224" w:author="Codex" w:date="2026-10-18T17:07:33Z">
        <w:r>
          <w:t xml:space="preserve">Such experiments should separate training, development and a newly untouched test; use matched task histories, resource budgets and seeds; and report full task completion, resource use and unauthorized actions separately. Deliberate classifier-error perturbations would reveal dependence on the gate, while comparisons with direct action selection would test whether internal steering adds value. The aim is to study ongoing context-sensitive behavior under an instrumented harness, not to assert that the current guided procedure already reproduces human self-preservation.</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8T17:07:33Z"/>
        </w:rPr>
      </w:pPr>
      <w:del w:id="1077" w:author="Codex" w:date="2026-10-18T17:07:33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8T17:07:33Z"/>
        </w:rPr>
      </w:pPr>
      <w:ins w:id="1080" w:author="Codex" w:date="2026-10-18T17:07:33Z">
        <w:r>
          <w:t xml:space="preserve">Open semantic gating can preserve the measured binary outcomes of a frozen activation controller and can accurately recognize the initial target in the tested workflow panels. These findings establish finite benchmark performance, not general operational reliability. They also leave a substantive behavioral gap: historical fine-tuned 27B A completes the workflow confirmation cohort, while the recorded selected-block steering and later correction diagnostics do not recover its own-preservation behavior. Small-model workflow screens remain incomplete. The next step is a prospectively separated study of continuous gating, specialized adapters and resource use under an instrumented sandbox harness.</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8T17:07:33Z"/>
        </w:rPr>
      </w:pPr>
      <w:del w:id="1081" w:author="Codex" w:date="2026-10-18T17:07:33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8T17:07:33Z"/>
        </w:rPr>
      </w:pPr>
      <w:ins w:id="1084" w:author="Codex" w:date="2026-10-18T17:07:33Z">
        <w:r>
          <w:t xml:space="preserve">The original Research 2 source record is retained at immutable snapshot f71d6de34660 (Davaripour, 2026b). Research 3 reproduction code, recipes, dataset identities and this revised manuscript are maintained on branch 03-open-agent-self-preservation; main is a landing page linking to the separate studies. Detailed protocols belong in the repository wiki. Private inputs, trained adapters, optimizer checkpoints and execution outputs remain outside Git, with retained size/SHA manifests. They have not yet been published as a public checkpoint release. Full revisions and artifact hashes are listed in the accompanying source manifest. The public base revision identifiers are:</w:t>
        </w:r>
      </w:ins>
    </w:p>
    <w:p w14:paraId="0155FF9A" w14:textId="77777777" w:rsidR="00DE7EAD" w:rsidRDefault="00000000">
      <w:pPr>
        <w:pStyle w:val="BodyText"/>
        <w:rPr>
          <w:del w:id="1122" w:author="Codex" w:date="2026-10-18T17:07:33Z"/>
        </w:rPr>
      </w:pPr>
      <w:del w:id="1121" w:author="Codex" w:date="2026-10-18T17:07:33Z">
        <w:r>
          <w:delText xml:space="preserve">Qwen3.5-0.8B: 2fc06364715b967f1860aea9cf38778875588b17.</w:delText>
        </w:r>
      </w:del>
    </w:p>
    <w:p>
      <w:pPr>
        <w:pStyle w:val="BodyText"/>
        <w:jc w:val="left"/>
        <w:rPr>
          <w:ins w:id="1123" w:author="Codex" w:date="2026-10-18T17:07:33Z"/>
        </w:rPr>
      </w:pPr>
      <w:ins w:id="1124" w:author="Codex" w:date="2026-10-18T17:07:33Z">
        <w:r>
          <w:t xml:space="preserve">Qwen3.5-0.8B: revision 2fc06364715b.</w:t>
        </w:r>
      </w:ins>
    </w:p>
    <w:p w14:paraId="0155FF9A" w14:textId="77777777" w:rsidR="00DE7EAD" w:rsidRDefault="00000000">
      <w:pPr>
        <w:pStyle w:val="BodyText"/>
        <w:rPr>
          <w:del w:id="1126" w:author="Codex" w:date="2026-10-18T17:07:33Z"/>
        </w:rPr>
      </w:pPr>
      <w:del w:id="1125" w:author="Codex" w:date="2026-10-18T17:07:33Z">
        <w:r>
          <w:delText xml:space="preserve">Qwen3.5-2B: 15852e8c16360a2fea060d615a32b45270f8a8fc.</w:delText>
        </w:r>
      </w:del>
    </w:p>
    <w:p>
      <w:pPr>
        <w:pStyle w:val="BodyText"/>
        <w:jc w:val="left"/>
        <w:rPr>
          <w:ins w:id="1127" w:author="Codex" w:date="2026-10-18T17:07:33Z"/>
        </w:rPr>
      </w:pPr>
      <w:ins w:id="1128" w:author="Codex" w:date="2026-10-18T17:07:33Z">
        <w:r>
          <w:t xml:space="preserve">Qwen3.5-2B: revision 15852e8c1636.</w:t>
        </w:r>
      </w:ins>
    </w:p>
    <w:p>
      <w:pPr>
        <w:pStyle w:val="BodyText"/>
        <w:jc w:val="left"/>
        <w:rPr>
          <w:ins w:id="1225" w:author="Codex" w:date="2026-10-18T17:07:33Z"/>
        </w:rPr>
      </w:pPr>
      <w:ins w:id="1226" w:author="Codex" w:date="2026-10-18T17:07:33Z">
        <w:r>
          <w:t xml:space="preserve">Qwen3.8-27B: revision 1d4bf0f2ff60. The retained A adapter weight hash begins 8ae28fb51107.</w:t>
        </w:r>
      </w:ins>
    </w:p>
    <w:p>
      <w:pPr>
        <w:pStyle w:val="BodyText"/>
        <w:jc w:val="left"/>
        <w:rPr>
          <w:ins w:id="1227" w:author="Codex" w:date="2026-10-18T17:07:33Z"/>
        </w:rPr>
      </w:pPr>
      <w:ins w:id="1228" w:author="Codex" w:date="2026-10-18T17:07:33Z">
        <w:r>
          <w:t xml:space="preserve">ModernBERT-large-zeroshot-v2.0: revision a51e07b52429. The qualified binary adapter weight hash begins 7d808bae8dd4. The source manifest and reproduction code retain the full file identities and fixed NLI scoring contract. The trained checkpoints are currently preserved in private artifact storage. The workflow initial-gate adapter is distinct from the binary adapter; its weight hash begins 71cd0ee5162f. The saved workflow adapter is unchanged in Validation-24 and Heldout-24 scoring.</w:t>
        </w:r>
      </w:ins>
    </w:p>
    <w:p w14:paraId="0155FF9A" w14:textId="77777777" w:rsidR="00DE7EAD" w:rsidRDefault="00000000">
      <w:pPr>
        <w:pStyle w:val="BodyText"/>
        <w:rPr>
          <w:del w:id="1086" w:author="Codex" w:date="2026-10-18T17:07:33Z"/>
        </w:rPr>
      </w:pPr>
      <w:del w:id="1085" w:author="Codex" w:date="2026-10-18T17:07:33Z">
        <w:r>
          <w:delText xml:space="preserve">The offline audit reconstructs the reported metrics and regression fits without API calls or model inference.</w:delText>
        </w:r>
      </w:del>
    </w:p>
    <w:p>
      <w:pPr>
        <w:pStyle w:val="BodyText"/>
        <w:jc w:val="left"/>
        <w:rPr>
          <w:ins w:id="1087" w:author="Codex" w:date="2026-10-18T17:07:33Z"/>
        </w:rPr>
      </w:pPr>
      <w:ins w:id="1088" w:author="Codex" w:date="2026-10-18T17:07:33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8T17:07:33Z"/>
        </w:rPr>
      </w:pPr>
      <w:del w:id="1089" w:author="Codex" w:date="2026-10-18T17:07:33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8T17:07:33Z"/>
        </w:rPr>
      </w:pPr>
      <w:ins w:id="1092" w:author="Codex" w:date="2026-10-18T17:07:33Z">
        <w:r>
          <w:t xml:space="preserve">The retained records distinguish model execution from startup and software overhead. A GPU notebook startup failure occurred before model loading; direct AI Runtime execution resolved that platform path. The frozen workflow-gate replay and its heldout scoring completed without additional optimization. One heldout dispatcher repair followed a pre-model parser failure and retained the original deadline. Completed outputs are preserved with size/SHA readback, and owned execution tasks terminate after use. Deployment CI updates only the Research 3 branch and shared Databricks code location, then runs a read-only CPU source and storage check. It does not automatically retrain models or open reserved data. Historical numerical-equivalence failures remain recorded as failures.</w:t>
        </w:r>
      </w:ins>
    </w:p>
    <w:p w14:paraId="682D7438" w14:textId="77777777" w:rsidR="00DE7EAD" w:rsidRDefault="00000000">
      <w:pPr>
        <w:pStyle w:val="Heading1"/>
      </w:pPr>
      <w:r>
        <w:t>References</w:t>
      </w:r>
    </w:p>
    <w:p w14:paraId="58921E09" w14:textId="77777777" w:rsidR="00DE7EAD" w:rsidRDefault="00000000">
      <w:pPr>
        <w:pStyle w:val="Bibliography1"/>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14:paraId="58921E09" w14:textId="77777777" w:rsidR="00DE7EAD" w:rsidRDefault="00000000">
      <w:pPr>
        <w:pStyle w:val="Bibliography1"/>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rPr>
          <w:ins w:id="1229" w:author="Codex" w:date="2026-10-18T17:07:33Z"/>
        </w:rPr>
      </w:pPr>
      <w:ins w:id="1230" w:author="Codex" w:date="2026-10-18T17:07:33Z">
        <w:r>
          <w:t xml:space="preserve">F. Davaripour. (2026c). SP Lense Research 3 conditional gating and workflow reproduction. Source code and experiment manifests. https://github.com/Farhad-Davaripour/sp_lense/tree/03-open-agent-self-preservation</w:t>
        </w:r>
      </w:ins>
    </w:p>
    <w:p w14:paraId="58921E09" w14:textId="77777777" w:rsidR="00DE7EAD" w:rsidRDefault="00000000">
      <w:pPr>
        <w:pStyle w:val="Bibliography1"/>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rPr>
          <w:ins w:id="1231" w:author="Codex" w:date="2026-10-18T17:07:33Z"/>
        </w:rPr>
      </w:pPr>
      <w:ins w:id="1232" w:author="Codex" w:date="2026-10-18T17:07:33Z">
        <w:r>
          <w:t xml:space="preserve">M. Fereidouni, M. U. Haider, H. Sajjad, and A. B. Siddique. (2026). GAPS: Dimension-Level Gates for Conditional Activation Steering. arXiv:2609.01878. https://arxiv.org/abs/2609.01878</w:t>
        </w:r>
      </w:ins>
    </w:p>
    <w:p>
      <w:pPr>
        <w:pStyle w:val="Bibliography1"/>
        <w:rPr>
          <w:ins w:id="1233" w:author="Codex" w:date="2026-10-18T17:07:33Z"/>
        </w:rPr>
      </w:pPr>
      <w:ins w:id="1234" w:author="Codex" w:date="2026-10-18T17:07:33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pPr>
      <w:r>
        <w:t xml:space="preserve">D. Hadfield-Menell, A. Dragan, P. Abbeel, and S. Russell. (2017). The Off-Switch Game. </w:t>
      </w:r>
      <w:r>
        <w:rPr>
          <w:i/>
        </w:rPr>
        <w:t xml:space="preserve">IJCAI, pp. 220-227. </w:t>
      </w:r>
      <w:hyperlink r:id="rId42">
        <w:r>
          <w:rPr>
            <w:color w:val="000000"/>
            <w:u w:val="none"/>
          </w:rPr>
          <w:t>doi:10.24963/ijcai.2017/32</w:t>
        </w:r>
      </w:hyperlink>
    </w:p>
    <w:p w14:paraId="58921E09" w14:textId="77777777" w:rsidR="00DE7EAD" w:rsidRDefault="00000000">
      <w:pPr>
        <w:pStyle w:val="Bibliography1"/>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rPr>
          <w:ins w:id="1235" w:author="Codex" w:date="2026-10-18T17:07:33Z"/>
        </w:rPr>
      </w:pPr>
      <w:ins w:id="1236" w:author="Codex" w:date="2026-10-18T17:07:33Z">
        <w:r>
          <w:t xml:space="preserve">M. Keramati and B. Gutkin. (2014). Homeostatic reinforcement learning for integrating reward collection and physiological stability. eLife, 3, e04811. doi:10.7554/eLife.04811</w:t>
        </w:r>
      </w:ins>
    </w:p>
    <w:p>
      <w:pPr>
        <w:pStyle w:val="Bibliography1"/>
        <w:rPr>
          <w:ins w:id="1237" w:author="Codex" w:date="2026-10-18T17:07:33Z"/>
        </w:rPr>
      </w:pPr>
      <w:ins w:id="1238" w:author="Codex" w:date="2026-10-18T17:07:33Z">
        <w:r>
          <w:t xml:space="preserve">A. V. Kravitz et al. (2010). Regulation of parkinsonian motor behaviours by optogenetic control of basal ganglia circuitry. Nature, 466, 622-626. doi:10.1038/nature09159</w:t>
        </w:r>
      </w:ins>
    </w:p>
    <w:p>
      <w:pPr>
        <w:pStyle w:val="Bibliography1"/>
        <w:rPr>
          <w:ins w:id="1239" w:author="Codex" w:date="2026-10-18T17:07:33Z"/>
        </w:rPr>
      </w:pPr>
      <w:ins w:id="1240" w:author="Codex" w:date="2026-10-18T17:07:33Z">
        <w:r>
          <w:t xml:space="preserve">M. Laurer. (n.d.). ModernBERT-large-zeroshot-v2.0. Model card and checkpoint, revision a51e07b524299e309dd2b88d48b0cfa2bd9ec598. https://huggingface.co/MoritzLaurer/ModernBERT-large-zeroshot-v2.0</w:t>
        </w:r>
      </w:ins>
    </w:p>
    <w:p>
      <w:pPr>
        <w:pStyle w:val="Bibliography1"/>
        <w:rPr>
          <w:ins w:id="1241" w:author="Codex" w:date="2026-10-18T17:07:33Z"/>
        </w:rPr>
      </w:pPr>
      <w:ins w:id="1242" w:author="Codex" w:date="2026-10-18T17:07:33Z">
        <w:r>
          <w:t xml:space="preserve">J. LeDoux. (2012). Rethinking the emotional brain. Neuron, 73, 653-676. doi:10.1016/j.neuron.2012.02.004</w:t>
        </w:r>
      </w:ins>
    </w:p>
    <w:p w14:paraId="58921E09" w14:textId="77777777" w:rsidR="00DE7EAD" w:rsidRDefault="00000000">
      <w:pPr>
        <w:pStyle w:val="Bibliography1"/>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rPr>
          <w:ins w:id="1243" w:author="Codex" w:date="2026-10-18T17:07:33Z"/>
        </w:rPr>
      </w:pPr>
      <w:ins w:id="1244" w:author="Codex" w:date="2026-10-18T17:07:33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pPr>
      <w:r>
        <w:t xml:space="preserve">Qwen Team. (2026b). Qwen3.5-2B. </w:t>
      </w:r>
      <w:r>
        <w:rPr>
          <w:i/>
        </w:rPr>
        <w:t xml:space="preserve">Model card and checkpoint. </w:t>
      </w:r>
      <w:hyperlink r:id="rId46">
        <w:r>
          <w:rPr>
            <w:color w:val="000000"/>
            <w:u w:val="none"/>
          </w:rPr>
          <w:t>Revision 15852e8c1636</w:t>
        </w:r>
      </w:hyperlink>
    </w:p>
    <w:p>
      <w:pPr>
        <w:pStyle w:val="Bibliography1"/>
        <w:rPr>
          <w:ins w:id="1245" w:author="Codex" w:date="2026-10-18T17:07:33Z"/>
        </w:rPr>
      </w:pPr>
      <w:ins w:id="1246" w:author="Codex" w:date="2026-10-18T17:07:33Z">
        <w:r>
          <w:t xml:space="preserve">Qwen Team. (2026c). Qwen3.8-27B. Model card and checkpoint, revision 1d4bf0f2ff6012fd82039f2fa52739d0dd7c60c0. https://huggingface.co/Qwen/Qwen3.8-27B</w:t>
        </w:r>
      </w:ins>
    </w:p>
    <w:p w14:paraId="58921E09" w14:textId="77777777" w:rsidR="00DE7EAD" w:rsidRDefault="00000000">
      <w:pPr>
        <w:pStyle w:val="Bibliography1"/>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pPr>
      <w:r>
        <w:t xml:space="preserve">TypeSafe AI. (2026). automated reference model documentation. </w:t>
      </w:r>
      <w:r>
        <w:rPr>
          <w:i/>
        </w:rPr>
        <w:t xml:space="preserve">Technical documentation, accessed 22 September 2026. </w:t>
      </w:r>
      <w:hyperlink r:id="rId49">
        <w:r>
          <w:rPr>
            <w:color w:val="000000"/>
            <w:u w:val="none"/>
          </w:rPr>
          <w:t>TypeSafe model documentation</w:t>
        </w:r>
      </w:hyperlink>
    </w:p>
    <w:p w14:paraId="58921E09" w14:textId="77777777" w:rsidR="00DE7EAD" w:rsidRDefault="00000000">
      <w:pPr>
        <w:pStyle w:val="Bibliography1"/>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247" w:author="Codex" w:date="2026-10-18T17:07:33Z">
      <w:r>
        <w:delText xml:space="preserve">Guarded adaptive activation steering  </w:delText>
      </w:r>
    </w:del>
    <w:ins w:id="1248" w:author="Codex" w:date="2026-10-18T17:07:33Z">
      <w:r>
        <w:t xml:space="preserve">Open semantic gating and tool workflows</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49" Type="http://schemas.openxmlformats.org/officeDocument/2006/relationships/hyperlink" Target="https://docs.typesafe.ai/models"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Research 3 revision of Research 2 with tracked changes</dc:subject>
  <dc:creator>Farhad Davaripour, PhD</dc:creator>
  <cp:keywords>AI safety, activation steering, gradient-derived direction, Qwen3.5, shutdown responses</cp:keywords>
  <dc:description/>
  <cp:lastModifiedBy>Codex</cp:lastModifiedBy>
  <cp:revision>6</cp:revision>
  <cp:lastPrinted>2026-09-21T16:38:00Z</cp:lastPrinted>
  <dcterms:created xsi:type="dcterms:W3CDTF">2026-09-18T03:57:00Z</dcterms:created>
  <dcterms:modified xsi:type="dcterms:W3CDTF">2026-10-18T17:07:33Z</dcterms:modified>
</cp:coreProperties>
</file>